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1E" w:rsidRDefault="0082021E" w:rsidP="004E5E35">
      <w:pPr>
        <w:widowContro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>
        <w:rPr>
          <w:rFonts w:ascii="Garamond" w:hAnsi="Garamond"/>
          <w:b/>
          <w:sz w:val="28"/>
          <w:szCs w:val="28"/>
        </w:rPr>
        <w:t>.3. Изменения, связанные с уточнением порядка проведения платежей через уполномоченную кредитную организацию</w:t>
      </w:r>
    </w:p>
    <w:p w:rsidR="0082021E" w:rsidRDefault="0082021E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</w:t>
      </w:r>
    </w:p>
    <w:p w:rsidR="0082021E" w:rsidRDefault="0082021E" w:rsidP="004E5E35">
      <w:pPr>
        <w:ind w:right="-314"/>
        <w:jc w:val="right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Приложение № 5.3</w:t>
      </w:r>
    </w:p>
    <w:p w:rsidR="0082021E" w:rsidRDefault="0082021E">
      <w:pPr>
        <w:rPr>
          <w:rFonts w:ascii="Garamond" w:hAnsi="Garamond"/>
          <w:b/>
          <w:bCs/>
          <w:sz w:val="28"/>
          <w:szCs w:val="28"/>
          <w:lang w:val="en-US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48"/>
      </w:tblGrid>
      <w:tr w:rsidR="0082021E">
        <w:tc>
          <w:tcPr>
            <w:tcW w:w="15048" w:type="dxa"/>
          </w:tcPr>
          <w:p w:rsidR="0082021E" w:rsidRDefault="0082021E">
            <w:pPr>
              <w:keepNext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Инициатор: </w:t>
            </w:r>
            <w:r>
              <w:rPr>
                <w:rFonts w:ascii="Garamond" w:hAnsi="Garamond"/>
                <w:bCs/>
              </w:rPr>
              <w:t>АО «ЦФР».</w:t>
            </w:r>
          </w:p>
          <w:p w:rsidR="0082021E" w:rsidRDefault="008202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bCs/>
              </w:rPr>
              <w:t>Обоснование</w:t>
            </w:r>
            <w:r>
              <w:rPr>
                <w:rFonts w:ascii="Garamond" w:hAnsi="Garamond"/>
              </w:rPr>
              <w:t>:</w:t>
            </w:r>
            <w:r>
              <w:rPr>
                <w:rFonts w:ascii="Garamond" w:hAnsi="Garamond"/>
                <w:bCs/>
              </w:rPr>
              <w:t xml:space="preserve"> п</w:t>
            </w:r>
            <w:r>
              <w:rPr>
                <w:rFonts w:ascii="Garamond" w:hAnsi="Garamond"/>
              </w:rPr>
              <w:t xml:space="preserve">редлагается уточнить порядок проведения платежей </w:t>
            </w:r>
            <w:r>
              <w:rPr>
                <w:rFonts w:ascii="Garamond" w:hAnsi="Garamond"/>
                <w:bCs/>
              </w:rPr>
              <w:t>между участниками оптового рынка, ПАО «ФСК ЕЭС», АО «СО ЕЭС» в Регламенте финансовых расч</w:t>
            </w:r>
            <w:bookmarkStart w:id="0" w:name="_GoBack"/>
            <w:bookmarkEnd w:id="0"/>
            <w:r>
              <w:rPr>
                <w:rFonts w:ascii="Garamond" w:hAnsi="Garamond"/>
                <w:bCs/>
              </w:rPr>
              <w:t xml:space="preserve">етов </w:t>
            </w:r>
            <w:r w:rsidRPr="00DA4E56">
              <w:rPr>
                <w:rFonts w:ascii="Garamond" w:hAnsi="Garamond"/>
                <w:bCs/>
              </w:rPr>
              <w:t>на оптовом рынке электроэнергии</w:t>
            </w:r>
            <w:r>
              <w:rPr>
                <w:rFonts w:ascii="Garamond" w:hAnsi="Garamond"/>
                <w:bCs/>
              </w:rPr>
              <w:t xml:space="preserve"> (Приложение № 16 к Договору о присоединении к торговой системе оптового рынка) </w:t>
            </w:r>
            <w:r>
              <w:rPr>
                <w:rFonts w:ascii="Garamond" w:hAnsi="Garamond"/>
              </w:rPr>
              <w:t>нормой по обеспечению наличия денежных средств на основном счете, открытом в уполномоченной кредитной организации, в целях исполнения обязательств на оптовом рынке.</w:t>
            </w:r>
          </w:p>
          <w:p w:rsidR="0082021E" w:rsidRDefault="0082021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>
              <w:rPr>
                <w:rFonts w:ascii="Garamond" w:hAnsi="Garamond"/>
                <w:bCs/>
              </w:rPr>
              <w:t>1 июня 2017 года</w:t>
            </w:r>
            <w:r>
              <w:rPr>
                <w:rFonts w:ascii="Garamond" w:hAnsi="Garamond"/>
              </w:rPr>
              <w:t>.</w:t>
            </w:r>
          </w:p>
        </w:tc>
      </w:tr>
    </w:tbl>
    <w:p w:rsidR="0082021E" w:rsidRDefault="0082021E">
      <w:pPr>
        <w:rPr>
          <w:rFonts w:ascii="Garamond" w:hAnsi="Garamond"/>
          <w:b/>
          <w:bCs/>
          <w:sz w:val="28"/>
          <w:szCs w:val="28"/>
        </w:rPr>
      </w:pPr>
    </w:p>
    <w:p w:rsidR="0082021E" w:rsidRDefault="0082021E" w:rsidP="004E5E35">
      <w:pPr>
        <w:widowControl w:val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bookmarkStart w:id="1" w:name="_Toc127160990"/>
      <w:bookmarkStart w:id="2" w:name="_Toc129088044"/>
      <w:bookmarkStart w:id="3" w:name="_Toc128912958"/>
      <w:bookmarkStart w:id="4" w:name="_Toc129149530"/>
      <w:bookmarkStart w:id="5" w:name="_Toc305579057"/>
      <w:r>
        <w:rPr>
          <w:rFonts w:ascii="Garamond" w:hAnsi="Garamond"/>
          <w:b/>
          <w:sz w:val="26"/>
          <w:szCs w:val="26"/>
        </w:rPr>
        <w:t>РЕГЛАМЕНТ ФИНАНСОВЫХ РАСЧЕТОВ НА ОПТОВОМ РЫНКЕ ЭЛЕКТРОЭНЕРГИИ</w:t>
      </w:r>
      <w:bookmarkEnd w:id="1"/>
      <w:bookmarkEnd w:id="2"/>
      <w:bookmarkEnd w:id="3"/>
      <w:bookmarkEnd w:id="4"/>
      <w:bookmarkEnd w:id="5"/>
      <w:r>
        <w:rPr>
          <w:rFonts w:ascii="Garamond" w:hAnsi="Garamond"/>
          <w:b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82021E" w:rsidRDefault="0082021E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6662"/>
        <w:gridCol w:w="7371"/>
      </w:tblGrid>
      <w:tr w:rsidR="0082021E" w:rsidTr="004E5E35">
        <w:trPr>
          <w:trHeight w:val="435"/>
        </w:trPr>
        <w:tc>
          <w:tcPr>
            <w:tcW w:w="988" w:type="dxa"/>
            <w:vAlign w:val="center"/>
          </w:tcPr>
          <w:p w:rsidR="0082021E" w:rsidRDefault="008202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82021E" w:rsidRDefault="0082021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62" w:type="dxa"/>
            <w:vAlign w:val="center"/>
          </w:tcPr>
          <w:p w:rsidR="0082021E" w:rsidRDefault="008202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82021E" w:rsidRDefault="008202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1" w:type="dxa"/>
            <w:vAlign w:val="center"/>
          </w:tcPr>
          <w:p w:rsidR="0082021E" w:rsidRDefault="0082021E">
            <w:pPr>
              <w:ind w:hanging="86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82021E" w:rsidRDefault="0082021E">
            <w:pPr>
              <w:ind w:hanging="86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82021E" w:rsidTr="004E5E35">
        <w:trPr>
          <w:trHeight w:val="435"/>
        </w:trPr>
        <w:tc>
          <w:tcPr>
            <w:tcW w:w="988" w:type="dxa"/>
            <w:vAlign w:val="center"/>
          </w:tcPr>
          <w:p w:rsidR="0082021E" w:rsidRDefault="0082021E" w:rsidP="004E5E35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2.5</w:t>
            </w:r>
          </w:p>
        </w:tc>
        <w:tc>
          <w:tcPr>
            <w:tcW w:w="6662" w:type="dxa"/>
            <w:vAlign w:val="center"/>
          </w:tcPr>
          <w:p w:rsidR="0082021E" w:rsidRDefault="0082021E" w:rsidP="004E5E35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bookmarkStart w:id="6" w:name="_Toc455071744"/>
            <w:r>
              <w:rPr>
                <w:rFonts w:ascii="Garamond" w:hAnsi="Garamond"/>
                <w:b/>
                <w:sz w:val="22"/>
                <w:szCs w:val="22"/>
              </w:rPr>
              <w:t>Порядок проведения платежей</w:t>
            </w:r>
            <w:bookmarkEnd w:id="6"/>
          </w:p>
          <w:p w:rsidR="0082021E" w:rsidRDefault="0082021E" w:rsidP="004E5E35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Платежи проводятся в рабочие дни в соответствии с порядком обмена документами и информацией, предусмотренным приложением 54 к настоящему Регламенту.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При этом последняя торговая сессия с уполномоченной кредитной организацией открывается в 16 часов 00 минут по московскому времени. В случае если датой платежа является 21-е число месяца, то последняя торговая сессия с уполномоченной кредитной организацией открывается в 17 часов 00 минут по московскому времени, а в случае, если датой платежа является 14, 25 или 28-е число месяца – в 16 часов 30 минут по московскому времени.</w:t>
            </w:r>
          </w:p>
          <w:p w:rsidR="0082021E" w:rsidRPr="0015073A" w:rsidRDefault="0082021E" w:rsidP="004E5E35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 w:eastAsia="en-US"/>
              </w:rPr>
            </w:pPr>
            <w:r w:rsidRPr="0015073A">
              <w:rPr>
                <w:rFonts w:ascii="Garamond" w:hAnsi="Garamond"/>
                <w:sz w:val="22"/>
                <w:szCs w:val="22"/>
                <w:highlight w:val="yellow"/>
                <w:lang w:val="ru-RU" w:eastAsia="en-US"/>
              </w:rPr>
              <w:t>Последняя торговая сессия с уполномоченной кредитной организацией</w:t>
            </w:r>
            <w:r w:rsidRPr="0015073A">
              <w:rPr>
                <w:rFonts w:ascii="Garamond" w:hAnsi="Garamond"/>
                <w:sz w:val="22"/>
                <w:szCs w:val="22"/>
                <w:lang w:val="ru-RU" w:eastAsia="en-US"/>
              </w:rPr>
              <w:t xml:space="preserve"> в предпраздничные дни </w:t>
            </w:r>
            <w:r w:rsidRPr="0015073A">
              <w:rPr>
                <w:rFonts w:ascii="Garamond" w:hAnsi="Garamond"/>
                <w:sz w:val="22"/>
                <w:szCs w:val="22"/>
                <w:highlight w:val="yellow"/>
                <w:lang w:val="ru-RU" w:eastAsia="en-US"/>
              </w:rPr>
              <w:t>открывается в</w:t>
            </w:r>
            <w:r w:rsidRPr="0015073A">
              <w:rPr>
                <w:rFonts w:ascii="Garamond" w:hAnsi="Garamond"/>
                <w:sz w:val="22"/>
                <w:szCs w:val="22"/>
                <w:lang w:val="ru-RU" w:eastAsia="en-US"/>
              </w:rPr>
              <w:t xml:space="preserve"> 15 часов 00 минут по московскому времени.</w:t>
            </w:r>
          </w:p>
          <w:p w:rsidR="0082021E" w:rsidRPr="0015073A" w:rsidRDefault="0082021E" w:rsidP="004E5E35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 w:eastAsia="en-US"/>
              </w:rPr>
            </w:pPr>
            <w:r w:rsidRPr="0015073A">
              <w:rPr>
                <w:rFonts w:ascii="Garamond" w:hAnsi="Garamond"/>
                <w:sz w:val="22"/>
                <w:szCs w:val="22"/>
                <w:highlight w:val="yellow"/>
                <w:lang w:val="ru-RU" w:eastAsia="en-US"/>
              </w:rPr>
              <w:t>Если дата платежа приходится на выходной или праздничный день, то платежи проводятся в первый рабочий день, следующий за датой платежа. В этом случае, ЦФР формирует и передает в уполномоченную кредитную организацию Сводный реестр платежей участников оптового рынка не менее двух раз в течение дня, при этом первый раз – не позднее 11 часов 00 минут.</w:t>
            </w:r>
          </w:p>
          <w:p w:rsidR="0082021E" w:rsidRDefault="0082021E" w:rsidP="004E5E35">
            <w:pPr>
              <w:pStyle w:val="ListParagraph"/>
              <w:spacing w:before="120" w:after="120"/>
              <w:ind w:left="601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371" w:type="dxa"/>
            <w:vAlign w:val="center"/>
          </w:tcPr>
          <w:p w:rsidR="0082021E" w:rsidRDefault="0082021E" w:rsidP="004E5E35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Порядок проведения платежей</w:t>
            </w:r>
          </w:p>
          <w:p w:rsidR="0082021E" w:rsidRDefault="0082021E" w:rsidP="004E5E35">
            <w:pPr>
              <w:spacing w:before="120" w:after="120"/>
              <w:ind w:firstLine="567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Платежи проводятся в рабочие дни в соответствии с порядком обмена документами и информацией, предусмотренным приложением 54 к настоящему Регламенту.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При этом участникам оптового рынка, ФСК, СО в целях проведения платежей в соответствующий рабочий день необходимо обеспечить наличие денежных средств на основном счете, открытом в уполномоченной кредитной организации в целях проведения расчетов на оптовом рынке, в случае, если рабочий день является:</w:t>
            </w:r>
          </w:p>
          <w:p w:rsidR="0082021E" w:rsidRDefault="0082021E" w:rsidP="00C31ECE">
            <w:pPr>
              <w:pStyle w:val="ListParagraph"/>
              <w:spacing w:before="120" w:after="120"/>
              <w:ind w:left="0" w:firstLine="630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датой платежа 21-е число месяца – до 17 часов 00 минут по московскому времени;</w:t>
            </w:r>
          </w:p>
          <w:p w:rsidR="0082021E" w:rsidRDefault="0082021E" w:rsidP="00C31ECE">
            <w:pPr>
              <w:pStyle w:val="ListParagraph"/>
              <w:spacing w:before="120" w:after="120"/>
              <w:ind w:left="0" w:firstLine="630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датой платежа 14, 25 или 28-е число месяца – до 16 часов 30 минут по московскому времени;</w:t>
            </w:r>
          </w:p>
          <w:p w:rsidR="0082021E" w:rsidRDefault="0082021E" w:rsidP="00C31ECE">
            <w:pPr>
              <w:pStyle w:val="ListParagraph"/>
              <w:spacing w:before="120" w:after="120"/>
              <w:ind w:left="0" w:firstLine="630"/>
              <w:contextualSpacing w:val="0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в иные рабочие дни при наличии неисполненных (исполненных ненадлежащим образом) обязательств на оптовом рынке – до 16 часов 00 минут по московскому времени, а также в предпраздничные дни – до 15 часов 00 минут по московскому времени.</w:t>
            </w:r>
          </w:p>
          <w:p w:rsidR="0082021E" w:rsidRPr="0015073A" w:rsidRDefault="0082021E" w:rsidP="004E5E35">
            <w:pPr>
              <w:pStyle w:val="BodyText"/>
              <w:ind w:firstLine="601"/>
              <w:rPr>
                <w:rFonts w:ascii="Garamond" w:hAnsi="Garamond"/>
                <w:sz w:val="22"/>
                <w:szCs w:val="22"/>
                <w:highlight w:val="yellow"/>
                <w:lang w:val="ru-RU" w:eastAsia="en-US"/>
              </w:rPr>
            </w:pPr>
            <w:r w:rsidRPr="0015073A">
              <w:rPr>
                <w:rFonts w:ascii="Garamond" w:hAnsi="Garamond"/>
                <w:sz w:val="22"/>
                <w:szCs w:val="22"/>
                <w:highlight w:val="yellow"/>
                <w:lang w:val="ru-RU" w:eastAsia="en-US"/>
              </w:rPr>
              <w:t>ЦФР формирует и передает в уполномоченную кредитную организацию Сводный реестр платежей участников оптового рынка не менее одного раза в течение рабочего дня, при этом последняя торговая сессия с уполномоченной кредитной организацией открывается в соответствующий рабочий день не ранее времени, указанного в предыдущих абзацах настоящего пункта.</w:t>
            </w:r>
          </w:p>
          <w:p w:rsidR="0082021E" w:rsidRPr="0015073A" w:rsidRDefault="0082021E" w:rsidP="004E5E35">
            <w:pPr>
              <w:pStyle w:val="BodyText"/>
              <w:ind w:firstLine="601"/>
              <w:rPr>
                <w:rFonts w:ascii="Garamond" w:hAnsi="Garamond"/>
                <w:sz w:val="22"/>
                <w:szCs w:val="22"/>
                <w:lang w:val="ru-RU" w:eastAsia="en-US"/>
              </w:rPr>
            </w:pPr>
            <w:r w:rsidRPr="0015073A">
              <w:rPr>
                <w:rFonts w:ascii="Garamond" w:hAnsi="Garamond"/>
                <w:sz w:val="22"/>
                <w:szCs w:val="22"/>
                <w:highlight w:val="yellow"/>
                <w:lang w:val="ru-RU" w:eastAsia="en-US"/>
              </w:rPr>
              <w:t>Сводный реестр платежей участников оптового рынка формируется исходя из информации о наличии и размере денежных средств на торговых счетах участников оптового рынка, ФСК, СО в Информации об остатках на торговых счетах, предоставляемой уполномоченной кредитной организацией в порядке, предусмотренном приложением 54 к настоящему Регламенту.</w:t>
            </w:r>
          </w:p>
          <w:p w:rsidR="0082021E" w:rsidRPr="0015073A" w:rsidRDefault="0082021E" w:rsidP="004E5E35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 w:eastAsia="en-US"/>
              </w:rPr>
            </w:pPr>
            <w:r w:rsidRPr="0015073A">
              <w:rPr>
                <w:rFonts w:ascii="Garamond" w:hAnsi="Garamond"/>
                <w:sz w:val="22"/>
                <w:szCs w:val="22"/>
                <w:lang w:val="ru-RU" w:eastAsia="en-US"/>
              </w:rPr>
              <w:t>…</w:t>
            </w:r>
          </w:p>
        </w:tc>
      </w:tr>
    </w:tbl>
    <w:p w:rsidR="0082021E" w:rsidRDefault="0082021E"/>
    <w:p w:rsidR="0082021E" w:rsidRDefault="0082021E"/>
    <w:p w:rsidR="0082021E" w:rsidRDefault="0082021E"/>
    <w:p w:rsidR="0082021E" w:rsidRDefault="0082021E">
      <w:pPr>
        <w:sectPr w:rsidR="0082021E" w:rsidSect="004E5E35">
          <w:footerReference w:type="even" r:id="rId7"/>
          <w:footerReference w:type="default" r:id="rId8"/>
          <w:pgSz w:w="16838" w:h="11906" w:orient="landscape"/>
          <w:pgMar w:top="1276" w:right="1134" w:bottom="1134" w:left="1134" w:header="709" w:footer="709" w:gutter="0"/>
          <w:cols w:space="708"/>
          <w:docGrid w:linePitch="360"/>
        </w:sectPr>
      </w:pPr>
    </w:p>
    <w:p w:rsidR="0082021E" w:rsidRDefault="0082021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Действующая редакция</w:t>
      </w:r>
    </w:p>
    <w:p w:rsidR="0082021E" w:rsidRDefault="0082021E">
      <w:pPr>
        <w:jc w:val="right"/>
        <w:rPr>
          <w:rFonts w:ascii="Garamond" w:hAnsi="Garamond"/>
          <w:b/>
          <w:spacing w:val="1"/>
          <w:sz w:val="22"/>
          <w:szCs w:val="22"/>
        </w:rPr>
      </w:pPr>
      <w:r>
        <w:rPr>
          <w:rFonts w:ascii="Garamond" w:hAnsi="Garamond"/>
          <w:b/>
          <w:spacing w:val="1"/>
          <w:sz w:val="22"/>
          <w:szCs w:val="22"/>
        </w:rPr>
        <w:t xml:space="preserve">Приложение 54  </w:t>
      </w:r>
    </w:p>
    <w:p w:rsidR="0082021E" w:rsidRDefault="0082021E">
      <w:pPr>
        <w:jc w:val="right"/>
        <w:rPr>
          <w:rFonts w:ascii="Garamond" w:hAnsi="Garamond"/>
          <w:b/>
          <w:spacing w:val="1"/>
          <w:sz w:val="22"/>
          <w:szCs w:val="22"/>
        </w:rPr>
      </w:pPr>
      <w:r>
        <w:rPr>
          <w:rFonts w:ascii="Garamond" w:hAnsi="Garamond"/>
          <w:b/>
          <w:spacing w:val="1"/>
          <w:sz w:val="22"/>
          <w:szCs w:val="22"/>
        </w:rPr>
        <w:t xml:space="preserve">к Регламенту финансовых расчетов </w:t>
      </w:r>
    </w:p>
    <w:p w:rsidR="0082021E" w:rsidRDefault="0082021E">
      <w:pPr>
        <w:jc w:val="right"/>
        <w:rPr>
          <w:rFonts w:ascii="Garamond" w:hAnsi="Garamond"/>
          <w:b/>
          <w:spacing w:val="1"/>
          <w:sz w:val="22"/>
          <w:szCs w:val="22"/>
        </w:rPr>
      </w:pPr>
      <w:r>
        <w:rPr>
          <w:rFonts w:ascii="Garamond" w:hAnsi="Garamond"/>
          <w:b/>
          <w:spacing w:val="1"/>
          <w:sz w:val="22"/>
          <w:szCs w:val="22"/>
        </w:rPr>
        <w:t xml:space="preserve">на оптовом рынке электроэнергии </w:t>
      </w:r>
    </w:p>
    <w:p w:rsidR="0082021E" w:rsidRDefault="0082021E">
      <w:pPr>
        <w:pStyle w:val="BodyText"/>
        <w:spacing w:before="0" w:after="0"/>
        <w:ind w:firstLine="708"/>
        <w:jc w:val="center"/>
        <w:rPr>
          <w:rFonts w:ascii="Garamond" w:hAnsi="Garamond"/>
          <w:b/>
          <w:spacing w:val="1"/>
          <w:sz w:val="12"/>
          <w:szCs w:val="12"/>
          <w:lang w:val="ru-RU"/>
        </w:rPr>
      </w:pPr>
    </w:p>
    <w:p w:rsidR="0082021E" w:rsidRDefault="0082021E">
      <w:pPr>
        <w:pStyle w:val="BodyText"/>
        <w:ind w:firstLine="708"/>
        <w:jc w:val="center"/>
        <w:rPr>
          <w:rFonts w:ascii="Garamond" w:hAnsi="Garamond"/>
          <w:b/>
          <w:spacing w:val="1"/>
          <w:szCs w:val="22"/>
          <w:lang w:val="ru-RU"/>
        </w:rPr>
      </w:pPr>
      <w:r>
        <w:rPr>
          <w:rFonts w:ascii="Garamond" w:hAnsi="Garamond"/>
          <w:b/>
          <w:spacing w:val="1"/>
          <w:szCs w:val="22"/>
          <w:lang w:val="ru-RU"/>
        </w:rPr>
        <w:t xml:space="preserve">Порядок обмена документами и информацией между </w:t>
      </w:r>
      <w:r>
        <w:rPr>
          <w:rFonts w:ascii="Garamond" w:hAnsi="Garamond"/>
          <w:b/>
          <w:szCs w:val="22"/>
          <w:lang w:val="ru-RU"/>
        </w:rPr>
        <w:t>уполномоченной кредитной организацией</w:t>
      </w:r>
      <w:r>
        <w:rPr>
          <w:rFonts w:ascii="Garamond" w:hAnsi="Garamond"/>
          <w:b/>
          <w:spacing w:val="1"/>
          <w:szCs w:val="22"/>
          <w:lang w:val="ru-RU"/>
        </w:rPr>
        <w:t xml:space="preserve"> и АО «ЦФР» при проведении платежей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7"/>
        <w:gridCol w:w="1101"/>
        <w:gridCol w:w="7810"/>
      </w:tblGrid>
      <w:tr w:rsidR="0082021E">
        <w:trPr>
          <w:cantSplit/>
          <w:trHeight w:val="387"/>
        </w:trPr>
        <w:tc>
          <w:tcPr>
            <w:tcW w:w="727" w:type="dxa"/>
            <w:tcBorders>
              <w:top w:val="single" w:sz="12" w:space="0" w:color="auto"/>
            </w:tcBorders>
            <w:shd w:val="clear" w:color="C0C0C0" w:fill="F2F2F2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Номер п/п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C0C0C0" w:fill="F2F2F2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Время</w:t>
            </w:r>
          </w:p>
        </w:tc>
        <w:tc>
          <w:tcPr>
            <w:tcW w:w="7810" w:type="dxa"/>
            <w:tcBorders>
              <w:top w:val="single" w:sz="12" w:space="0" w:color="auto"/>
            </w:tcBorders>
            <w:shd w:val="clear" w:color="C0C0C0" w:fill="F2F2F2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Описание событий или действий</w:t>
            </w:r>
          </w:p>
        </w:tc>
      </w:tr>
      <w:tr w:rsidR="0082021E">
        <w:trPr>
          <w:cantSplit/>
          <w:trHeight w:val="387"/>
        </w:trPr>
        <w:tc>
          <w:tcPr>
            <w:tcW w:w="727" w:type="dxa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1" w:type="dxa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T1*</w:t>
            </w:r>
          </w:p>
        </w:tc>
        <w:tc>
          <w:tcPr>
            <w:tcW w:w="7810" w:type="dxa"/>
            <w:vAlign w:val="center"/>
          </w:tcPr>
          <w:p w:rsidR="0082021E" w:rsidRDefault="0082021E">
            <w:pPr>
              <w:pStyle w:val="a1"/>
              <w:keepNext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АО «ЦФР» направляет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Банку Сообщение об открытии торговой сессии.</w:t>
            </w:r>
          </w:p>
        </w:tc>
      </w:tr>
      <w:tr w:rsidR="0082021E">
        <w:trPr>
          <w:cantSplit/>
          <w:trHeight w:val="400"/>
        </w:trPr>
        <w:tc>
          <w:tcPr>
            <w:tcW w:w="727" w:type="dxa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1" w:type="dxa"/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Не позже</w:t>
            </w:r>
          </w:p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T1+15 мин.</w:t>
            </w:r>
          </w:p>
        </w:tc>
        <w:tc>
          <w:tcPr>
            <w:tcW w:w="7810" w:type="dxa"/>
            <w:vAlign w:val="center"/>
          </w:tcPr>
          <w:p w:rsidR="0082021E" w:rsidRDefault="0082021E">
            <w:pPr>
              <w:pStyle w:val="a1"/>
              <w:keepNext/>
              <w:pBdr>
                <w:between w:val="single" w:sz="6" w:space="1" w:color="auto"/>
              </w:pBd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направляет в АО «ЦФР» отчет, содержащий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Информацию об остатках на торговых счетах*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*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участников ОРЭМ.</w:t>
            </w:r>
          </w:p>
        </w:tc>
      </w:tr>
      <w:tr w:rsidR="0082021E">
        <w:trPr>
          <w:cantSplit/>
          <w:trHeight w:val="787"/>
        </w:trPr>
        <w:tc>
          <w:tcPr>
            <w:tcW w:w="727" w:type="dxa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1" w:type="dxa"/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T2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Не позже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Т1 + 45</w:t>
            </w:r>
          </w:p>
        </w:tc>
        <w:tc>
          <w:tcPr>
            <w:tcW w:w="7810" w:type="dxa"/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АО «ЦФР» передает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Банку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сообщение, которое содержит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Р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еестр платежей.</w:t>
            </w:r>
          </w:p>
        </w:tc>
      </w:tr>
      <w:tr w:rsidR="0082021E">
        <w:trPr>
          <w:cantSplit/>
          <w:trHeight w:val="1187"/>
        </w:trPr>
        <w:tc>
          <w:tcPr>
            <w:tcW w:w="727" w:type="dxa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1" w:type="dxa"/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Т3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Не позже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T2+10 мин.</w:t>
            </w:r>
          </w:p>
        </w:tc>
        <w:tc>
          <w:tcPr>
            <w:tcW w:w="7810" w:type="dxa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направляет в АО «ЦФР»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Информацию о предполагаемых остатках на торговых счетах,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которые сформировались бы в случае исполнения платежей в соответствии с реестром платежей. 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направляет в АО «ЦФР»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Р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еестр платежей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с указанием возможности их исполнения.</w:t>
            </w:r>
          </w:p>
        </w:tc>
      </w:tr>
      <w:tr w:rsidR="0082021E">
        <w:trPr>
          <w:cantSplit/>
          <w:trHeight w:val="593"/>
        </w:trPr>
        <w:tc>
          <w:tcPr>
            <w:tcW w:w="727" w:type="dxa"/>
            <w:vMerge w:val="restart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1" w:type="dxa"/>
            <w:vMerge w:val="restart"/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en-US"/>
              </w:rPr>
              <w:t>T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4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Не позже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T3+35 мин.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810" w:type="dxa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pBdr>
                <w:between w:val="single" w:sz="6" w:space="1" w:color="auto"/>
              </w:pBd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АО «ЦФР» проверяет возможность исполнения всех платежей и изменения остатков на торговых счетах участников ОРЭМ в соответствии с собственными расчетами АО «ЦФР».</w:t>
            </w:r>
          </w:p>
        </w:tc>
      </w:tr>
      <w:tr w:rsidR="0082021E">
        <w:trPr>
          <w:cantSplit/>
          <w:trHeight w:val="124"/>
        </w:trPr>
        <w:tc>
          <w:tcPr>
            <w:tcW w:w="727" w:type="dxa"/>
            <w:vMerge/>
            <w:vAlign w:val="center"/>
          </w:tcPr>
          <w:p w:rsidR="0082021E" w:rsidRDefault="0082021E">
            <w:pPr>
              <w:pStyle w:val="a1"/>
              <w:keepNext/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vMerge/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810" w:type="dxa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pBdr>
                <w:between w:val="single" w:sz="6" w:space="1" w:color="auto"/>
              </w:pBd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положительных результатов указанной проверки АО «ЦФР» направляет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Банку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сообщение, означающее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акцепт со стороны АО «ЦФР»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предварительных результатов расчетов.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pBdr>
                <w:between w:val="single" w:sz="6" w:space="1" w:color="auto"/>
              </w:pBd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отрицательных результатов указанной проверки АО «ЦФР» направляет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Банку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исправленный реестр либо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Сообщение о закрытии торговой сессии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 означающее закрытие торговой сессии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</w:tr>
      <w:tr w:rsidR="0082021E">
        <w:trPr>
          <w:cantSplit/>
          <w:trHeight w:val="593"/>
        </w:trPr>
        <w:tc>
          <w:tcPr>
            <w:tcW w:w="727" w:type="dxa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01" w:type="dxa"/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en-US"/>
              </w:rPr>
              <w:t>T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5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Не позже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T4+20 мин.</w:t>
            </w:r>
          </w:p>
        </w:tc>
        <w:tc>
          <w:tcPr>
            <w:tcW w:w="7810" w:type="dxa"/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исполняет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Р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еестр платежей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и передает в АО «ЦФР»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Информацию об остатках на торговых счетах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 получившихся после исполнения Реестра.</w:t>
            </w:r>
          </w:p>
        </w:tc>
      </w:tr>
      <w:tr w:rsidR="0082021E">
        <w:trPr>
          <w:cantSplit/>
          <w:trHeight w:val="593"/>
        </w:trPr>
        <w:tc>
          <w:tcPr>
            <w:tcW w:w="727" w:type="dxa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7</w:t>
            </w:r>
            <w:r>
              <w:rPr>
                <w:rFonts w:ascii="Garamond" w:hAnsi="Garamond"/>
                <w:sz w:val="22"/>
                <w:szCs w:val="22"/>
                <w:lang w:eastAsia="ru-RU"/>
              </w:rPr>
              <w:t>**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en-US" w:eastAsia="ru-RU"/>
              </w:rPr>
              <w:t>*</w:t>
            </w:r>
          </w:p>
        </w:tc>
        <w:tc>
          <w:tcPr>
            <w:tcW w:w="1101" w:type="dxa"/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en-US"/>
              </w:rPr>
              <w:t>T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6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Не позже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T5+35 мин.</w:t>
            </w:r>
          </w:p>
        </w:tc>
        <w:tc>
          <w:tcPr>
            <w:tcW w:w="7810" w:type="dxa"/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pBdr>
                <w:between w:val="single" w:sz="6" w:space="1" w:color="auto"/>
              </w:pBd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АО «ЦФР» направляет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Банку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Сообщение о закрытии торговой сессии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 означающее закрытие торговой сессии.</w:t>
            </w:r>
          </w:p>
        </w:tc>
      </w:tr>
      <w:tr w:rsidR="0082021E">
        <w:trPr>
          <w:cantSplit/>
          <w:trHeight w:val="593"/>
        </w:trPr>
        <w:tc>
          <w:tcPr>
            <w:tcW w:w="727" w:type="dxa"/>
            <w:tcBorders>
              <w:bottom w:val="single" w:sz="12" w:space="0" w:color="auto"/>
            </w:tcBorders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jc w:val="center"/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Не позже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en-US"/>
              </w:rPr>
              <w:t>T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7***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en-US"/>
              </w:rPr>
              <w:t>*</w:t>
            </w:r>
          </w:p>
        </w:tc>
        <w:tc>
          <w:tcPr>
            <w:tcW w:w="7810" w:type="dxa"/>
            <w:tcBorders>
              <w:bottom w:val="single" w:sz="12" w:space="0" w:color="auto"/>
            </w:tcBorders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pBdr>
                <w:between w:val="single" w:sz="6" w:space="1" w:color="auto"/>
              </w:pBd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АО «ЦФР» направляет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Банку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Сообщение о закрытии операционного дня.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При приеме этого сообщения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осуществляет перевод денежных средств с торговых счетов на соответствующие основные счета.</w:t>
            </w:r>
          </w:p>
        </w:tc>
      </w:tr>
    </w:tbl>
    <w:p w:rsidR="0082021E" w:rsidRDefault="0082021E">
      <w:pPr>
        <w:pStyle w:val="BodyText"/>
        <w:ind w:firstLine="33"/>
        <w:rPr>
          <w:rFonts w:ascii="Garamond" w:hAnsi="Garamond"/>
          <w:b/>
          <w:spacing w:val="1"/>
          <w:sz w:val="12"/>
          <w:szCs w:val="12"/>
          <w:lang w:val="ru-RU"/>
        </w:rPr>
      </w:pPr>
    </w:p>
    <w:p w:rsidR="0082021E" w:rsidRDefault="0082021E">
      <w:pPr>
        <w:pStyle w:val="a1"/>
        <w:keepNext/>
        <w:jc w:val="both"/>
        <w:rPr>
          <w:rFonts w:ascii="Garamond" w:hAnsi="Garamond"/>
          <w:b/>
          <w:sz w:val="22"/>
          <w:szCs w:val="22"/>
          <w:lang w:eastAsia="ru-RU"/>
        </w:rPr>
      </w:pPr>
      <w:r>
        <w:rPr>
          <w:rFonts w:ascii="Garamond" w:hAnsi="Garamond"/>
          <w:b/>
          <w:sz w:val="22"/>
          <w:szCs w:val="22"/>
          <w:lang w:eastAsia="ru-RU"/>
        </w:rPr>
        <w:t>Примечания.</w:t>
      </w:r>
    </w:p>
    <w:p w:rsidR="0082021E" w:rsidRDefault="0082021E">
      <w:pPr>
        <w:pStyle w:val="a1"/>
        <w:keepNext/>
        <w:jc w:val="both"/>
        <w:rPr>
          <w:rFonts w:ascii="Garamond" w:hAnsi="Garamond"/>
          <w:sz w:val="22"/>
          <w:szCs w:val="22"/>
          <w:lang w:eastAsia="ru-RU"/>
        </w:rPr>
      </w:pPr>
      <w:r>
        <w:rPr>
          <w:rFonts w:ascii="Garamond" w:hAnsi="Garamond"/>
          <w:sz w:val="22"/>
          <w:szCs w:val="22"/>
          <w:highlight w:val="yellow"/>
          <w:lang w:eastAsia="ru-RU"/>
        </w:rPr>
        <w:t xml:space="preserve">* </w:t>
      </w:r>
      <w:r>
        <w:rPr>
          <w:rFonts w:ascii="Garamond" w:hAnsi="Garamond"/>
          <w:sz w:val="22"/>
          <w:szCs w:val="22"/>
          <w:highlight w:val="yellow"/>
          <w:lang w:eastAsia="ru-RU"/>
        </w:rPr>
        <w:tab/>
        <w:t>Если открываемая торговая сессия является первой за текущий день, то открытие торговой сессии приводит к открытию операционного дня, и время T1 – не ранее 9 ч. 00 мин. (время московское).</w:t>
      </w:r>
    </w:p>
    <w:p w:rsidR="0082021E" w:rsidRDefault="0082021E">
      <w:pPr>
        <w:pStyle w:val="a1"/>
        <w:keepNext/>
        <w:jc w:val="both"/>
        <w:rPr>
          <w:rFonts w:ascii="Garamond" w:hAnsi="Garamond"/>
          <w:sz w:val="22"/>
          <w:szCs w:val="22"/>
          <w:lang w:eastAsia="ru-RU"/>
        </w:rPr>
      </w:pPr>
      <w:r>
        <w:rPr>
          <w:rFonts w:ascii="Garamond" w:hAnsi="Garamond"/>
          <w:sz w:val="22"/>
          <w:szCs w:val="22"/>
          <w:lang w:eastAsia="ru-RU"/>
        </w:rPr>
        <w:t xml:space="preserve">** </w:t>
      </w:r>
      <w:r>
        <w:rPr>
          <w:rFonts w:ascii="Garamond" w:hAnsi="Garamond"/>
          <w:sz w:val="22"/>
          <w:szCs w:val="22"/>
          <w:lang w:eastAsia="ru-RU"/>
        </w:rPr>
        <w:tab/>
        <w:t xml:space="preserve">Содержащий информацию о статусе участия торгового счета в торгах: </w:t>
      </w:r>
    </w:p>
    <w:p w:rsidR="0082021E" w:rsidRDefault="0082021E">
      <w:pPr>
        <w:pStyle w:val="a1"/>
        <w:keepNext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eastAsia="ru-RU"/>
        </w:rPr>
        <w:t>код «0» – расчеты проводятся в полном объеме, без ограничений</w:t>
      </w:r>
      <w:r>
        <w:rPr>
          <w:rFonts w:ascii="Garamond" w:hAnsi="Garamond"/>
          <w:sz w:val="22"/>
          <w:szCs w:val="22"/>
        </w:rPr>
        <w:t xml:space="preserve">; </w:t>
      </w:r>
    </w:p>
    <w:p w:rsidR="0082021E" w:rsidRDefault="0082021E">
      <w:pPr>
        <w:pStyle w:val="a1"/>
        <w:keepNext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eastAsia="ru-RU"/>
        </w:rPr>
        <w:t>код «1» – проводятся только операции по зачислению средств</w:t>
      </w:r>
      <w:r>
        <w:rPr>
          <w:rFonts w:ascii="Garamond" w:hAnsi="Garamond"/>
          <w:sz w:val="22"/>
          <w:szCs w:val="22"/>
        </w:rPr>
        <w:t>.</w:t>
      </w:r>
    </w:p>
    <w:p w:rsidR="0082021E" w:rsidRDefault="0082021E">
      <w:pPr>
        <w:pStyle w:val="a1"/>
        <w:keepNext/>
        <w:jc w:val="both"/>
        <w:rPr>
          <w:rFonts w:ascii="Garamond" w:hAnsi="Garamond"/>
          <w:sz w:val="22"/>
          <w:szCs w:val="22"/>
          <w:lang w:eastAsia="ru-RU"/>
        </w:rPr>
      </w:pPr>
      <w:r>
        <w:rPr>
          <w:rFonts w:ascii="Garamond" w:hAnsi="Garamond"/>
          <w:sz w:val="22"/>
          <w:szCs w:val="22"/>
          <w:lang w:eastAsia="ru-RU"/>
        </w:rPr>
        <w:t xml:space="preserve">*** </w:t>
      </w:r>
      <w:r>
        <w:rPr>
          <w:rFonts w:ascii="Garamond" w:hAnsi="Garamond"/>
          <w:sz w:val="22"/>
          <w:szCs w:val="22"/>
          <w:lang w:eastAsia="ru-RU"/>
        </w:rPr>
        <w:tab/>
        <w:t>Последовательность операций, включенных в пункты 1–7, может проводиться несколько раз в течение операционного дня.</w:t>
      </w:r>
    </w:p>
    <w:p w:rsidR="0082021E" w:rsidRDefault="0082021E">
      <w:pPr>
        <w:pStyle w:val="BodyText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highlight w:val="yellow"/>
          <w:lang w:val="ru-RU"/>
        </w:rPr>
        <w:t xml:space="preserve">**** </w:t>
      </w:r>
      <w:r>
        <w:rPr>
          <w:rFonts w:ascii="Garamond" w:hAnsi="Garamond"/>
          <w:szCs w:val="22"/>
          <w:highlight w:val="yellow"/>
          <w:lang w:val="ru-RU"/>
        </w:rPr>
        <w:tab/>
        <w:t xml:space="preserve">Время </w:t>
      </w:r>
      <w:r>
        <w:rPr>
          <w:rFonts w:ascii="Garamond" w:hAnsi="Garamond"/>
          <w:szCs w:val="22"/>
          <w:highlight w:val="yellow"/>
        </w:rPr>
        <w:t>T</w:t>
      </w:r>
      <w:r>
        <w:rPr>
          <w:rFonts w:ascii="Garamond" w:hAnsi="Garamond"/>
          <w:szCs w:val="22"/>
          <w:highlight w:val="yellow"/>
          <w:lang w:val="ru-RU"/>
        </w:rPr>
        <w:t>7 устанавливается равным 17 ч. 30 мин. (время московское).</w:t>
      </w:r>
    </w:p>
    <w:p w:rsidR="0082021E" w:rsidRDefault="0082021E">
      <w:pPr>
        <w:rPr>
          <w:rFonts w:ascii="Garamond" w:hAnsi="Garamond"/>
          <w:b/>
          <w:sz w:val="22"/>
          <w:szCs w:val="22"/>
        </w:rPr>
      </w:pPr>
    </w:p>
    <w:p w:rsidR="0082021E" w:rsidRDefault="0082021E">
      <w:pPr>
        <w:rPr>
          <w:rFonts w:ascii="Garamond" w:hAnsi="Garamond"/>
          <w:b/>
          <w:sz w:val="22"/>
          <w:szCs w:val="22"/>
        </w:rPr>
      </w:pPr>
    </w:p>
    <w:p w:rsidR="0082021E" w:rsidRDefault="0082021E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Предлагаемая редакция</w:t>
      </w:r>
    </w:p>
    <w:p w:rsidR="0082021E" w:rsidRDefault="0082021E">
      <w:pPr>
        <w:jc w:val="right"/>
        <w:rPr>
          <w:rFonts w:ascii="Garamond" w:hAnsi="Garamond"/>
          <w:b/>
          <w:spacing w:val="1"/>
          <w:sz w:val="22"/>
          <w:szCs w:val="22"/>
        </w:rPr>
      </w:pPr>
      <w:r>
        <w:rPr>
          <w:rFonts w:ascii="Garamond" w:hAnsi="Garamond"/>
          <w:b/>
          <w:spacing w:val="1"/>
          <w:sz w:val="22"/>
          <w:szCs w:val="22"/>
        </w:rPr>
        <w:t xml:space="preserve">Приложение 54  </w:t>
      </w:r>
    </w:p>
    <w:p w:rsidR="0082021E" w:rsidRDefault="0082021E">
      <w:pPr>
        <w:jc w:val="right"/>
        <w:rPr>
          <w:rFonts w:ascii="Garamond" w:hAnsi="Garamond"/>
          <w:b/>
          <w:spacing w:val="1"/>
          <w:sz w:val="22"/>
          <w:szCs w:val="22"/>
        </w:rPr>
      </w:pPr>
      <w:r>
        <w:rPr>
          <w:rFonts w:ascii="Garamond" w:hAnsi="Garamond"/>
          <w:b/>
          <w:spacing w:val="1"/>
          <w:sz w:val="22"/>
          <w:szCs w:val="22"/>
        </w:rPr>
        <w:t xml:space="preserve">к Регламенту финансовых расчетов </w:t>
      </w:r>
    </w:p>
    <w:p w:rsidR="0082021E" w:rsidRDefault="0082021E">
      <w:pPr>
        <w:jc w:val="right"/>
        <w:rPr>
          <w:rFonts w:ascii="Garamond" w:hAnsi="Garamond"/>
          <w:b/>
          <w:spacing w:val="1"/>
          <w:sz w:val="22"/>
          <w:szCs w:val="22"/>
        </w:rPr>
      </w:pPr>
      <w:r>
        <w:rPr>
          <w:rFonts w:ascii="Garamond" w:hAnsi="Garamond"/>
          <w:b/>
          <w:spacing w:val="1"/>
          <w:sz w:val="22"/>
          <w:szCs w:val="22"/>
        </w:rPr>
        <w:t xml:space="preserve">на оптовом рынке электроэнергии </w:t>
      </w:r>
    </w:p>
    <w:p w:rsidR="0082021E" w:rsidRDefault="0082021E">
      <w:pPr>
        <w:pStyle w:val="BodyText"/>
        <w:spacing w:before="0" w:after="0"/>
        <w:ind w:firstLine="708"/>
        <w:jc w:val="center"/>
        <w:rPr>
          <w:rFonts w:ascii="Garamond" w:hAnsi="Garamond"/>
          <w:b/>
          <w:spacing w:val="1"/>
          <w:szCs w:val="22"/>
          <w:lang w:val="ru-RU"/>
        </w:rPr>
      </w:pPr>
    </w:p>
    <w:p w:rsidR="0082021E" w:rsidRDefault="0082021E">
      <w:pPr>
        <w:pStyle w:val="BodyText"/>
        <w:ind w:firstLine="708"/>
        <w:jc w:val="center"/>
        <w:rPr>
          <w:rFonts w:ascii="Garamond" w:hAnsi="Garamond"/>
          <w:b/>
          <w:spacing w:val="1"/>
          <w:szCs w:val="22"/>
          <w:lang w:val="ru-RU"/>
        </w:rPr>
      </w:pPr>
      <w:r>
        <w:rPr>
          <w:rFonts w:ascii="Garamond" w:hAnsi="Garamond"/>
          <w:b/>
          <w:spacing w:val="1"/>
          <w:szCs w:val="22"/>
          <w:lang w:val="ru-RU"/>
        </w:rPr>
        <w:t xml:space="preserve">Порядок обмена документами и информацией между </w:t>
      </w:r>
      <w:r>
        <w:rPr>
          <w:rFonts w:ascii="Garamond" w:hAnsi="Garamond"/>
          <w:b/>
          <w:szCs w:val="22"/>
          <w:lang w:val="ru-RU"/>
        </w:rPr>
        <w:t>уполномоченной кредитной организацией</w:t>
      </w:r>
      <w:r>
        <w:rPr>
          <w:rFonts w:ascii="Garamond" w:hAnsi="Garamond"/>
          <w:b/>
          <w:spacing w:val="1"/>
          <w:szCs w:val="22"/>
          <w:lang w:val="ru-RU"/>
        </w:rPr>
        <w:t xml:space="preserve"> и АО «ЦФР» при проведении платежей</w:t>
      </w:r>
    </w:p>
    <w:tbl>
      <w:tblPr>
        <w:tblW w:w="8537" w:type="dxa"/>
        <w:tblInd w:w="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19"/>
        <w:gridCol w:w="7418"/>
      </w:tblGrid>
      <w:tr w:rsidR="0082021E">
        <w:trPr>
          <w:cantSplit/>
          <w:trHeight w:val="387"/>
        </w:trPr>
        <w:tc>
          <w:tcPr>
            <w:tcW w:w="1119" w:type="dxa"/>
            <w:tcBorders>
              <w:top w:val="single" w:sz="12" w:space="0" w:color="auto"/>
            </w:tcBorders>
            <w:shd w:val="clear" w:color="C0C0C0" w:fill="F2F2F2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Номер п/п</w:t>
            </w:r>
          </w:p>
        </w:tc>
        <w:tc>
          <w:tcPr>
            <w:tcW w:w="7418" w:type="dxa"/>
            <w:tcBorders>
              <w:top w:val="single" w:sz="12" w:space="0" w:color="auto"/>
            </w:tcBorders>
            <w:shd w:val="clear" w:color="C0C0C0" w:fill="F2F2F2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Описание событий или действий</w:t>
            </w:r>
          </w:p>
        </w:tc>
      </w:tr>
      <w:tr w:rsidR="0082021E">
        <w:trPr>
          <w:cantSplit/>
          <w:trHeight w:val="387"/>
        </w:trPr>
        <w:tc>
          <w:tcPr>
            <w:tcW w:w="1119" w:type="dxa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18" w:type="dxa"/>
            <w:vAlign w:val="center"/>
          </w:tcPr>
          <w:p w:rsidR="0082021E" w:rsidRDefault="0082021E">
            <w:pPr>
              <w:pStyle w:val="a1"/>
              <w:keepNext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АО «ЦФР» направляет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Банку Сообщение об открытии торговой сессии.</w:t>
            </w:r>
          </w:p>
        </w:tc>
      </w:tr>
      <w:tr w:rsidR="0082021E">
        <w:trPr>
          <w:cantSplit/>
          <w:trHeight w:val="400"/>
        </w:trPr>
        <w:tc>
          <w:tcPr>
            <w:tcW w:w="1119" w:type="dxa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18" w:type="dxa"/>
            <w:vAlign w:val="center"/>
          </w:tcPr>
          <w:p w:rsidR="0082021E" w:rsidRDefault="0082021E">
            <w:pPr>
              <w:pStyle w:val="a1"/>
              <w:keepNext/>
              <w:pBdr>
                <w:between w:val="single" w:sz="6" w:space="1" w:color="auto"/>
              </w:pBd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направляет в АО «ЦФР» отчет, содержащий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Информацию об остатках на торговых счетах *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участников ОРЭМ.</w:t>
            </w:r>
          </w:p>
        </w:tc>
      </w:tr>
      <w:tr w:rsidR="0082021E">
        <w:trPr>
          <w:cantSplit/>
          <w:trHeight w:val="787"/>
        </w:trPr>
        <w:tc>
          <w:tcPr>
            <w:tcW w:w="1119" w:type="dxa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18" w:type="dxa"/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АО «ЦФР» передает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Банку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сообщение, которое содержит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Сводный р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еестр платежей.</w:t>
            </w:r>
          </w:p>
        </w:tc>
      </w:tr>
      <w:tr w:rsidR="0082021E">
        <w:trPr>
          <w:cantSplit/>
          <w:trHeight w:val="1187"/>
        </w:trPr>
        <w:tc>
          <w:tcPr>
            <w:tcW w:w="1119" w:type="dxa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18" w:type="dxa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направляет в АО «ЦФР»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Информацию о предполагаемых остатках на торговых счетах,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которые сформировались бы в случае исполнения платежей в соответствии с реестром платежей. 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направляет в АО «ЦФР»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Сводный р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еестр платежей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с указанием возможности их исполнения.</w:t>
            </w:r>
          </w:p>
        </w:tc>
      </w:tr>
      <w:tr w:rsidR="0082021E">
        <w:trPr>
          <w:cantSplit/>
          <w:trHeight w:val="593"/>
        </w:trPr>
        <w:tc>
          <w:tcPr>
            <w:tcW w:w="1119" w:type="dxa"/>
            <w:vMerge w:val="restart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18" w:type="dxa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pBdr>
                <w:between w:val="single" w:sz="6" w:space="1" w:color="auto"/>
              </w:pBd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АО «ЦФР» проверяет возможность исполнения всех платежей и изменения остатков на торговых счетах участников ОРЭМ в соответствии с собственными расчетами АО «ЦФР».</w:t>
            </w:r>
          </w:p>
        </w:tc>
      </w:tr>
      <w:tr w:rsidR="0082021E">
        <w:trPr>
          <w:cantSplit/>
          <w:trHeight w:val="124"/>
        </w:trPr>
        <w:tc>
          <w:tcPr>
            <w:tcW w:w="1119" w:type="dxa"/>
            <w:vMerge/>
            <w:vAlign w:val="center"/>
          </w:tcPr>
          <w:p w:rsidR="0082021E" w:rsidRDefault="0082021E">
            <w:pPr>
              <w:pStyle w:val="a1"/>
              <w:keepNext/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7418" w:type="dxa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pBdr>
                <w:between w:val="single" w:sz="6" w:space="1" w:color="auto"/>
              </w:pBd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положительных результатов указанной проверки АО «ЦФР» направляет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Банку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сообщение, означающее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акцепт со стороны АО «ЦФР»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предварительных результатов расчетов.</w:t>
            </w:r>
          </w:p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pBdr>
                <w:between w:val="single" w:sz="6" w:space="1" w:color="auto"/>
              </w:pBd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В случае отрицательных результатов указанной проверки АО «ЦФР» направляет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Банку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исправленный реестр либо 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Сообщение о закрытии торговой сессии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 означающее закрытие торговой сессии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</w:tr>
      <w:tr w:rsidR="0082021E">
        <w:trPr>
          <w:cantSplit/>
          <w:trHeight w:val="593"/>
        </w:trPr>
        <w:tc>
          <w:tcPr>
            <w:tcW w:w="1119" w:type="dxa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18" w:type="dxa"/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исполняет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  <w:highlight w:val="yellow"/>
              </w:rPr>
              <w:t>Сводный р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еестр платежей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и передает в АО «ЦФР»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Информацию об остатках на торговых счетах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 получившихся после исполнения Реестра.</w:t>
            </w:r>
          </w:p>
        </w:tc>
      </w:tr>
      <w:tr w:rsidR="0082021E">
        <w:trPr>
          <w:cantSplit/>
          <w:trHeight w:val="593"/>
        </w:trPr>
        <w:tc>
          <w:tcPr>
            <w:tcW w:w="1119" w:type="dxa"/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7 </w:t>
            </w:r>
            <w:r>
              <w:rPr>
                <w:rFonts w:ascii="Garamond" w:hAnsi="Garamond"/>
                <w:sz w:val="22"/>
                <w:szCs w:val="22"/>
                <w:lang w:eastAsia="ru-RU"/>
              </w:rPr>
              <w:t>**</w:t>
            </w:r>
          </w:p>
        </w:tc>
        <w:tc>
          <w:tcPr>
            <w:tcW w:w="7418" w:type="dxa"/>
            <w:vAlign w:val="center"/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pBdr>
                <w:between w:val="single" w:sz="6" w:space="1" w:color="auto"/>
              </w:pBd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АО «ЦФР» направляет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Банку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Сообщение о закрытии торговой сессии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, означающее закрытие торговой сессии.</w:t>
            </w:r>
          </w:p>
        </w:tc>
      </w:tr>
      <w:tr w:rsidR="0082021E">
        <w:trPr>
          <w:cantSplit/>
          <w:trHeight w:val="593"/>
        </w:trPr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:rsidR="0082021E" w:rsidRDefault="0082021E">
            <w:pPr>
              <w:pStyle w:val="a1"/>
              <w:keepNext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8 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***</w:t>
            </w:r>
          </w:p>
        </w:tc>
        <w:tc>
          <w:tcPr>
            <w:tcW w:w="7418" w:type="dxa"/>
            <w:tcBorders>
              <w:bottom w:val="single" w:sz="12" w:space="0" w:color="auto"/>
            </w:tcBorders>
          </w:tcPr>
          <w:p w:rsidR="0082021E" w:rsidRDefault="0082021E">
            <w:pPr>
              <w:pStyle w:val="a1"/>
              <w:keepNext/>
              <w:numPr>
                <w:ilvl w:val="12"/>
                <w:numId w:val="0"/>
              </w:numPr>
              <w:pBdr>
                <w:between w:val="single" w:sz="6" w:space="1" w:color="auto"/>
              </w:pBd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АО «ЦФР» направляет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Банку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Сообщение о закрытии операционного дня.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При приеме этого сообщения </w:t>
            </w:r>
            <w:r>
              <w:rPr>
                <w:rFonts w:ascii="Garamond" w:hAnsi="Garamond"/>
                <w:b/>
                <w:color w:val="000000"/>
                <w:sz w:val="22"/>
                <w:szCs w:val="22"/>
              </w:rPr>
              <w:t>Банк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осуществляет перевод денежных средств с торговых счетов на соответствующие основные счета.</w:t>
            </w:r>
          </w:p>
        </w:tc>
      </w:tr>
    </w:tbl>
    <w:p w:rsidR="0082021E" w:rsidRDefault="0082021E">
      <w:pPr>
        <w:pStyle w:val="BodyText"/>
        <w:ind w:firstLine="33"/>
        <w:rPr>
          <w:rFonts w:ascii="Garamond" w:hAnsi="Garamond"/>
          <w:b/>
          <w:spacing w:val="1"/>
          <w:szCs w:val="22"/>
          <w:lang w:val="ru-RU"/>
        </w:rPr>
      </w:pPr>
    </w:p>
    <w:p w:rsidR="0082021E" w:rsidRDefault="0082021E">
      <w:pPr>
        <w:pStyle w:val="a1"/>
        <w:keepNext/>
        <w:jc w:val="both"/>
        <w:rPr>
          <w:rFonts w:ascii="Garamond" w:hAnsi="Garamond"/>
          <w:b/>
          <w:sz w:val="22"/>
          <w:szCs w:val="22"/>
          <w:lang w:eastAsia="ru-RU"/>
        </w:rPr>
      </w:pPr>
      <w:r>
        <w:rPr>
          <w:rFonts w:ascii="Garamond" w:hAnsi="Garamond"/>
          <w:b/>
          <w:sz w:val="22"/>
          <w:szCs w:val="22"/>
          <w:lang w:eastAsia="ru-RU"/>
        </w:rPr>
        <w:t>Примечания.</w:t>
      </w:r>
    </w:p>
    <w:p w:rsidR="0082021E" w:rsidRDefault="0082021E">
      <w:pPr>
        <w:pStyle w:val="a1"/>
        <w:keepNext/>
        <w:jc w:val="both"/>
        <w:rPr>
          <w:rFonts w:ascii="Garamond" w:hAnsi="Garamond"/>
          <w:sz w:val="22"/>
          <w:szCs w:val="22"/>
          <w:lang w:eastAsia="ru-RU"/>
        </w:rPr>
      </w:pPr>
      <w:r>
        <w:rPr>
          <w:rFonts w:ascii="Garamond" w:hAnsi="Garamond"/>
          <w:sz w:val="22"/>
          <w:szCs w:val="22"/>
          <w:lang w:eastAsia="ru-RU"/>
        </w:rPr>
        <w:t xml:space="preserve">* </w:t>
      </w:r>
      <w:r>
        <w:rPr>
          <w:rFonts w:ascii="Garamond" w:hAnsi="Garamond"/>
          <w:sz w:val="22"/>
          <w:szCs w:val="22"/>
          <w:lang w:eastAsia="ru-RU"/>
        </w:rPr>
        <w:tab/>
        <w:t xml:space="preserve">Содержащий информацию о статусе участия торгового счета в торгах: </w:t>
      </w:r>
    </w:p>
    <w:p w:rsidR="0082021E" w:rsidRDefault="0082021E">
      <w:pPr>
        <w:pStyle w:val="a1"/>
        <w:keepNext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eastAsia="ru-RU"/>
        </w:rPr>
        <w:t>код «0» – расчеты проводятся в полном объеме, без ограничений</w:t>
      </w:r>
      <w:r>
        <w:rPr>
          <w:rFonts w:ascii="Garamond" w:hAnsi="Garamond"/>
          <w:sz w:val="22"/>
          <w:szCs w:val="22"/>
        </w:rPr>
        <w:t xml:space="preserve">; </w:t>
      </w:r>
    </w:p>
    <w:p w:rsidR="0082021E" w:rsidRDefault="0082021E">
      <w:pPr>
        <w:pStyle w:val="a1"/>
        <w:keepNext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eastAsia="ru-RU"/>
        </w:rPr>
        <w:t>код «1» – проводятся только операции по зачислению средств</w:t>
      </w:r>
      <w:r>
        <w:rPr>
          <w:rFonts w:ascii="Garamond" w:hAnsi="Garamond"/>
          <w:sz w:val="22"/>
          <w:szCs w:val="22"/>
        </w:rPr>
        <w:t>.</w:t>
      </w:r>
    </w:p>
    <w:p w:rsidR="0082021E" w:rsidRDefault="0082021E">
      <w:pPr>
        <w:pStyle w:val="a1"/>
        <w:keepNext/>
        <w:jc w:val="both"/>
        <w:rPr>
          <w:rFonts w:ascii="Garamond" w:hAnsi="Garamond"/>
          <w:sz w:val="22"/>
          <w:szCs w:val="22"/>
          <w:lang w:eastAsia="ru-RU"/>
        </w:rPr>
      </w:pPr>
      <w:r>
        <w:rPr>
          <w:rFonts w:ascii="Garamond" w:hAnsi="Garamond"/>
          <w:sz w:val="22"/>
          <w:szCs w:val="22"/>
          <w:lang w:eastAsia="ru-RU"/>
        </w:rPr>
        <w:t xml:space="preserve">** </w:t>
      </w:r>
      <w:r>
        <w:rPr>
          <w:rFonts w:ascii="Garamond" w:hAnsi="Garamond"/>
          <w:sz w:val="22"/>
          <w:szCs w:val="22"/>
          <w:lang w:eastAsia="ru-RU"/>
        </w:rPr>
        <w:tab/>
        <w:t>Последовательность операций, включенных в пункты 1–7, может проводиться несколько раз в течение операционного дня.</w:t>
      </w:r>
    </w:p>
    <w:p w:rsidR="0082021E" w:rsidRDefault="0082021E">
      <w:pPr>
        <w:pStyle w:val="a1"/>
        <w:keepNext/>
        <w:jc w:val="both"/>
        <w:rPr>
          <w:rFonts w:ascii="Garamond" w:hAnsi="Garamond"/>
          <w:sz w:val="22"/>
          <w:szCs w:val="22"/>
          <w:highlight w:val="yellow"/>
          <w:lang w:eastAsia="ru-RU"/>
        </w:rPr>
      </w:pPr>
      <w:r>
        <w:rPr>
          <w:rFonts w:ascii="Garamond" w:hAnsi="Garamond"/>
          <w:sz w:val="22"/>
          <w:szCs w:val="22"/>
          <w:highlight w:val="yellow"/>
          <w:lang w:eastAsia="ru-RU"/>
        </w:rPr>
        <w:t xml:space="preserve">*** </w:t>
      </w:r>
      <w:r>
        <w:rPr>
          <w:rFonts w:ascii="Garamond" w:hAnsi="Garamond"/>
          <w:sz w:val="22"/>
          <w:szCs w:val="22"/>
          <w:highlight w:val="yellow"/>
          <w:lang w:eastAsia="ru-RU"/>
        </w:rPr>
        <w:tab/>
        <w:t>Операции по открытию/закрытию операционного дня могут проводиться несколько раз в течение рабочего дня на основании открытия следующей (новой) торговой сессии / направления в уполномоченную кредитную организацию сообщения о закрытии операционного дня.</w:t>
      </w:r>
    </w:p>
    <w:p w:rsidR="0082021E" w:rsidRDefault="0082021E">
      <w:pPr>
        <w:pStyle w:val="a1"/>
        <w:keepNext/>
        <w:jc w:val="both"/>
        <w:rPr>
          <w:rFonts w:ascii="Garamond" w:hAnsi="Garamond"/>
          <w:sz w:val="22"/>
          <w:szCs w:val="22"/>
          <w:lang w:eastAsia="ru-RU"/>
        </w:rPr>
      </w:pPr>
      <w:r>
        <w:rPr>
          <w:rFonts w:ascii="Garamond" w:hAnsi="Garamond"/>
          <w:sz w:val="22"/>
          <w:szCs w:val="22"/>
        </w:rPr>
        <w:t xml:space="preserve">            </w:t>
      </w:r>
      <w:r>
        <w:rPr>
          <w:rFonts w:ascii="Garamond" w:hAnsi="Garamond"/>
          <w:sz w:val="22"/>
          <w:szCs w:val="22"/>
          <w:highlight w:val="yellow"/>
        </w:rPr>
        <w:t xml:space="preserve"> Время устанавливается не позднее 20 ч. 00 мин. (время московское).</w:t>
      </w:r>
    </w:p>
    <w:p w:rsidR="0082021E" w:rsidRDefault="0082021E">
      <w:pPr>
        <w:pStyle w:val="a1"/>
        <w:keepNext/>
        <w:jc w:val="both"/>
        <w:rPr>
          <w:rFonts w:ascii="Garamond" w:hAnsi="Garamond"/>
          <w:sz w:val="22"/>
          <w:szCs w:val="22"/>
          <w:lang w:eastAsia="ru-RU"/>
        </w:rPr>
      </w:pPr>
    </w:p>
    <w:p w:rsidR="0082021E" w:rsidRDefault="0082021E">
      <w:pPr>
        <w:pStyle w:val="a1"/>
        <w:keepNext/>
        <w:jc w:val="both"/>
        <w:rPr>
          <w:rFonts w:ascii="Garamond" w:hAnsi="Garamond"/>
          <w:sz w:val="22"/>
          <w:szCs w:val="22"/>
          <w:lang w:eastAsia="ru-RU"/>
        </w:rPr>
      </w:pPr>
    </w:p>
    <w:p w:rsidR="0082021E" w:rsidRDefault="0082021E">
      <w:pPr>
        <w:pStyle w:val="a1"/>
        <w:keepNext/>
        <w:jc w:val="both"/>
        <w:rPr>
          <w:rFonts w:ascii="Garamond" w:hAnsi="Garamond"/>
          <w:sz w:val="22"/>
          <w:szCs w:val="22"/>
          <w:lang w:eastAsia="ru-RU"/>
        </w:rPr>
        <w:sectPr w:rsidR="0082021E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82021E" w:rsidRDefault="0082021E" w:rsidP="004E5E35">
      <w:pPr>
        <w:widowControl w:val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Положение о порядке предоставления финансовых гарантий на оптовом рынке</w:t>
      </w:r>
      <w:r>
        <w:rPr>
          <w:rFonts w:ascii="Garamond" w:hAnsi="Garamond"/>
          <w:b/>
          <w:sz w:val="26"/>
          <w:szCs w:val="26"/>
        </w:rPr>
        <w:t xml:space="preserve"> (Приложение № 26 к Договору о присоединении к торговой системе оптового рынка)</w:t>
      </w:r>
    </w:p>
    <w:p w:rsidR="0082021E" w:rsidRDefault="0082021E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6662"/>
        <w:gridCol w:w="6910"/>
      </w:tblGrid>
      <w:tr w:rsidR="0082021E">
        <w:trPr>
          <w:trHeight w:val="435"/>
        </w:trPr>
        <w:tc>
          <w:tcPr>
            <w:tcW w:w="988" w:type="dxa"/>
            <w:vAlign w:val="center"/>
          </w:tcPr>
          <w:p w:rsidR="0082021E" w:rsidRDefault="008202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82021E" w:rsidRDefault="0082021E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62" w:type="dxa"/>
            <w:vAlign w:val="center"/>
          </w:tcPr>
          <w:p w:rsidR="0082021E" w:rsidRDefault="008202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82021E" w:rsidRDefault="008202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10" w:type="dxa"/>
            <w:vAlign w:val="center"/>
          </w:tcPr>
          <w:p w:rsidR="0082021E" w:rsidRDefault="0082021E">
            <w:pPr>
              <w:ind w:hanging="86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Предлагаемые изменения</w:t>
            </w:r>
          </w:p>
          <w:p w:rsidR="0082021E" w:rsidRDefault="0082021E">
            <w:pPr>
              <w:ind w:hanging="86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82021E">
        <w:trPr>
          <w:trHeight w:val="435"/>
        </w:trPr>
        <w:tc>
          <w:tcPr>
            <w:tcW w:w="988" w:type="dxa"/>
            <w:vAlign w:val="center"/>
          </w:tcPr>
          <w:p w:rsidR="0082021E" w:rsidRDefault="0082021E" w:rsidP="004E5E35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7</w:t>
            </w:r>
          </w:p>
        </w:tc>
        <w:tc>
          <w:tcPr>
            <w:tcW w:w="6662" w:type="dxa"/>
            <w:vAlign w:val="center"/>
          </w:tcPr>
          <w:p w:rsidR="0082021E" w:rsidRDefault="0082021E" w:rsidP="004E5E3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Порядок определения нарушения сроков оплаты обязательств на оптовом рынке в дату платежа </w:t>
            </w:r>
            <w:r w:rsidRPr="00B546EE">
              <w:rPr>
                <w:rFonts w:ascii="Garamond" w:hAnsi="Garamond"/>
                <w:b/>
                <w:iCs/>
                <w:spacing w:val="-3"/>
                <w:position w:val="-8"/>
                <w:sz w:val="22"/>
                <w:szCs w:val="22"/>
              </w:rPr>
              <w:object w:dxaOrig="279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4.25pt" o:ole="">
                  <v:imagedata r:id="rId9" o:title=""/>
                </v:shape>
                <o:OLEObject Type="Embed" ProgID="Equation.3" ShapeID="_x0000_i1025" DrawAspect="Content" ObjectID="_1556370276" r:id="rId10"/>
              </w:object>
            </w:r>
          </w:p>
          <w:p w:rsidR="0082021E" w:rsidRDefault="0082021E" w:rsidP="004E5E35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82021E" w:rsidRDefault="0082021E" w:rsidP="004E5E35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Не учитываются также неисполненные обязательства контрагента в случае, если при проведении платежей в отчете, содержащем информацию об остатках на торговых счетах, направленном уполномоченной кредитной организацией в ЦФР в соответствии с приложением 54 к </w:t>
            </w:r>
            <w:r>
              <w:rPr>
                <w:rFonts w:ascii="Garamond" w:hAnsi="Garamond"/>
                <w:i/>
                <w:sz w:val="22"/>
                <w:szCs w:val="22"/>
              </w:rPr>
              <w:t>Регламенту финансовых расчетов на оптовом рынке электроэнергии</w:t>
            </w:r>
            <w:r>
              <w:rPr>
                <w:rFonts w:ascii="Garamond" w:hAnsi="Garamond"/>
                <w:sz w:val="22"/>
                <w:szCs w:val="22"/>
              </w:rPr>
              <w:t xml:space="preserve"> (Приложение № 16 к </w:t>
            </w:r>
            <w:r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</w:rPr>
              <w:t xml:space="preserve">), отсутствует информация о торговом счете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участника –</w:t>
            </w:r>
            <w:r>
              <w:rPr>
                <w:rFonts w:ascii="Garamond" w:hAnsi="Garamond"/>
                <w:sz w:val="22"/>
                <w:szCs w:val="22"/>
              </w:rPr>
              <w:t xml:space="preserve"> получателя денежных средств. </w:t>
            </w:r>
          </w:p>
          <w:p w:rsidR="0082021E" w:rsidRDefault="0082021E" w:rsidP="004E5E35">
            <w:pPr>
              <w:pStyle w:val="ListParagraph"/>
              <w:spacing w:before="120" w:after="120"/>
              <w:ind w:left="601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</w:t>
            </w:r>
          </w:p>
        </w:tc>
        <w:tc>
          <w:tcPr>
            <w:tcW w:w="6910" w:type="dxa"/>
            <w:vAlign w:val="center"/>
          </w:tcPr>
          <w:p w:rsidR="0082021E" w:rsidRDefault="0082021E" w:rsidP="004E5E35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Порядок определения нарушения сроков оплаты обязательств на оптовом рынке в дату платежа </w:t>
            </w:r>
            <w:r w:rsidRPr="00B546EE">
              <w:rPr>
                <w:iCs/>
                <w:spacing w:val="-3"/>
                <w:position w:val="-8"/>
              </w:rPr>
              <w:object w:dxaOrig="279" w:dyaOrig="220">
                <v:shape id="_x0000_i1026" type="#_x0000_t75" style="width:24.75pt;height:14.25pt" o:ole="">
                  <v:imagedata r:id="rId9" o:title=""/>
                </v:shape>
                <o:OLEObject Type="Embed" ProgID="Equation.3" ShapeID="_x0000_i1026" DrawAspect="Content" ObjectID="_1556370277" r:id="rId11"/>
              </w:object>
            </w:r>
          </w:p>
          <w:p w:rsidR="0082021E" w:rsidRDefault="0082021E" w:rsidP="004E5E35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82021E" w:rsidRDefault="0082021E" w:rsidP="004E5E35">
            <w:pPr>
              <w:autoSpaceDE w:val="0"/>
              <w:autoSpaceDN w:val="0"/>
              <w:adjustRightInd w:val="0"/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Не учитываются также неисполненные обязательства контрагента в случае, если при проведении платежей в отчете, содержащем информацию об остатках на торговых счетах, направленном уполномоченной кредитной организацией в ЦФР в соответствии с приложением 54 к </w:t>
            </w:r>
            <w:r>
              <w:rPr>
                <w:rFonts w:ascii="Garamond" w:hAnsi="Garamond"/>
                <w:i/>
                <w:sz w:val="22"/>
                <w:szCs w:val="22"/>
              </w:rPr>
              <w:t>Регламенту финансовых расчетов на оптовом рынке электроэнергии</w:t>
            </w:r>
            <w:r>
              <w:rPr>
                <w:rFonts w:ascii="Garamond" w:hAnsi="Garamond"/>
                <w:sz w:val="22"/>
                <w:szCs w:val="22"/>
              </w:rPr>
              <w:t xml:space="preserve"> (Приложение № 16 к </w:t>
            </w:r>
            <w:r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>
              <w:rPr>
                <w:rFonts w:ascii="Garamond" w:hAnsi="Garamond"/>
                <w:sz w:val="22"/>
                <w:szCs w:val="22"/>
              </w:rPr>
              <w:t xml:space="preserve">), отсутствует информация о торговом счете получателя денежных средств. </w:t>
            </w:r>
          </w:p>
          <w:p w:rsidR="0082021E" w:rsidRDefault="0082021E" w:rsidP="004E5E35">
            <w:pPr>
              <w:pStyle w:val="ListParagraph"/>
              <w:spacing w:before="120" w:after="120"/>
              <w:ind w:left="601"/>
              <w:contextualSpacing w:val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</w:t>
            </w:r>
          </w:p>
        </w:tc>
      </w:tr>
    </w:tbl>
    <w:p w:rsidR="0082021E" w:rsidRDefault="0082021E">
      <w:pPr>
        <w:pStyle w:val="a1"/>
        <w:keepNext/>
        <w:jc w:val="both"/>
        <w:rPr>
          <w:rFonts w:ascii="Garamond" w:hAnsi="Garamond"/>
          <w:sz w:val="22"/>
          <w:szCs w:val="22"/>
          <w:lang w:eastAsia="ru-RU"/>
        </w:rPr>
      </w:pPr>
    </w:p>
    <w:p w:rsidR="0082021E" w:rsidRDefault="0082021E">
      <w:pPr>
        <w:pStyle w:val="a1"/>
        <w:keepNext/>
        <w:jc w:val="both"/>
        <w:rPr>
          <w:rFonts w:ascii="Garamond" w:hAnsi="Garamond"/>
          <w:sz w:val="22"/>
          <w:szCs w:val="22"/>
          <w:lang w:eastAsia="ru-RU"/>
        </w:rPr>
      </w:pPr>
    </w:p>
    <w:sectPr w:rsidR="0082021E" w:rsidSect="00DA4E56">
      <w:pgSz w:w="16838" w:h="11906" w:orient="landscape"/>
      <w:pgMar w:top="143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21E" w:rsidRDefault="0082021E">
      <w:r>
        <w:separator/>
      </w:r>
    </w:p>
  </w:endnote>
  <w:endnote w:type="continuationSeparator" w:id="0">
    <w:p w:rsidR="0082021E" w:rsidRDefault="00820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21E" w:rsidRDefault="008202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021E" w:rsidRDefault="008202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21E" w:rsidRDefault="0082021E">
    <w:pPr>
      <w:pStyle w:val="Footer"/>
      <w:framePr w:wrap="around" w:vAnchor="text" w:hAnchor="page" w:x="1345" w:y="782"/>
      <w:ind w:right="360"/>
      <w:rPr>
        <w:rStyle w:val="PageNumber"/>
      </w:rPr>
    </w:pPr>
  </w:p>
  <w:p w:rsidR="0082021E" w:rsidRDefault="0082021E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21E" w:rsidRDefault="0082021E">
      <w:r>
        <w:separator/>
      </w:r>
    </w:p>
  </w:footnote>
  <w:footnote w:type="continuationSeparator" w:id="0">
    <w:p w:rsidR="0082021E" w:rsidRDefault="008202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226A"/>
    <w:multiLevelType w:val="hybridMultilevel"/>
    <w:tmpl w:val="E79010F2"/>
    <w:lvl w:ilvl="0" w:tplc="7526CA38">
      <w:start w:val="1"/>
      <w:numFmt w:val="bullet"/>
      <w:lvlText w:val="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">
    <w:nsid w:val="16F156EA"/>
    <w:multiLevelType w:val="hybridMultilevel"/>
    <w:tmpl w:val="D09C665E"/>
    <w:lvl w:ilvl="0" w:tplc="7B526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102211"/>
    <w:multiLevelType w:val="singleLevel"/>
    <w:tmpl w:val="BDAA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</w:abstractNum>
  <w:abstractNum w:abstractNumId="3">
    <w:nsid w:val="49BA391A"/>
    <w:multiLevelType w:val="hybridMultilevel"/>
    <w:tmpl w:val="CDE08C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B7926"/>
    <w:multiLevelType w:val="multilevel"/>
    <w:tmpl w:val="056C60F8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Heading3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349"/>
    <w:rsid w:val="00103C66"/>
    <w:rsid w:val="0015073A"/>
    <w:rsid w:val="0017386D"/>
    <w:rsid w:val="002966FF"/>
    <w:rsid w:val="003F531F"/>
    <w:rsid w:val="00413929"/>
    <w:rsid w:val="004E5E35"/>
    <w:rsid w:val="0082021E"/>
    <w:rsid w:val="00A72A7F"/>
    <w:rsid w:val="00A76F74"/>
    <w:rsid w:val="00B546EE"/>
    <w:rsid w:val="00C31ECE"/>
    <w:rsid w:val="00CC0D3A"/>
    <w:rsid w:val="00DA0349"/>
    <w:rsid w:val="00DA4E56"/>
    <w:rsid w:val="00E5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6E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Заголовок параграфа (1.),Section,level2 hdg,111"/>
    <w:basedOn w:val="Normal"/>
    <w:link w:val="Heading1Char"/>
    <w:autoRedefine/>
    <w:uiPriority w:val="99"/>
    <w:qFormat/>
    <w:rsid w:val="00B546EE"/>
    <w:pPr>
      <w:keepNext/>
      <w:numPr>
        <w:numId w:val="1"/>
      </w:numPr>
      <w:spacing w:before="240" w:after="120"/>
      <w:ind w:left="1077" w:hanging="357"/>
      <w:jc w:val="center"/>
      <w:outlineLvl w:val="0"/>
    </w:pPr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paragraph" w:styleId="Heading3">
    <w:name w:val="heading 3"/>
    <w:aliases w:val="H3,Заголовок подпукта (1.1.1),Level 1 - 1,o"/>
    <w:basedOn w:val="Normal"/>
    <w:link w:val="Heading3Char"/>
    <w:autoRedefine/>
    <w:uiPriority w:val="99"/>
    <w:qFormat/>
    <w:rsid w:val="00B546EE"/>
    <w:pPr>
      <w:widowControl w:val="0"/>
      <w:numPr>
        <w:ilvl w:val="1"/>
        <w:numId w:val="1"/>
      </w:numPr>
      <w:spacing w:before="120" w:after="120"/>
      <w:outlineLvl w:val="2"/>
    </w:pPr>
    <w:rPr>
      <w:rFonts w:ascii="Garamond" w:hAnsi="Garamond"/>
      <w:b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"/>
    <w:basedOn w:val="DefaultParagraphFont"/>
    <w:link w:val="Heading1"/>
    <w:uiPriority w:val="99"/>
    <w:locked/>
    <w:rsid w:val="00B546EE"/>
    <w:rPr>
      <w:rFonts w:ascii="Garamond" w:hAnsi="Garamond" w:cs="Garamond"/>
      <w:b/>
      <w:caps/>
      <w:color w:val="000000"/>
      <w:kern w:val="28"/>
    </w:rPr>
  </w:style>
  <w:style w:type="character" w:customStyle="1" w:styleId="Heading3Char">
    <w:name w:val="Heading 3 Char"/>
    <w:aliases w:val="H3 Char,Заголовок подпукта (1.1.1) Char,Level 1 - 1 Char,o Char"/>
    <w:basedOn w:val="DefaultParagraphFont"/>
    <w:link w:val="Heading3"/>
    <w:uiPriority w:val="99"/>
    <w:locked/>
    <w:rsid w:val="00B546EE"/>
    <w:rPr>
      <w:rFonts w:ascii="Garamond" w:hAnsi="Garamond" w:cs="Times New Roman"/>
      <w:b/>
      <w:color w:val="000000"/>
    </w:rPr>
  </w:style>
  <w:style w:type="paragraph" w:styleId="BodyText">
    <w:name w:val="Body Text"/>
    <w:aliases w:val="body text"/>
    <w:basedOn w:val="Normal"/>
    <w:link w:val="BodyTextChar"/>
    <w:uiPriority w:val="99"/>
    <w:rsid w:val="00B546EE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B546EE"/>
    <w:rPr>
      <w:rFonts w:ascii="Times New Roman" w:hAnsi="Times New Roman" w:cs="Times New Roman"/>
      <w:sz w:val="20"/>
      <w:lang w:val="en-GB"/>
    </w:rPr>
  </w:style>
  <w:style w:type="character" w:customStyle="1" w:styleId="a">
    <w:name w:val="Основной текст Знак"/>
    <w:basedOn w:val="DefaultParagraphFont"/>
    <w:uiPriority w:val="99"/>
    <w:semiHidden/>
    <w:rsid w:val="00B546EE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B546E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546EE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46EE"/>
    <w:rPr>
      <w:rFonts w:ascii="Garamond" w:hAnsi="Garamond" w:cs="Times New Roman"/>
      <w:sz w:val="20"/>
      <w:lang w:val="en-GB"/>
    </w:rPr>
  </w:style>
  <w:style w:type="character" w:customStyle="1" w:styleId="a0">
    <w:name w:val="Нижний колонтитул Знак"/>
    <w:basedOn w:val="DefaultParagraphFont"/>
    <w:uiPriority w:val="99"/>
    <w:semiHidden/>
    <w:rsid w:val="00B546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1">
    <w:name w:val="Îáû÷íûé"/>
    <w:uiPriority w:val="99"/>
    <w:rsid w:val="00B546EE"/>
    <w:pPr>
      <w:widowControl w:val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B546E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46EE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546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46EE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99"/>
    <w:qFormat/>
    <w:rsid w:val="00B546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546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546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546EE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4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546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5</Pages>
  <Words>1496</Words>
  <Characters>8532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Ирина Сергеевна</dc:creator>
  <cp:keywords/>
  <dc:description/>
  <cp:lastModifiedBy>pii</cp:lastModifiedBy>
  <cp:revision>6</cp:revision>
  <cp:lastPrinted>2017-05-12T10:32:00Z</cp:lastPrinted>
  <dcterms:created xsi:type="dcterms:W3CDTF">2017-05-05T10:20:00Z</dcterms:created>
  <dcterms:modified xsi:type="dcterms:W3CDTF">2017-05-15T13:18:00Z</dcterms:modified>
</cp:coreProperties>
</file>