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D4" w:rsidRPr="004A4B3F" w:rsidRDefault="007019D4" w:rsidP="008473B7">
      <w:pPr>
        <w:pStyle w:val="20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  <w:lang w:val="en-US"/>
        </w:rPr>
        <w:t>IX</w:t>
      </w:r>
      <w:r w:rsidRPr="004A4B3F">
        <w:rPr>
          <w:rFonts w:ascii="Garamond" w:hAnsi="Garamond"/>
          <w:sz w:val="28"/>
          <w:szCs w:val="28"/>
        </w:rPr>
        <w:t>.</w:t>
      </w:r>
      <w:r w:rsidR="00706866">
        <w:rPr>
          <w:rFonts w:ascii="Garamond" w:hAnsi="Garamond"/>
          <w:sz w:val="28"/>
          <w:szCs w:val="28"/>
        </w:rPr>
        <w:t>4.</w:t>
      </w:r>
      <w:r w:rsidRPr="004A4B3F">
        <w:rPr>
          <w:rFonts w:ascii="Garamond" w:hAnsi="Garamond"/>
          <w:sz w:val="28"/>
          <w:szCs w:val="28"/>
        </w:rPr>
        <w:t xml:space="preserve"> Изменения, связанные с техническими и уточняющими правками</w:t>
      </w:r>
    </w:p>
    <w:p w:rsidR="008473B7" w:rsidRDefault="008473B7" w:rsidP="008473B7">
      <w:pPr>
        <w:pStyle w:val="20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</w:p>
    <w:p w:rsidR="007019D4" w:rsidRDefault="00706866" w:rsidP="008473B7">
      <w:pPr>
        <w:pStyle w:val="20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Приложение № 9.4</w:t>
      </w:r>
    </w:p>
    <w:p w:rsidR="008473B7" w:rsidRDefault="008473B7" w:rsidP="008473B7">
      <w:pPr>
        <w:pStyle w:val="20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</w:p>
    <w:p w:rsidR="007019D4" w:rsidRDefault="007019D4" w:rsidP="008473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:rsidR="00182D79" w:rsidRPr="00182D79" w:rsidRDefault="007019D4" w:rsidP="008473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F8013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Garamond"/>
          <w:b/>
          <w:bCs/>
        </w:rPr>
        <w:t xml:space="preserve"> </w:t>
      </w:r>
      <w:r w:rsidR="004F3298">
        <w:rPr>
          <w:rFonts w:ascii="Garamond" w:hAnsi="Garamond"/>
        </w:rPr>
        <w:t>необходимо</w:t>
      </w:r>
      <w:r w:rsidR="00182D79">
        <w:rPr>
          <w:rFonts w:ascii="Garamond" w:hAnsi="Garamond"/>
        </w:rPr>
        <w:t xml:space="preserve"> внести </w:t>
      </w:r>
      <w:r w:rsidR="007F674F" w:rsidRPr="00182D79">
        <w:rPr>
          <w:rFonts w:ascii="Garamond" w:hAnsi="Garamond"/>
        </w:rPr>
        <w:t xml:space="preserve">уточнения относительно порядка формирования модельной </w:t>
      </w:r>
      <w:proofErr w:type="spellStart"/>
      <w:r w:rsidR="007F674F" w:rsidRPr="00182D79">
        <w:rPr>
          <w:rFonts w:ascii="Garamond" w:hAnsi="Garamond"/>
        </w:rPr>
        <w:t>ценопринимающей</w:t>
      </w:r>
      <w:proofErr w:type="spellEnd"/>
      <w:r w:rsidR="007F674F" w:rsidRPr="00182D79">
        <w:rPr>
          <w:rFonts w:ascii="Garamond" w:hAnsi="Garamond"/>
        </w:rPr>
        <w:t xml:space="preserve"> заявки в отношении ГТП потребления гарантирующего поставщика для случая, когда в отношении ГТП потребления гарантирующего поставщика не была подана ценовая заявка (модельная </w:t>
      </w:r>
      <w:proofErr w:type="spellStart"/>
      <w:r w:rsidR="007F674F" w:rsidRPr="00182D79">
        <w:rPr>
          <w:rFonts w:ascii="Garamond" w:hAnsi="Garamond"/>
        </w:rPr>
        <w:t>ценопринимающая</w:t>
      </w:r>
      <w:proofErr w:type="spellEnd"/>
      <w:r w:rsidR="007F674F" w:rsidRPr="00182D79">
        <w:rPr>
          <w:rFonts w:ascii="Garamond" w:hAnsi="Garamond"/>
        </w:rPr>
        <w:t xml:space="preserve"> заявка формируется на объем, заявленный поставщиком в уведомлении о максимальном плановом почасовом потреблении)</w:t>
      </w:r>
      <w:r w:rsidR="004F3298">
        <w:rPr>
          <w:rFonts w:ascii="Garamond" w:hAnsi="Garamond"/>
        </w:rPr>
        <w:t xml:space="preserve">; кроме того, требуется уточнить порядок взаимодействия КО и ЦФР в части передачи Реестра </w:t>
      </w:r>
      <w:r w:rsidR="00644EEE">
        <w:rPr>
          <w:rFonts w:ascii="Garamond" w:hAnsi="Garamond"/>
        </w:rPr>
        <w:t xml:space="preserve">объектов </w:t>
      </w:r>
      <w:proofErr w:type="spellStart"/>
      <w:r w:rsidR="00976EA9">
        <w:rPr>
          <w:rFonts w:ascii="Garamond" w:hAnsi="Garamond"/>
        </w:rPr>
        <w:t>КОММод</w:t>
      </w:r>
      <w:proofErr w:type="spellEnd"/>
      <w:r w:rsidR="00976EA9">
        <w:rPr>
          <w:rFonts w:ascii="Garamond" w:hAnsi="Garamond"/>
        </w:rPr>
        <w:t xml:space="preserve">, уточнить порядок заполнения </w:t>
      </w:r>
      <w:r w:rsidR="0041114D">
        <w:rPr>
          <w:rFonts w:ascii="Garamond" w:hAnsi="Garamond"/>
        </w:rPr>
        <w:t>п</w:t>
      </w:r>
      <w:r w:rsidR="00976EA9">
        <w:rPr>
          <w:rFonts w:ascii="Garamond" w:hAnsi="Garamond"/>
        </w:rPr>
        <w:t>риложения 4 к договорам на модернизацию, а также</w:t>
      </w:r>
      <w:r w:rsidR="007F674F">
        <w:rPr>
          <w:rFonts w:ascii="Garamond" w:hAnsi="Garamond"/>
        </w:rPr>
        <w:t xml:space="preserve"> внести </w:t>
      </w:r>
      <w:r w:rsidR="00182D79" w:rsidRPr="001A59CD">
        <w:rPr>
          <w:rFonts w:ascii="Garamond" w:hAnsi="Garamond"/>
        </w:rPr>
        <w:t>технические</w:t>
      </w:r>
      <w:r w:rsidR="00182D79">
        <w:rPr>
          <w:rFonts w:ascii="Garamond" w:hAnsi="Garamond"/>
        </w:rPr>
        <w:t xml:space="preserve"> и </w:t>
      </w:r>
      <w:r w:rsidR="00182D79" w:rsidRPr="001A59CD">
        <w:rPr>
          <w:rFonts w:ascii="Garamond" w:hAnsi="Garamond"/>
        </w:rPr>
        <w:t>уточняющие</w:t>
      </w:r>
      <w:r w:rsidR="00182D79">
        <w:rPr>
          <w:rFonts w:ascii="Garamond" w:hAnsi="Garamond"/>
        </w:rPr>
        <w:t xml:space="preserve"> изменения, направленные</w:t>
      </w:r>
      <w:r w:rsidR="00182D79" w:rsidRPr="001A59CD">
        <w:rPr>
          <w:rFonts w:ascii="Garamond" w:hAnsi="Garamond"/>
        </w:rPr>
        <w:t xml:space="preserve"> на актуализацию применяемых в ре</w:t>
      </w:r>
      <w:r w:rsidR="00182D79">
        <w:rPr>
          <w:rFonts w:ascii="Garamond" w:hAnsi="Garamond"/>
        </w:rPr>
        <w:t>гламентах оптового рынка ссылок,</w:t>
      </w:r>
      <w:r w:rsidR="00182D79" w:rsidRPr="001A59CD">
        <w:rPr>
          <w:rFonts w:ascii="Garamond" w:hAnsi="Garamond"/>
        </w:rPr>
        <w:t xml:space="preserve"> уточнение</w:t>
      </w:r>
      <w:r w:rsidR="007F674F">
        <w:rPr>
          <w:rFonts w:ascii="Garamond" w:hAnsi="Garamond"/>
        </w:rPr>
        <w:t xml:space="preserve"> формулировок,</w:t>
      </w:r>
      <w:r w:rsidR="00182D79" w:rsidRPr="001A59CD">
        <w:rPr>
          <w:rFonts w:ascii="Garamond" w:hAnsi="Garamond"/>
        </w:rPr>
        <w:t xml:space="preserve"> наименований регламентов, упоминаемых в тексте и содержащих ошибки</w:t>
      </w:r>
      <w:r w:rsidR="00182D79">
        <w:rPr>
          <w:rFonts w:ascii="Garamond" w:hAnsi="Garamond"/>
        </w:rPr>
        <w:t>, а также на</w:t>
      </w:r>
      <w:r w:rsidR="00182D79" w:rsidRPr="001A59CD">
        <w:rPr>
          <w:rFonts w:ascii="Garamond" w:hAnsi="Garamond"/>
        </w:rPr>
        <w:t xml:space="preserve"> </w:t>
      </w:r>
      <w:r w:rsidR="007F674F">
        <w:rPr>
          <w:rFonts w:ascii="Garamond" w:hAnsi="Garamond"/>
        </w:rPr>
        <w:t>устранение описок и неточностей.</w:t>
      </w:r>
    </w:p>
    <w:p w:rsidR="007019D4" w:rsidRDefault="007019D4" w:rsidP="008473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>1</w:t>
      </w:r>
      <w:r>
        <w:rPr>
          <w:rFonts w:ascii="Garamond" w:hAnsi="Garamond" w:cs="Garamond"/>
          <w:bCs/>
        </w:rPr>
        <w:t xml:space="preserve"> </w:t>
      </w:r>
      <w:r w:rsidR="00BA45AA">
        <w:rPr>
          <w:rFonts w:ascii="Garamond" w:hAnsi="Garamond" w:cs="Garamond"/>
          <w:bCs/>
        </w:rPr>
        <w:t>октября</w:t>
      </w:r>
      <w:r>
        <w:rPr>
          <w:rFonts w:ascii="Garamond" w:hAnsi="Garamond" w:cs="Garamond"/>
          <w:bCs/>
        </w:rPr>
        <w:t xml:space="preserve"> 2021</w:t>
      </w:r>
      <w:r w:rsidRPr="005D4871">
        <w:rPr>
          <w:rFonts w:ascii="Garamond" w:hAnsi="Garamond" w:cs="Garamond"/>
          <w:bCs/>
        </w:rPr>
        <w:t xml:space="preserve"> года.</w:t>
      </w:r>
    </w:p>
    <w:p w:rsidR="007019D4" w:rsidRDefault="007019D4" w:rsidP="008473B7">
      <w:pPr>
        <w:ind w:right="-314"/>
        <w:rPr>
          <w:rFonts w:ascii="Garamond" w:hAnsi="Garamond"/>
          <w:b/>
          <w:sz w:val="22"/>
          <w:szCs w:val="22"/>
        </w:rPr>
      </w:pPr>
    </w:p>
    <w:p w:rsidR="0081162F" w:rsidRPr="0081162F" w:rsidRDefault="0081162F" w:rsidP="008473B7">
      <w:pPr>
        <w:rPr>
          <w:rFonts w:ascii="Garamond" w:hAnsi="Garamond"/>
          <w:b/>
          <w:sz w:val="26"/>
          <w:szCs w:val="26"/>
        </w:rPr>
      </w:pPr>
      <w:r w:rsidRPr="0081162F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</w:t>
      </w:r>
    </w:p>
    <w:p w:rsidR="0081162F" w:rsidRDefault="0081162F" w:rsidP="008473B7">
      <w:pPr>
        <w:ind w:right="-314"/>
        <w:rPr>
          <w:rFonts w:ascii="Garamond" w:hAnsi="Garamond"/>
          <w:b/>
          <w:sz w:val="22"/>
          <w:szCs w:val="22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81162F" w:rsidRPr="00E6508A" w:rsidTr="0081162F">
        <w:trPr>
          <w:trHeight w:val="5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F" w:rsidRPr="0081162F" w:rsidRDefault="0081162F" w:rsidP="008473B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1162F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81162F" w:rsidRPr="0081162F" w:rsidRDefault="0081162F" w:rsidP="008473B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1162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F" w:rsidRPr="0081162F" w:rsidRDefault="0081162F" w:rsidP="008473B7">
            <w:pPr>
              <w:tabs>
                <w:tab w:val="left" w:pos="709"/>
              </w:tabs>
              <w:ind w:firstLine="317"/>
              <w:jc w:val="center"/>
              <w:rPr>
                <w:rFonts w:ascii="Garamond" w:hAnsi="Garamond"/>
                <w:b/>
                <w:iCs/>
                <w:sz w:val="22"/>
                <w:szCs w:val="22"/>
              </w:rPr>
            </w:pPr>
            <w:r w:rsidRPr="0081162F">
              <w:rPr>
                <w:rFonts w:ascii="Garamond" w:hAnsi="Garamond"/>
                <w:b/>
                <w:iCs/>
                <w:sz w:val="22"/>
                <w:szCs w:val="22"/>
              </w:rPr>
              <w:t>Редакция, действующая на момент</w:t>
            </w:r>
          </w:p>
          <w:p w:rsidR="0081162F" w:rsidRPr="0081162F" w:rsidRDefault="0081162F" w:rsidP="008473B7">
            <w:pPr>
              <w:tabs>
                <w:tab w:val="left" w:pos="709"/>
              </w:tabs>
              <w:ind w:firstLine="317"/>
              <w:jc w:val="center"/>
              <w:rPr>
                <w:rFonts w:ascii="Garamond" w:hAnsi="Garamond"/>
                <w:b/>
                <w:iCs/>
                <w:sz w:val="22"/>
                <w:szCs w:val="22"/>
              </w:rPr>
            </w:pPr>
            <w:r w:rsidRPr="0081162F">
              <w:rPr>
                <w:rFonts w:ascii="Garamond" w:hAnsi="Garamond"/>
                <w:b/>
                <w:i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F" w:rsidRPr="0081162F" w:rsidRDefault="0081162F" w:rsidP="008473B7">
            <w:pPr>
              <w:tabs>
                <w:tab w:val="left" w:pos="709"/>
              </w:tabs>
              <w:ind w:firstLine="600"/>
              <w:jc w:val="center"/>
              <w:rPr>
                <w:rFonts w:ascii="Garamond" w:hAnsi="Garamond"/>
                <w:b/>
                <w:iCs/>
                <w:sz w:val="22"/>
                <w:szCs w:val="22"/>
              </w:rPr>
            </w:pPr>
            <w:r w:rsidRPr="0081162F">
              <w:rPr>
                <w:rFonts w:ascii="Garamond" w:hAnsi="Garamond"/>
                <w:b/>
                <w:iCs/>
                <w:sz w:val="22"/>
                <w:szCs w:val="22"/>
              </w:rPr>
              <w:t>Предлагаемая редакция</w:t>
            </w:r>
          </w:p>
          <w:p w:rsidR="0081162F" w:rsidRPr="0081162F" w:rsidRDefault="0081162F" w:rsidP="008473B7">
            <w:pPr>
              <w:tabs>
                <w:tab w:val="left" w:pos="709"/>
              </w:tabs>
              <w:ind w:firstLine="600"/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 w:rsidRPr="0081162F">
              <w:rPr>
                <w:rFonts w:ascii="Garamond" w:hAnsi="Garamond"/>
                <w:iCs/>
                <w:sz w:val="22"/>
                <w:szCs w:val="22"/>
              </w:rPr>
              <w:t>(изменения выделены цветом)</w:t>
            </w:r>
          </w:p>
        </w:tc>
      </w:tr>
      <w:tr w:rsidR="0081162F" w:rsidRPr="004A5401" w:rsidTr="00964FC6">
        <w:trPr>
          <w:trHeight w:val="561"/>
          <w:jc w:val="center"/>
        </w:trPr>
        <w:tc>
          <w:tcPr>
            <w:tcW w:w="993" w:type="dxa"/>
            <w:vAlign w:val="center"/>
          </w:tcPr>
          <w:p w:rsidR="0081162F" w:rsidRPr="00590B9B" w:rsidRDefault="0081162F" w:rsidP="008473B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90B9B">
              <w:rPr>
                <w:rFonts w:ascii="Garamond" w:hAnsi="Garamond"/>
                <w:b/>
                <w:sz w:val="22"/>
                <w:szCs w:val="22"/>
              </w:rPr>
              <w:t>Приложение 2</w:t>
            </w:r>
            <w:r w:rsidR="008473B7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r w:rsidRPr="00590B9B">
              <w:rPr>
                <w:rFonts w:ascii="Garamond" w:hAnsi="Garamond"/>
                <w:b/>
                <w:sz w:val="22"/>
                <w:szCs w:val="22"/>
              </w:rPr>
              <w:t>п. 2.3</w:t>
            </w:r>
          </w:p>
        </w:tc>
        <w:tc>
          <w:tcPr>
            <w:tcW w:w="6974" w:type="dxa"/>
          </w:tcPr>
          <w:p w:rsidR="0081162F" w:rsidRPr="00590B9B" w:rsidRDefault="0081162F" w:rsidP="00964FC6">
            <w:pPr>
              <w:tabs>
                <w:tab w:val="left" w:pos="709"/>
              </w:tabs>
              <w:spacing w:before="120" w:after="120"/>
              <w:ind w:firstLine="317"/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 w:rsidRPr="00590B9B">
              <w:rPr>
                <w:rFonts w:ascii="Garamond" w:hAnsi="Garamond"/>
                <w:iCs/>
                <w:sz w:val="22"/>
                <w:szCs w:val="22"/>
              </w:rPr>
              <w:t>…</w:t>
            </w:r>
          </w:p>
          <w:p w:rsidR="0081162F" w:rsidRPr="00590B9B" w:rsidRDefault="0081162F" w:rsidP="00964FC6">
            <w:pPr>
              <w:pStyle w:val="a9"/>
              <w:spacing w:after="120"/>
              <w:ind w:firstLine="317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</w:t>
            </w:r>
            <w:proofErr w:type="spellStart"/>
            <w:r w:rsidRPr="00590B9B">
              <w:rPr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590B9B">
              <w:rPr>
                <w:b w:val="0"/>
                <w:bCs w:val="0"/>
                <w:sz w:val="22"/>
                <w:szCs w:val="22"/>
              </w:rPr>
              <w:t>) в отношении:</w:t>
            </w:r>
          </w:p>
          <w:p w:rsidR="0081162F" w:rsidRPr="00590B9B" w:rsidRDefault="0081162F" w:rsidP="00964FC6">
            <w:pPr>
              <w:pStyle w:val="a9"/>
              <w:spacing w:after="120"/>
              <w:ind w:firstLine="317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 xml:space="preserve">– ГТП генерации, закрепленной за правопредшественником – продавцом по договорам </w:t>
            </w:r>
            <w:r w:rsidRPr="00590B9B">
              <w:rPr>
                <w:b w:val="0"/>
                <w:bCs w:val="0"/>
                <w:sz w:val="22"/>
                <w:szCs w:val="22"/>
                <w:highlight w:val="yellow"/>
              </w:rPr>
              <w:t>купли-продажи (поставки) мощности модернизированных генерирующих объектов (далее – договоры</w:t>
            </w:r>
            <w:r w:rsidRPr="00590B9B">
              <w:rPr>
                <w:b w:val="0"/>
                <w:bCs w:val="0"/>
                <w:sz w:val="22"/>
                <w:szCs w:val="22"/>
              </w:rPr>
              <w:t xml:space="preserve"> на модернизацию</w:t>
            </w:r>
            <w:r w:rsidRPr="00590B9B">
              <w:rPr>
                <w:b w:val="0"/>
                <w:bCs w:val="0"/>
                <w:sz w:val="22"/>
                <w:szCs w:val="22"/>
                <w:highlight w:val="yellow"/>
              </w:rPr>
              <w:t>)</w:t>
            </w:r>
            <w:r w:rsidRPr="00590B9B">
              <w:rPr>
                <w:b w:val="0"/>
                <w:bCs w:val="0"/>
                <w:sz w:val="22"/>
                <w:szCs w:val="22"/>
              </w:rPr>
              <w:t xml:space="preserve"> и включающей генерирующее оборудование </w:t>
            </w:r>
            <w:proofErr w:type="spellStart"/>
            <w:r w:rsidRPr="00590B9B">
              <w:rPr>
                <w:b w:val="0"/>
                <w:bCs w:val="0"/>
                <w:sz w:val="22"/>
                <w:szCs w:val="22"/>
              </w:rPr>
              <w:t>КОММод</w:t>
            </w:r>
            <w:proofErr w:type="spellEnd"/>
            <w:r w:rsidRPr="00590B9B">
              <w:rPr>
                <w:b w:val="0"/>
                <w:bCs w:val="0"/>
                <w:sz w:val="22"/>
                <w:szCs w:val="22"/>
              </w:rPr>
              <w:t>, указанное в приложении 1 к договору на модернизацию, либо</w:t>
            </w:r>
          </w:p>
          <w:p w:rsidR="0081162F" w:rsidRPr="00590B9B" w:rsidRDefault="0081162F" w:rsidP="00964FC6">
            <w:pPr>
              <w:pStyle w:val="a9"/>
              <w:spacing w:after="120"/>
              <w:ind w:firstLine="317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 xml:space="preserve">– ГТП генерации, закрепленной за правопредшественником – продавцом по договорам на модернизацию и относящейся к электрической станции, в состав которой включено генерирующее </w:t>
            </w:r>
            <w:r w:rsidRPr="00590B9B">
              <w:rPr>
                <w:b w:val="0"/>
                <w:bCs w:val="0"/>
                <w:sz w:val="22"/>
                <w:szCs w:val="22"/>
              </w:rPr>
              <w:lastRenderedPageBreak/>
              <w:t>оборудование, в отношении которого планируется реализация мероприятий по модернизации и которое указано в приложении 4 к договорам на модернизацию, –</w:t>
            </w:r>
          </w:p>
          <w:p w:rsidR="0081162F" w:rsidRPr="00590B9B" w:rsidRDefault="0081162F" w:rsidP="00964FC6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after="120"/>
              <w:ind w:firstLine="317"/>
              <w:rPr>
                <w:szCs w:val="22"/>
              </w:rPr>
            </w:pPr>
            <w:r w:rsidRPr="00590B9B">
              <w:rPr>
                <w:szCs w:val="22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590B9B">
              <w:rPr>
                <w:i/>
                <w:szCs w:val="22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590B9B">
              <w:rPr>
                <w:szCs w:val="22"/>
              </w:rPr>
              <w:t xml:space="preserve"> (Приложение № 19.3.1 к </w:t>
            </w:r>
            <w:r w:rsidRPr="00590B9B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590B9B">
              <w:rPr>
                <w:szCs w:val="22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:rsidR="0081162F" w:rsidRDefault="0081162F" w:rsidP="00964FC6">
            <w:pPr>
              <w:autoSpaceDE w:val="0"/>
              <w:autoSpaceDN w:val="0"/>
              <w:spacing w:after="120"/>
              <w:ind w:firstLine="317"/>
              <w:jc w:val="center"/>
              <w:rPr>
                <w:rFonts w:ascii="Garamond" w:hAnsi="Garamond"/>
                <w:sz w:val="22"/>
                <w:szCs w:val="22"/>
              </w:rPr>
            </w:pPr>
            <w:r w:rsidRPr="00590B9B">
              <w:rPr>
                <w:rFonts w:ascii="Garamond" w:hAnsi="Garamond"/>
                <w:iCs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:rsidR="0081162F" w:rsidRPr="00590B9B" w:rsidRDefault="0081162F" w:rsidP="00964FC6">
            <w:pPr>
              <w:tabs>
                <w:tab w:val="left" w:pos="709"/>
              </w:tabs>
              <w:spacing w:before="120" w:after="120"/>
              <w:ind w:firstLine="600"/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 w:rsidRPr="00590B9B">
              <w:rPr>
                <w:rFonts w:ascii="Garamond" w:hAnsi="Garamond"/>
                <w:iCs/>
                <w:sz w:val="22"/>
                <w:szCs w:val="22"/>
              </w:rPr>
              <w:lastRenderedPageBreak/>
              <w:t>…</w:t>
            </w:r>
          </w:p>
          <w:p w:rsidR="0081162F" w:rsidRPr="00590B9B" w:rsidRDefault="0081162F" w:rsidP="00964FC6">
            <w:pPr>
              <w:pStyle w:val="a9"/>
              <w:spacing w:after="120"/>
              <w:ind w:firstLine="540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</w:t>
            </w:r>
            <w:proofErr w:type="spellStart"/>
            <w:r w:rsidRPr="00590B9B">
              <w:rPr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590B9B">
              <w:rPr>
                <w:b w:val="0"/>
                <w:bCs w:val="0"/>
                <w:sz w:val="22"/>
                <w:szCs w:val="22"/>
              </w:rPr>
              <w:t>) в отношении:</w:t>
            </w:r>
          </w:p>
          <w:p w:rsidR="0081162F" w:rsidRPr="00590B9B" w:rsidRDefault="0081162F" w:rsidP="00964FC6">
            <w:pPr>
              <w:pStyle w:val="a9"/>
              <w:spacing w:after="120"/>
              <w:ind w:firstLine="540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 xml:space="preserve">– ГТП генерации, закрепленной за правопредшественником – продавцом по договорам на модернизацию и включающей генерирующее оборудование </w:t>
            </w:r>
            <w:proofErr w:type="spellStart"/>
            <w:r w:rsidRPr="00590B9B">
              <w:rPr>
                <w:b w:val="0"/>
                <w:bCs w:val="0"/>
                <w:sz w:val="22"/>
                <w:szCs w:val="22"/>
              </w:rPr>
              <w:t>КОММод</w:t>
            </w:r>
            <w:proofErr w:type="spellEnd"/>
            <w:r w:rsidRPr="00590B9B">
              <w:rPr>
                <w:b w:val="0"/>
                <w:bCs w:val="0"/>
                <w:sz w:val="22"/>
                <w:szCs w:val="22"/>
              </w:rPr>
              <w:t>, указанное в приложении 1 к договору на модернизацию, либо</w:t>
            </w:r>
          </w:p>
          <w:p w:rsidR="0081162F" w:rsidRPr="00590B9B" w:rsidRDefault="0081162F" w:rsidP="00964FC6">
            <w:pPr>
              <w:pStyle w:val="a9"/>
              <w:spacing w:after="120"/>
              <w:ind w:firstLine="540"/>
              <w:jc w:val="both"/>
              <w:rPr>
                <w:b w:val="0"/>
                <w:bCs w:val="0"/>
                <w:sz w:val="22"/>
                <w:szCs w:val="22"/>
              </w:rPr>
            </w:pPr>
            <w:r w:rsidRPr="00590B9B">
              <w:rPr>
                <w:b w:val="0"/>
                <w:bCs w:val="0"/>
                <w:sz w:val="22"/>
                <w:szCs w:val="22"/>
              </w:rPr>
              <w:t xml:space="preserve">– ГТП генерации, закрепленной за правопредшественником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</w:t>
            </w:r>
            <w:r w:rsidRPr="00590B9B">
              <w:rPr>
                <w:b w:val="0"/>
                <w:bCs w:val="0"/>
                <w:sz w:val="22"/>
                <w:szCs w:val="22"/>
              </w:rPr>
              <w:lastRenderedPageBreak/>
              <w:t>мероприятий по модернизации и которое указано в приложении 4 к договорам на модернизацию, –</w:t>
            </w:r>
          </w:p>
          <w:p w:rsidR="0081162F" w:rsidRPr="00590B9B" w:rsidRDefault="0081162F" w:rsidP="00964FC6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after="120"/>
              <w:rPr>
                <w:szCs w:val="22"/>
              </w:rPr>
            </w:pPr>
            <w:r w:rsidRPr="00590B9B">
              <w:rPr>
                <w:szCs w:val="22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590B9B">
              <w:rPr>
                <w:i/>
                <w:szCs w:val="22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590B9B">
              <w:rPr>
                <w:szCs w:val="22"/>
              </w:rPr>
              <w:t xml:space="preserve"> (Приложение № 19.3.1 к </w:t>
            </w:r>
            <w:r w:rsidRPr="00590B9B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590B9B">
              <w:rPr>
                <w:szCs w:val="22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:rsidR="0081162F" w:rsidRPr="00590B9B" w:rsidRDefault="0081162F" w:rsidP="00964FC6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590B9B">
              <w:rPr>
                <w:rFonts w:ascii="Garamond" w:hAnsi="Garamond"/>
                <w:iCs/>
                <w:sz w:val="22"/>
                <w:szCs w:val="22"/>
              </w:rPr>
              <w:t>…</w:t>
            </w:r>
          </w:p>
        </w:tc>
      </w:tr>
    </w:tbl>
    <w:p w:rsidR="00AA62AB" w:rsidRDefault="00AA62AB" w:rsidP="0081162F">
      <w:pPr>
        <w:jc w:val="both"/>
        <w:rPr>
          <w:rFonts w:ascii="Garamond" w:eastAsia="Calibri" w:hAnsi="Garamond" w:cs="Garamond"/>
          <w:b/>
          <w:bCs/>
          <w:sz w:val="26"/>
          <w:szCs w:val="26"/>
          <w:lang w:eastAsia="en-US"/>
        </w:rPr>
      </w:pPr>
    </w:p>
    <w:p w:rsidR="00B111A3" w:rsidRPr="00C10E7D" w:rsidRDefault="00B111A3" w:rsidP="00E23A16">
      <w:pPr>
        <w:rPr>
          <w:rFonts w:ascii="Garamond" w:eastAsia="Calibri" w:hAnsi="Garamond" w:cs="Garamond"/>
          <w:b/>
          <w:bCs/>
          <w:sz w:val="22"/>
          <w:szCs w:val="22"/>
          <w:lang w:eastAsia="en-US"/>
        </w:rPr>
      </w:pPr>
      <w:r w:rsidRPr="00C10E7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Предложения по изменениям и дополнениям в </w:t>
      </w:r>
      <w:r w:rsidRPr="00C10E7D">
        <w:rPr>
          <w:rFonts w:ascii="Garamond" w:eastAsia="Calibri" w:hAnsi="Garamond"/>
          <w:b/>
          <w:sz w:val="26"/>
          <w:szCs w:val="26"/>
          <w:lang w:eastAsia="en-US"/>
        </w:rPr>
        <w:t xml:space="preserve">РЕГЛАМЕНТ ПРОВЕДЕНИЯ КОНКУРЕНТНОГО ОТБОРА ЦЕНОВЫХ ЗАЯВОК НА СУТКИ ВПЕРЕД </w:t>
      </w:r>
      <w:r w:rsidRPr="00C10E7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(Приложение № 7 к Договору о присоединении к торговой системе оптового рынка</w:t>
      </w:r>
      <w:r w:rsidRPr="00C10E7D">
        <w:rPr>
          <w:rFonts w:ascii="Garamond" w:eastAsia="Calibri" w:hAnsi="Garamond" w:cs="Garamond"/>
          <w:b/>
          <w:bCs/>
          <w:sz w:val="22"/>
          <w:szCs w:val="22"/>
          <w:lang w:eastAsia="en-US"/>
        </w:rPr>
        <w:t>)</w:t>
      </w:r>
    </w:p>
    <w:p w:rsidR="00B111A3" w:rsidRPr="00C10E7D" w:rsidRDefault="00B111A3" w:rsidP="00B111A3">
      <w:pPr>
        <w:rPr>
          <w:rFonts w:ascii="Garamond" w:eastAsia="Calibri" w:hAnsi="Garamond" w:cs="Garamond"/>
          <w:sz w:val="22"/>
          <w:szCs w:val="22"/>
          <w:lang w:eastAsia="en-US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087"/>
      </w:tblGrid>
      <w:tr w:rsidR="00B111A3" w:rsidRPr="00E6508A" w:rsidTr="00B111A3">
        <w:trPr>
          <w:trHeight w:val="435"/>
        </w:trPr>
        <w:tc>
          <w:tcPr>
            <w:tcW w:w="993" w:type="dxa"/>
            <w:vAlign w:val="center"/>
          </w:tcPr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804" w:type="dxa"/>
            <w:vAlign w:val="center"/>
          </w:tcPr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Редакция, действующая на момент</w:t>
            </w:r>
          </w:p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Предлагаемая редакция</w:t>
            </w:r>
          </w:p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B111A3" w:rsidRPr="00E6508A" w:rsidTr="00B111A3">
        <w:trPr>
          <w:trHeight w:val="435"/>
        </w:trPr>
        <w:tc>
          <w:tcPr>
            <w:tcW w:w="993" w:type="dxa"/>
            <w:vAlign w:val="center"/>
          </w:tcPr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Раздел 4, п. 4</w:t>
            </w:r>
          </w:p>
        </w:tc>
        <w:tc>
          <w:tcPr>
            <w:tcW w:w="6804" w:type="dxa"/>
          </w:tcPr>
          <w:p w:rsidR="00B111A3" w:rsidRPr="00E6508A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определяет величину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скорректированного максимального объема почасового потребления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равной объему прогнозного почасового потребления электрической энергии в данной ГТП потребления, определенному в соответствии с п. 2 раздела 4 настоящего Регламента,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для:</w:t>
            </w:r>
          </w:p>
          <w:p w:rsidR="00B111A3" w:rsidRPr="00E6508A" w:rsidRDefault="00B111A3" w:rsidP="00B111A3">
            <w:pPr>
              <w:widowControl w:val="0"/>
              <w:numPr>
                <w:ilvl w:val="0"/>
                <w:numId w:val="14"/>
              </w:numPr>
              <w:spacing w:before="120" w:after="120"/>
              <w:ind w:left="884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ГТП потребления (за исключением ГТП потребления поставщика), по которой в отношении данного участника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оптового рынка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п. 1.2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Методики применения мер оперативного воздействия, являющейся приложением к </w:t>
            </w:r>
            <w:r w:rsidRPr="00E6508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Регламенту подачи ценовых заявок участниками оптового рынка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(Приложение № 5 к</w:t>
            </w:r>
            <w:r w:rsidRPr="00E6508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рынка)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, применена мера оперативного воздействия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 рассматриваемые операционные сутки;</w:t>
            </w:r>
          </w:p>
          <w:p w:rsidR="00B111A3" w:rsidRPr="00E6508A" w:rsidRDefault="00B111A3" w:rsidP="00B111A3">
            <w:pPr>
              <w:widowControl w:val="0"/>
              <w:numPr>
                <w:ilvl w:val="0"/>
                <w:numId w:val="14"/>
              </w:numPr>
              <w:spacing w:before="120" w:after="120"/>
              <w:ind w:left="884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ГТП потребления</w:t>
            </w:r>
            <w:r w:rsidRPr="00AE005E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по которой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в отношении данного участника оптового рынка согласно п. 1.7 Методики применения мер оперативного воздействия, являющейся приложением к </w:t>
            </w:r>
            <w:r w:rsidRPr="00E6508A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lastRenderedPageBreak/>
              <w:t xml:space="preserve">Регламенту подачи ценовых заявок участниками оптового рынка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 5 к</w:t>
            </w:r>
            <w:r w:rsidRPr="00E6508A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), применена мера оперативного воздействия на рассматриваемые операционные сутки;</w:t>
            </w:r>
          </w:p>
          <w:p w:rsidR="00B111A3" w:rsidRPr="00AE005E" w:rsidRDefault="00B111A3" w:rsidP="00B111A3">
            <w:pPr>
              <w:pStyle w:val="a3"/>
              <w:widowControl w:val="0"/>
              <w:numPr>
                <w:ilvl w:val="0"/>
                <w:numId w:val="14"/>
              </w:numPr>
              <w:spacing w:before="120" w:after="120"/>
              <w:ind w:left="884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AE005E">
              <w:rPr>
                <w:rFonts w:ascii="Garamond" w:hAnsi="Garamond"/>
                <w:sz w:val="22"/>
                <w:szCs w:val="22"/>
                <w:lang w:eastAsia="en-US"/>
              </w:rPr>
              <w:t xml:space="preserve">ГТП потребления гарантирующего поставщика, зарегистрированной в отношении территориальной сетевой организации, которой в соответствии с Основными положениями функционирования розничных рынков электрической энергии присвоен статус гарантирующего поставщика, по которой в отношении данного участника оптового рынка согласно п. 1.7 Методики применения мер оперативного воздействия, являющейся приложением к </w:t>
            </w:r>
            <w:r w:rsidRPr="00AE005E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Регламенту подачи ценовых заявок участниками оптового рынка </w:t>
            </w:r>
            <w:r w:rsidRPr="00AE005E">
              <w:rPr>
                <w:rFonts w:ascii="Garamond" w:hAnsi="Garamond"/>
                <w:iCs/>
                <w:sz w:val="22"/>
                <w:szCs w:val="22"/>
                <w:lang w:eastAsia="en-US"/>
              </w:rPr>
              <w:t>(Приложение № 5 к</w:t>
            </w:r>
            <w:r w:rsidRPr="00AE005E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 Договору о присоединении к торговой системе оптового рынка</w:t>
            </w:r>
            <w:r w:rsidRPr="00AE005E">
              <w:rPr>
                <w:rFonts w:ascii="Garamond" w:hAnsi="Garamond"/>
                <w:iCs/>
                <w:sz w:val="22"/>
                <w:szCs w:val="22"/>
                <w:lang w:eastAsia="en-US"/>
              </w:rPr>
              <w:t>)</w:t>
            </w:r>
            <w:r w:rsidRPr="00AE005E">
              <w:rPr>
                <w:rFonts w:ascii="Garamond" w:hAnsi="Garamond"/>
                <w:sz w:val="22"/>
                <w:szCs w:val="22"/>
                <w:lang w:eastAsia="en-US"/>
              </w:rPr>
              <w:t>, применена мера оперативного воздействия на рассматриваемые операционные сутки, отнесенные к временному периоду длительностью 90 операционных суток, начиная с даты получения данным субъектом оптового рынка права на участие в торговле электрической энергией по данной ГТП.</w:t>
            </w:r>
          </w:p>
        </w:tc>
        <w:tc>
          <w:tcPr>
            <w:tcW w:w="7087" w:type="dxa"/>
          </w:tcPr>
          <w:p w:rsidR="00B111A3" w:rsidRPr="00E6508A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определяет величину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скорректированного максимального объема почасового потребления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равной объему прогнозного почасового потребления электрической энергии в данной ГТП потребления, определенному в соответствии с п. 2 раздела 4 настоящего Регламента,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для:</w:t>
            </w:r>
          </w:p>
          <w:p w:rsidR="00B111A3" w:rsidRPr="00E6508A" w:rsidRDefault="00B111A3" w:rsidP="00B111A3">
            <w:pPr>
              <w:widowControl w:val="0"/>
              <w:numPr>
                <w:ilvl w:val="0"/>
                <w:numId w:val="14"/>
              </w:numPr>
              <w:spacing w:before="120" w:after="120"/>
              <w:ind w:left="884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ГТП потребления (за исключением ГТП потребления поставщика), по которой в отношении данного участника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оптового рынка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п. 1.2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Методики применения мер оперативного воздействия, являющейся приложен</w:t>
            </w:r>
            <w:bookmarkStart w:id="0" w:name="_GoBack"/>
            <w:bookmarkEnd w:id="0"/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ием к </w:t>
            </w:r>
            <w:r w:rsidRPr="00E6508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Регламенту подачи ценовых заявок участниками оптового рынка 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(Приложение № 5 к</w:t>
            </w:r>
            <w:r w:rsidRPr="00E6508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рынка)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, применена мера оперативного воздействия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 рассматриваемые операционные сутки;</w:t>
            </w:r>
          </w:p>
          <w:p w:rsidR="00B111A3" w:rsidRPr="00E6508A" w:rsidRDefault="00B111A3" w:rsidP="00B111A3">
            <w:pPr>
              <w:widowControl w:val="0"/>
              <w:numPr>
                <w:ilvl w:val="0"/>
                <w:numId w:val="14"/>
              </w:numPr>
              <w:spacing w:before="120" w:after="120"/>
              <w:ind w:left="884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ГТП потребления</w:t>
            </w: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03879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(за исключением ГТП потребления поставщика и ГТП потребления гарантирующего поставщика)</w:t>
            </w:r>
            <w:r w:rsidRPr="00AE005E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по кото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рой в отношении данного участника оптового рынка согласно п. 1.7 Методики применения мер оперативного воздействия,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являющейся приложением к </w:t>
            </w:r>
            <w:r w:rsidRPr="00E6508A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Регламенту подачи ценовых заявок участниками оптового рынка 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 5 к</w:t>
            </w:r>
            <w:r w:rsidRPr="00E6508A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E6508A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), применена мера оперативного воздействия на рассматриваемые операционные сутки;</w:t>
            </w:r>
          </w:p>
          <w:p w:rsidR="00B111A3" w:rsidRPr="00E6508A" w:rsidRDefault="00B111A3" w:rsidP="00B111A3">
            <w:pPr>
              <w:widowControl w:val="0"/>
              <w:numPr>
                <w:ilvl w:val="0"/>
                <w:numId w:val="14"/>
              </w:numPr>
              <w:spacing w:before="120" w:after="120"/>
              <w:ind w:left="885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 xml:space="preserve">ГТП потребления гарантирующего поставщика, зарегистрированной в отношении территориальной сетевой организации, которой в соответствии с Основными положениями функционирования розничных рынков электрической энергии присвоен статус гарантирующего поставщика, по которой в отношении данного участника оптового рынка согласно п. 1.7 Методики применения мер оперативного воздействия, являющейся приложением к </w:t>
            </w:r>
            <w:r w:rsidRPr="00E6508A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Регламенту подачи ценовых заявок участниками оптового рынка </w:t>
            </w:r>
            <w:r w:rsidRPr="00E6508A">
              <w:rPr>
                <w:rFonts w:ascii="Garamond" w:hAnsi="Garamond"/>
                <w:iCs/>
                <w:sz w:val="22"/>
                <w:szCs w:val="22"/>
                <w:lang w:eastAsia="en-US"/>
              </w:rPr>
              <w:t>(Приложение № 5 к</w:t>
            </w:r>
            <w:r w:rsidRPr="00E6508A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 Договору о присоединении к торговой системе оптового рынка</w:t>
            </w:r>
            <w:r w:rsidRPr="00E6508A">
              <w:rPr>
                <w:rFonts w:ascii="Garamond" w:hAnsi="Garamond"/>
                <w:iCs/>
                <w:sz w:val="22"/>
                <w:szCs w:val="22"/>
                <w:lang w:eastAsia="en-US"/>
              </w:rPr>
              <w:t>)</w:t>
            </w:r>
            <w:r w:rsidRPr="00E6508A">
              <w:rPr>
                <w:rFonts w:ascii="Garamond" w:hAnsi="Garamond"/>
                <w:sz w:val="22"/>
                <w:szCs w:val="22"/>
                <w:lang w:eastAsia="en-US"/>
              </w:rPr>
              <w:t>, применена мера оперативного воздействия на рассматриваемые операционные сутки, отнесенные к временному периоду длительностью 90 операционных суток, начиная с даты получения данным субъектом оптового рынка права на участие в торговле электрической энергией по данной ГТП.</w:t>
            </w:r>
          </w:p>
        </w:tc>
      </w:tr>
      <w:tr w:rsidR="00B111A3" w:rsidRPr="00E6508A" w:rsidTr="00B111A3">
        <w:trPr>
          <w:trHeight w:val="435"/>
        </w:trPr>
        <w:tc>
          <w:tcPr>
            <w:tcW w:w="993" w:type="dxa"/>
            <w:vAlign w:val="center"/>
          </w:tcPr>
          <w:p w:rsidR="00B111A3" w:rsidRPr="00E6508A" w:rsidRDefault="00B111A3" w:rsidP="00964FC6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lastRenderedPageBreak/>
              <w:t>7.1</w:t>
            </w:r>
          </w:p>
        </w:tc>
        <w:tc>
          <w:tcPr>
            <w:tcW w:w="6804" w:type="dxa"/>
          </w:tcPr>
          <w:p w:rsidR="00B111A3" w:rsidRPr="00017055" w:rsidRDefault="00B111A3" w:rsidP="009D60D9">
            <w:pPr>
              <w:widowControl w:val="0"/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1705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 xml:space="preserve">5.2. КО не позднее 5-го числа месяца, следующего за расчетным, размещает на своем официальном сайте </w:t>
            </w:r>
            <w:r w:rsidRPr="00017055">
              <w:rPr>
                <w:rFonts w:ascii="Garamond" w:hAnsi="Garamond"/>
                <w:color w:val="000000"/>
                <w:szCs w:val="22"/>
              </w:rPr>
              <w:t>по форме 29 приложения 3 к настоящему Регламенту</w:t>
            </w:r>
            <w:r w:rsidRPr="00017055">
              <w:rPr>
                <w:rFonts w:ascii="Garamond" w:hAnsi="Garamond"/>
                <w:szCs w:val="22"/>
              </w:rPr>
              <w:t xml:space="preserve"> следующую информацию:</w:t>
            </w:r>
          </w:p>
          <w:p w:rsidR="00B111A3" w:rsidRPr="00017055" w:rsidRDefault="00B111A3" w:rsidP="00B111A3">
            <w:pPr>
              <w:pStyle w:val="subclauseindent"/>
              <w:widowControl w:val="0"/>
              <w:numPr>
                <w:ilvl w:val="0"/>
                <w:numId w:val="15"/>
              </w:numPr>
              <w:ind w:left="709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>совокупно по обеим ценовым зонам: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color w:val="000000"/>
                <w:szCs w:val="22"/>
              </w:rPr>
            </w:pPr>
            <w:r w:rsidRPr="00017055">
              <w:rPr>
                <w:rFonts w:ascii="Garamond" w:hAnsi="Garamond"/>
                <w:color w:val="000000"/>
                <w:szCs w:val="22"/>
              </w:rPr>
              <w:t xml:space="preserve">– количество случаев, когда результаты конкурентного отбора ценовых заявок на сутки вперед получены по итогам расчета с учетом </w:t>
            </w:r>
            <w:proofErr w:type="spellStart"/>
            <w:r w:rsidRPr="00017055">
              <w:rPr>
                <w:rFonts w:ascii="Garamond" w:hAnsi="Garamond"/>
                <w:color w:val="000000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color w:val="000000"/>
                <w:szCs w:val="22"/>
              </w:rPr>
              <w:t xml:space="preserve"> снижения объемов покупки электрической энергии и (или) снижения объема потребления электрической энергии потребителями, участвующими в групповом управлении изменением нагрузки </w:t>
            </w:r>
            <w:r w:rsidRPr="00017055">
              <w:rPr>
                <w:rFonts w:ascii="Garamond" w:hAnsi="Garamond"/>
                <w:szCs w:val="22"/>
              </w:rPr>
              <w:t xml:space="preserve">(случай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объемов покупки электрической энергии в соответствии с п. 9.9 настоящего Регламента не принимается в расчет) (далее – случаи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потребления)</w:t>
            </w:r>
            <w:r w:rsidRPr="00017055">
              <w:rPr>
                <w:rFonts w:ascii="Garamond" w:hAnsi="Garamond"/>
                <w:color w:val="000000"/>
                <w:szCs w:val="22"/>
              </w:rPr>
              <w:t>, шт.;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color w:val="000000"/>
                <w:szCs w:val="22"/>
              </w:rPr>
              <w:lastRenderedPageBreak/>
              <w:t>– совокупный экономический эффект от</w:t>
            </w:r>
            <w:r w:rsidRPr="00017055">
              <w:rPr>
                <w:rFonts w:ascii="Garamond" w:hAnsi="Garamond"/>
                <w:szCs w:val="22"/>
              </w:rPr>
              <w:t xml:space="preserve">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(суммарное значение рассчитанного в соответствии с п. 9.5.4 настоящего Регламента экономического эффекта по всем дням месяца, в которых было учтено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ценозависимое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снижение потребления), млн руб.;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 xml:space="preserve">– максимально возможный </w:t>
            </w:r>
            <w:r w:rsidRPr="00017055">
              <w:rPr>
                <w:rFonts w:ascii="Garamond" w:hAnsi="Garamond"/>
                <w:color w:val="000000"/>
                <w:szCs w:val="22"/>
              </w:rPr>
              <w:t>экономический эффект от</w:t>
            </w:r>
            <w:r w:rsidRPr="00017055">
              <w:rPr>
                <w:rFonts w:ascii="Garamond" w:hAnsi="Garamond"/>
                <w:szCs w:val="22"/>
              </w:rPr>
              <w:t xml:space="preserve">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(суммарное значение рассчитанного в соответствии с п. </w:t>
            </w:r>
            <w:r w:rsidRPr="00017055">
              <w:rPr>
                <w:rFonts w:ascii="Garamond" w:hAnsi="Garamond"/>
                <w:szCs w:val="22"/>
                <w:highlight w:val="yellow"/>
              </w:rPr>
              <w:t>9.5.3</w:t>
            </w:r>
            <w:r w:rsidRPr="00017055">
              <w:rPr>
                <w:rFonts w:ascii="Garamond" w:hAnsi="Garamond"/>
                <w:szCs w:val="22"/>
              </w:rPr>
              <w:t xml:space="preserve"> настоящего Регламента экономического эффекта по 5 дням месяца, в которые значения данного экономического эффекта являются наибольшими (в случае если экономический эффект рассчитан менее чем в 5 днях месяца, то определяется суммарное значение экономического эффекта по всем дням, в которые экономический эффект был рассчитан)), млн руб.;</w:t>
            </w:r>
          </w:p>
          <w:p w:rsidR="00B111A3" w:rsidRPr="00017055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17055">
              <w:rPr>
                <w:rFonts w:ascii="Garamond" w:hAnsi="Garamond"/>
                <w:color w:val="000000"/>
                <w:sz w:val="22"/>
                <w:szCs w:val="22"/>
              </w:rPr>
              <w:t>– среднесуточный экономический эффект от учета</w:t>
            </w:r>
            <w:r w:rsidRPr="00017055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1705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 w:val="22"/>
                <w:szCs w:val="22"/>
              </w:rPr>
              <w:t xml:space="preserve"> 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(среднее арифметическое за месяц значение рассчитанного в соответствии с п. 9.5.4 настоящего Регламента экономического эффекта), млн руб.;</w:t>
            </w:r>
          </w:p>
          <w:p w:rsidR="00B111A3" w:rsidRPr="00E6508A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1705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B111A3" w:rsidRPr="00017055" w:rsidRDefault="00B111A3" w:rsidP="009D60D9">
            <w:pPr>
              <w:widowControl w:val="0"/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1705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>…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 xml:space="preserve">5.2. КО не позднее 5-го числа месяца, следующего за расчетным, размещает на своем официальном сайте </w:t>
            </w:r>
            <w:r w:rsidRPr="00017055">
              <w:rPr>
                <w:rFonts w:ascii="Garamond" w:hAnsi="Garamond"/>
                <w:color w:val="000000"/>
                <w:szCs w:val="22"/>
              </w:rPr>
              <w:t>по форме 29 приложения 3 к настоящему Регламенту</w:t>
            </w:r>
            <w:r w:rsidRPr="00017055">
              <w:rPr>
                <w:rFonts w:ascii="Garamond" w:hAnsi="Garamond"/>
                <w:szCs w:val="22"/>
              </w:rPr>
              <w:t xml:space="preserve"> следующую информацию:</w:t>
            </w:r>
          </w:p>
          <w:p w:rsidR="00B111A3" w:rsidRPr="00017055" w:rsidRDefault="00B111A3" w:rsidP="00B111A3">
            <w:pPr>
              <w:pStyle w:val="subclauseindent"/>
              <w:widowControl w:val="0"/>
              <w:numPr>
                <w:ilvl w:val="0"/>
                <w:numId w:val="15"/>
              </w:numPr>
              <w:ind w:left="709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>совокупно по обеим ценовым зонам: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color w:val="000000"/>
                <w:szCs w:val="22"/>
              </w:rPr>
            </w:pPr>
            <w:r w:rsidRPr="00017055">
              <w:rPr>
                <w:rFonts w:ascii="Garamond" w:hAnsi="Garamond"/>
                <w:color w:val="000000"/>
                <w:szCs w:val="22"/>
              </w:rPr>
              <w:t xml:space="preserve">– количество случаев, когда результаты конкурентного отбора ценовых заявок на сутки вперед получены по итогам расчета с учетом </w:t>
            </w:r>
            <w:proofErr w:type="spellStart"/>
            <w:r w:rsidRPr="00017055">
              <w:rPr>
                <w:rFonts w:ascii="Garamond" w:hAnsi="Garamond"/>
                <w:color w:val="000000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color w:val="000000"/>
                <w:szCs w:val="22"/>
              </w:rPr>
              <w:t xml:space="preserve"> снижения объемов покупки электрической энергии и (или) снижения объема потребления электрической энергии потребителями, участвующими в групповом управлении изменением нагрузки </w:t>
            </w:r>
            <w:r w:rsidRPr="00017055">
              <w:rPr>
                <w:rFonts w:ascii="Garamond" w:hAnsi="Garamond"/>
                <w:szCs w:val="22"/>
              </w:rPr>
              <w:t xml:space="preserve">(случай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объемов покупки электрической энергии в соответствии с п. 9.9 настоящего Регламента не принимается в расчет) (далее – случаи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потребления)</w:t>
            </w:r>
            <w:r w:rsidRPr="00017055">
              <w:rPr>
                <w:rFonts w:ascii="Garamond" w:hAnsi="Garamond"/>
                <w:color w:val="000000"/>
                <w:szCs w:val="22"/>
              </w:rPr>
              <w:t>, шт.;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color w:val="000000"/>
                <w:szCs w:val="22"/>
              </w:rPr>
              <w:t>– совокупный экономический эффект от</w:t>
            </w:r>
            <w:r w:rsidRPr="00017055">
              <w:rPr>
                <w:rFonts w:ascii="Garamond" w:hAnsi="Garamond"/>
                <w:szCs w:val="22"/>
              </w:rPr>
              <w:t xml:space="preserve">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</w:t>
            </w:r>
            <w:r w:rsidRPr="00017055">
              <w:rPr>
                <w:rFonts w:ascii="Garamond" w:hAnsi="Garamond"/>
                <w:szCs w:val="22"/>
              </w:rPr>
              <w:lastRenderedPageBreak/>
              <w:t xml:space="preserve">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(суммарное значение рассчитанного в соответствии с п. 9.5.4 настоящего Регламента экономического эффекта по всем дням месяца, в которых было учтено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ценозависимое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снижение потребления), млн руб.;</w:t>
            </w:r>
          </w:p>
          <w:p w:rsidR="00B111A3" w:rsidRPr="00017055" w:rsidRDefault="00B111A3" w:rsidP="00964FC6">
            <w:pPr>
              <w:pStyle w:val="subclauseindent"/>
              <w:widowControl w:val="0"/>
              <w:ind w:left="0" w:firstLine="567"/>
              <w:rPr>
                <w:rFonts w:ascii="Garamond" w:hAnsi="Garamond"/>
                <w:szCs w:val="22"/>
              </w:rPr>
            </w:pPr>
            <w:r w:rsidRPr="00017055">
              <w:rPr>
                <w:rFonts w:ascii="Garamond" w:hAnsi="Garamond"/>
                <w:szCs w:val="22"/>
              </w:rPr>
              <w:t xml:space="preserve">– максимально возможный </w:t>
            </w:r>
            <w:r w:rsidRPr="00017055">
              <w:rPr>
                <w:rFonts w:ascii="Garamond" w:hAnsi="Garamond"/>
                <w:color w:val="000000"/>
                <w:szCs w:val="22"/>
              </w:rPr>
              <w:t>экономический эффект от</w:t>
            </w:r>
            <w:r w:rsidRPr="00017055">
              <w:rPr>
                <w:rFonts w:ascii="Garamond" w:hAnsi="Garamond"/>
                <w:szCs w:val="22"/>
              </w:rPr>
              <w:t xml:space="preserve"> учета </w:t>
            </w:r>
            <w:proofErr w:type="spellStart"/>
            <w:r w:rsidRPr="00017055">
              <w:rPr>
                <w:rFonts w:ascii="Garamond" w:hAnsi="Garamond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Cs w:val="22"/>
              </w:rPr>
              <w:t xml:space="preserve"> 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(суммарное значение рассчитанного в соответствии с п. </w:t>
            </w:r>
            <w:r w:rsidRPr="00017055">
              <w:rPr>
                <w:rFonts w:ascii="Garamond" w:hAnsi="Garamond"/>
                <w:szCs w:val="22"/>
                <w:highlight w:val="yellow"/>
              </w:rPr>
              <w:t>9.5.</w:t>
            </w:r>
            <w:r>
              <w:rPr>
                <w:rFonts w:ascii="Garamond" w:hAnsi="Garamond"/>
                <w:szCs w:val="22"/>
                <w:highlight w:val="yellow"/>
              </w:rPr>
              <w:t>4</w:t>
            </w:r>
            <w:r w:rsidRPr="00017055">
              <w:rPr>
                <w:rFonts w:ascii="Garamond" w:hAnsi="Garamond"/>
                <w:szCs w:val="22"/>
              </w:rPr>
              <w:t xml:space="preserve"> настоящего Регламента экономического эффекта по 5 дням месяца, в которые значения данного экономического эффекта являются наибольшими (в случае если экономический эффект рассчитан менее чем в 5 днях месяца, то определяется суммарное значение экономического эффекта по всем дням, в которые экономический эффект был рассчитан)), млн руб.;</w:t>
            </w:r>
          </w:p>
          <w:p w:rsidR="00B111A3" w:rsidRPr="00017055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17055">
              <w:rPr>
                <w:rFonts w:ascii="Garamond" w:hAnsi="Garamond"/>
                <w:color w:val="000000"/>
                <w:sz w:val="22"/>
                <w:szCs w:val="22"/>
              </w:rPr>
              <w:t>– среднесуточный экономический эффект от учета</w:t>
            </w:r>
            <w:r w:rsidRPr="00017055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1705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017055">
              <w:rPr>
                <w:rFonts w:ascii="Garamond" w:hAnsi="Garamond"/>
                <w:sz w:val="22"/>
                <w:szCs w:val="22"/>
              </w:rPr>
              <w:t xml:space="preserve"> снижения объемов покупки электрической энергии и снижения объема потребления электрической энергии потребителями, участвующими в групповом управлении изменением нагрузки (среднее арифметическое за месяц значение рассчитанного в соответствии с п. 9.5.4 настоящего Регламента экономического эффекта), млн руб.;</w:t>
            </w:r>
          </w:p>
          <w:p w:rsidR="00B111A3" w:rsidRPr="00E6508A" w:rsidRDefault="00B111A3" w:rsidP="00964FC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1705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7019D4" w:rsidRDefault="007019D4" w:rsidP="007019D4">
      <w:pPr>
        <w:jc w:val="both"/>
        <w:rPr>
          <w:rFonts w:ascii="Garamond" w:hAnsi="Garamond"/>
          <w:b/>
          <w:sz w:val="26"/>
          <w:szCs w:val="26"/>
        </w:rPr>
      </w:pPr>
    </w:p>
    <w:p w:rsidR="007019D4" w:rsidRDefault="007019D4" w:rsidP="00E23A16">
      <w:pPr>
        <w:rPr>
          <w:rFonts w:ascii="Garamond" w:hAnsi="Garamond"/>
          <w:b/>
          <w:sz w:val="26"/>
          <w:szCs w:val="26"/>
        </w:rPr>
      </w:pPr>
      <w:r w:rsidRPr="00991FAD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991FAD">
        <w:rPr>
          <w:rFonts w:ascii="Garamond" w:hAnsi="Garamond"/>
          <w:b/>
          <w:caps/>
          <w:sz w:val="26"/>
          <w:szCs w:val="26"/>
        </w:rPr>
        <w:t xml:space="preserve">РЕГЛАМЕНТ </w:t>
      </w:r>
      <w:r w:rsidRPr="00991FAD">
        <w:rPr>
          <w:rFonts w:ascii="Garamond" w:hAnsi="Garamond"/>
          <w:b/>
          <w:sz w:val="26"/>
          <w:szCs w:val="26"/>
        </w:rPr>
        <w:t xml:space="preserve">ПРОВЕДЕНИЯ </w:t>
      </w:r>
      <w:bookmarkStart w:id="1" w:name="_Toc260307775"/>
      <w:bookmarkStart w:id="2" w:name="_Toc211138624"/>
      <w:bookmarkStart w:id="3" w:name="_Toc204420354"/>
      <w:r w:rsidRPr="00991FAD">
        <w:rPr>
          <w:rFonts w:ascii="Garamond" w:hAnsi="Garamond"/>
          <w:b/>
          <w:sz w:val="26"/>
          <w:szCs w:val="26"/>
        </w:rPr>
        <w:t xml:space="preserve">ОТБОРОВ </w:t>
      </w:r>
      <w:bookmarkEnd w:id="1"/>
      <w:bookmarkEnd w:id="2"/>
      <w:bookmarkEnd w:id="3"/>
      <w:r w:rsidRPr="00991FAD">
        <w:rPr>
          <w:rFonts w:ascii="Garamond" w:hAnsi="Garamond"/>
          <w:b/>
          <w:sz w:val="26"/>
          <w:szCs w:val="26"/>
        </w:rPr>
        <w:t xml:space="preserve">ПРОЕКТОВ МОДЕРНИЗАЦИИ ГЕНЕРИРУЮЩЕГО ОБОРУДОВАНИЯ ТЕПЛОВЫХ ЭЛЕКТРОСТАНЦИЙ </w:t>
      </w:r>
      <w:r w:rsidRPr="00991FAD">
        <w:rPr>
          <w:rFonts w:ascii="Garamond" w:hAnsi="Garamond"/>
          <w:b/>
          <w:caps/>
          <w:sz w:val="26"/>
          <w:szCs w:val="26"/>
        </w:rPr>
        <w:t>(</w:t>
      </w:r>
      <w:r w:rsidR="00E23A16">
        <w:rPr>
          <w:rFonts w:ascii="Garamond" w:hAnsi="Garamond"/>
          <w:b/>
          <w:sz w:val="26"/>
          <w:szCs w:val="26"/>
        </w:rPr>
        <w:t>Приложение № </w:t>
      </w:r>
      <w:r w:rsidRPr="00991FAD">
        <w:rPr>
          <w:rFonts w:ascii="Garamond" w:hAnsi="Garamond"/>
          <w:b/>
          <w:sz w:val="26"/>
          <w:szCs w:val="26"/>
        </w:rPr>
        <w:t>19.3.1 к Договору</w:t>
      </w:r>
      <w:r>
        <w:rPr>
          <w:rFonts w:ascii="Garamond" w:hAnsi="Garamond"/>
          <w:b/>
          <w:sz w:val="26"/>
          <w:szCs w:val="26"/>
        </w:rPr>
        <w:t xml:space="preserve"> о</w:t>
      </w:r>
      <w:r w:rsidRPr="00991FAD">
        <w:rPr>
          <w:rFonts w:ascii="Garamond" w:hAnsi="Garamond"/>
          <w:b/>
          <w:sz w:val="26"/>
          <w:szCs w:val="26"/>
        </w:rPr>
        <w:t> присоединении к торговой системе оптового рынка)</w:t>
      </w:r>
    </w:p>
    <w:p w:rsidR="007019D4" w:rsidRDefault="007019D4" w:rsidP="007019D4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7019D4" w:rsidRPr="004A5401" w:rsidTr="00622FAE">
        <w:trPr>
          <w:jc w:val="center"/>
        </w:trPr>
        <w:tc>
          <w:tcPr>
            <w:tcW w:w="993" w:type="dxa"/>
            <w:vAlign w:val="center"/>
          </w:tcPr>
          <w:p w:rsidR="007019D4" w:rsidRPr="004A5401" w:rsidRDefault="007019D4" w:rsidP="00622FA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7019D4" w:rsidRPr="004A5401" w:rsidRDefault="007019D4" w:rsidP="00622FA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7019D4" w:rsidRPr="004A5401" w:rsidRDefault="007019D4" w:rsidP="00622FA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019D4" w:rsidRPr="004A5401" w:rsidRDefault="007019D4" w:rsidP="00622FA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7019D4" w:rsidRPr="004A5401" w:rsidRDefault="007019D4" w:rsidP="00622FA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019D4" w:rsidRPr="004A5401" w:rsidRDefault="007019D4" w:rsidP="00622FA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A540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Pr="008F6078" w:rsidRDefault="007A4062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3.3.2</w:t>
            </w:r>
          </w:p>
        </w:tc>
        <w:tc>
          <w:tcPr>
            <w:tcW w:w="6974" w:type="dxa"/>
          </w:tcPr>
          <w:p w:rsidR="007019D4" w:rsidRDefault="007A4062" w:rsidP="00622FAE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7A4062" w:rsidRPr="007A4062" w:rsidRDefault="00F341B4" w:rsidP="007A4062">
            <w:pPr>
              <w:suppressAutoHyphens/>
              <w:spacing w:before="120" w:after="120"/>
              <w:ind w:left="583" w:hanging="157"/>
              <w:jc w:val="both"/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Batang" w:hAnsi="Cambria Math" w:cs="Garamond"/>
                      <w:i/>
                      <w:sz w:val="22"/>
                      <w:szCs w:val="22"/>
                      <w:lang w:eastAsia="ar-SA"/>
                    </w:rPr>
                  </m:ctrlPr>
                </m:naryPr>
                <m:sub>
                  <m: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Batang" w:hAnsi="Cambria Math" w:cs="Garamond"/>
                          <w:i/>
                          <w:sz w:val="22"/>
                          <w:szCs w:val="22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пл,</m:t>
                      </m:r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val="en-US" w:eastAsia="ar-SA"/>
                        </w:rPr>
                        <m:t>g</m:t>
                      </m:r>
                    </m:sup>
                  </m:sSubSup>
                </m:e>
              </m:nary>
            </m:oMath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количество суток в течение периода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D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, в которые для ЕГО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g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во всех часах суток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d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величина согласованных </w:t>
            </w:r>
            <w:r w:rsidR="007A4062" w:rsidRPr="007A4062">
              <w:rPr>
                <w:rFonts w:ascii="Garamond" w:eastAsia="Batang" w:hAnsi="Garamond" w:cs="Arial"/>
                <w:sz w:val="22"/>
                <w:szCs w:val="22"/>
              </w:rPr>
              <w:t xml:space="preserve">плановых </w:t>
            </w:r>
            <w:r w:rsidR="007A4062" w:rsidRPr="007A4062">
              <w:rPr>
                <w:rFonts w:ascii="Garamond" w:eastAsia="Batang" w:hAnsi="Garamond" w:cs="Arial"/>
                <w:sz w:val="22"/>
                <w:szCs w:val="22"/>
              </w:rPr>
              <w:lastRenderedPageBreak/>
              <w:t xml:space="preserve">ремонтных снижений 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мощности (</w:t>
            </w:r>
            <w:r w:rsidR="007A4062" w:rsidRPr="007A4062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420" w:dyaOrig="400" w14:anchorId="41DF2E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9.5pt" o:ole="">
                  <v:imagedata r:id="rId7" o:title=""/>
                </v:shape>
                <o:OLEObject Type="Embed" ProgID="Equation.3" ShapeID="_x0000_i1025" DrawAspect="Content" ObjectID="_1694245852" r:id="rId8"/>
              </w:objec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), рассчитанная в соответствии с п. 3.4.6 </w:t>
            </w:r>
            <w:r w:rsidR="007A4062" w:rsidRPr="007A406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Регламента определения объемов фактически поставленной на оптовый рынок мощности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13 к </w:t>
            </w:r>
            <w:r w:rsidR="007A4062" w:rsidRPr="007A406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Договору о присоединении к торговой системе оптового рынка), </w:t>
            </w:r>
            <w:r w:rsidR="007A4062" w:rsidRPr="007A4062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была больше нуля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;</w:t>
            </w:r>
          </w:p>
          <w:p w:rsidR="007A4062" w:rsidRPr="004A5401" w:rsidRDefault="007A4062" w:rsidP="00622FAE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917" w:type="dxa"/>
          </w:tcPr>
          <w:p w:rsidR="007A4062" w:rsidRDefault="007A4062" w:rsidP="007A4062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7A4062" w:rsidRPr="007A4062" w:rsidRDefault="00F341B4" w:rsidP="007A4062">
            <w:pPr>
              <w:suppressAutoHyphens/>
              <w:spacing w:before="120" w:after="120"/>
              <w:ind w:left="583" w:hanging="157"/>
              <w:jc w:val="both"/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Batang" w:hAnsi="Cambria Math" w:cs="Garamond"/>
                      <w:i/>
                      <w:sz w:val="22"/>
                      <w:szCs w:val="22"/>
                      <w:lang w:eastAsia="ar-SA"/>
                    </w:rPr>
                  </m:ctrlPr>
                </m:naryPr>
                <m:sub>
                  <m: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Batang" w:hAnsi="Cambria Math" w:cs="Garamond"/>
                          <w:i/>
                          <w:sz w:val="22"/>
                          <w:szCs w:val="22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eastAsia="ar-SA"/>
                        </w:rPr>
                        <m:t>пл,</m:t>
                      </m:r>
                      <m:r>
                        <w:rPr>
                          <w:rFonts w:ascii="Cambria Math" w:eastAsia="Batang" w:hAnsi="Cambria Math" w:cs="Garamond"/>
                          <w:sz w:val="22"/>
                          <w:szCs w:val="22"/>
                          <w:lang w:val="en-US" w:eastAsia="ar-SA"/>
                        </w:rPr>
                        <m:t>g</m:t>
                      </m:r>
                    </m:sup>
                  </m:sSubSup>
                </m:e>
              </m:nary>
            </m:oMath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количество суток в течение периода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D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, в которые для ЕГО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g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во всех часах суток </w:t>
            </w:r>
            <w:r w:rsidR="007A4062" w:rsidRPr="007A4062">
              <w:rPr>
                <w:rFonts w:ascii="Garamond" w:eastAsia="Batang" w:hAnsi="Garamond" w:cs="Garamond"/>
                <w:bCs/>
                <w:i/>
                <w:sz w:val="22"/>
                <w:szCs w:val="22"/>
                <w:lang w:val="en-US" w:eastAsia="ar-SA"/>
              </w:rPr>
              <w:t>d</w:t>
            </w:r>
            <w:r w:rsidR="007A4062" w:rsidRPr="007A406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величина согласованных </w:t>
            </w:r>
            <w:r w:rsidR="007A4062" w:rsidRPr="007A4062">
              <w:rPr>
                <w:rFonts w:ascii="Garamond" w:eastAsia="Batang" w:hAnsi="Garamond" w:cs="Arial"/>
                <w:sz w:val="22"/>
                <w:szCs w:val="22"/>
              </w:rPr>
              <w:t xml:space="preserve">плановых </w:t>
            </w:r>
            <w:r w:rsidR="007A4062" w:rsidRPr="007A4062">
              <w:rPr>
                <w:rFonts w:ascii="Garamond" w:eastAsia="Batang" w:hAnsi="Garamond" w:cs="Arial"/>
                <w:sz w:val="22"/>
                <w:szCs w:val="22"/>
              </w:rPr>
              <w:lastRenderedPageBreak/>
              <w:t xml:space="preserve">ремонтных снижений 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мощности (</w:t>
            </w:r>
            <w:r w:rsidR="007A4062" w:rsidRPr="007A4062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420" w:dyaOrig="400" w14:anchorId="29FAAA8C">
                <v:shape id="_x0000_i1026" type="#_x0000_t75" style="width:19.5pt;height:19.5pt" o:ole="">
                  <v:imagedata r:id="rId7" o:title=""/>
                </v:shape>
                <o:OLEObject Type="Embed" ProgID="Equation.3" ShapeID="_x0000_i1026" DrawAspect="Content" ObjectID="_1694245853" r:id="rId9"/>
              </w:objec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), рассчитанная в соответствии с п. 3.4.6 </w:t>
            </w:r>
            <w:r w:rsidR="007A4062" w:rsidRPr="007A406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Регламента определения объемов фактически поставленной на оптовый рынок мощности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13 к </w:t>
            </w:r>
            <w:r w:rsidR="007A4062" w:rsidRPr="007A406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Договору о присоединении к торговой системе оптового рынка), </w:t>
            </w:r>
            <w:r w:rsidR="007A4062" w:rsidRPr="007A4062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была больше нуля;</w:t>
            </w:r>
          </w:p>
          <w:p w:rsidR="007019D4" w:rsidRPr="004A5401" w:rsidRDefault="007A4062" w:rsidP="007A4062">
            <w:pPr>
              <w:pStyle w:val="a5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0915D1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3.3.3</w:t>
            </w:r>
          </w:p>
        </w:tc>
        <w:tc>
          <w:tcPr>
            <w:tcW w:w="6974" w:type="dxa"/>
          </w:tcPr>
          <w:p w:rsidR="000915D1" w:rsidRPr="00911C30" w:rsidRDefault="000915D1" w:rsidP="000915D1">
            <w:pPr>
              <w:pStyle w:val="a3"/>
              <w:autoSpaceDE w:val="0"/>
              <w:autoSpaceDN w:val="0"/>
              <w:spacing w:before="120" w:after="120"/>
              <w:ind w:left="0" w:firstLine="456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15FCA">
              <w:rPr>
                <w:rFonts w:ascii="Garamond" w:hAnsi="Garamond"/>
                <w:sz w:val="22"/>
                <w:szCs w:val="22"/>
              </w:rPr>
              <w:t>В случае намерения реализовать в рамках соответствующего проекта модернизации мероприяти</w:t>
            </w:r>
            <w:r w:rsidRPr="000915D1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B15FCA">
              <w:rPr>
                <w:rFonts w:ascii="Garamond" w:hAnsi="Garamond"/>
                <w:sz w:val="22"/>
                <w:szCs w:val="22"/>
              </w:rPr>
              <w:t xml:space="preserve"> по модернизации котлоагрегата (-ов), указанны</w:t>
            </w:r>
            <w:r w:rsidRPr="00182D79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B15FCA">
              <w:rPr>
                <w:rFonts w:ascii="Garamond" w:hAnsi="Garamond"/>
                <w:sz w:val="22"/>
                <w:szCs w:val="22"/>
              </w:rPr>
              <w:t xml:space="preserve"> в подп. 1 п. 3.2 настоящего Регламента, в проект модернизации генерирующего объекта включаются ЕГО, на режим работы которой (-ых) влияет вывод из работы указанного котлоагрегата (-ов). При этом не допускается включение в состав проекта модернизации генерирующего объекта нескольких ЕГО, если снижение установленной мощности </w:t>
            </w:r>
            <w:r w:rsidRPr="00911C30">
              <w:rPr>
                <w:rFonts w:ascii="Garamond" w:hAnsi="Garamond"/>
                <w:sz w:val="22"/>
                <w:szCs w:val="22"/>
              </w:rPr>
              <w:t>электростанции, обусловленное выводом из работы соответствующего котлоагреата (-ов) на период реализации мероприятий по модернизации, могло быть обеспечено установленной мощностью меньшего количества ЕГО, включенных в проект модернизации.</w:t>
            </w:r>
          </w:p>
          <w:p w:rsidR="007019D4" w:rsidRDefault="000915D1" w:rsidP="00622FA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:rsidR="000915D1" w:rsidRPr="00911C30" w:rsidRDefault="000915D1" w:rsidP="000915D1">
            <w:pPr>
              <w:pStyle w:val="a3"/>
              <w:autoSpaceDE w:val="0"/>
              <w:autoSpaceDN w:val="0"/>
              <w:spacing w:before="120" w:after="120"/>
              <w:ind w:left="0" w:firstLine="456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15FCA">
              <w:rPr>
                <w:rFonts w:ascii="Garamond" w:hAnsi="Garamond"/>
                <w:sz w:val="22"/>
                <w:szCs w:val="22"/>
              </w:rPr>
              <w:t>В случае намерения реализовать в рамках соответствующего проекта модернизации мероприяти</w:t>
            </w:r>
            <w:r w:rsidRPr="000915D1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B15FCA">
              <w:rPr>
                <w:rFonts w:ascii="Garamond" w:hAnsi="Garamond"/>
                <w:sz w:val="22"/>
                <w:szCs w:val="22"/>
              </w:rPr>
              <w:t xml:space="preserve"> по модернизации котлоагрегата (-ов), указанны</w:t>
            </w:r>
            <w:r w:rsidR="00353AB3" w:rsidRPr="00182D79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B15FCA">
              <w:rPr>
                <w:rFonts w:ascii="Garamond" w:hAnsi="Garamond"/>
                <w:sz w:val="22"/>
                <w:szCs w:val="22"/>
              </w:rPr>
              <w:t xml:space="preserve"> в подп. 1 п. 3.2 настоящего Регламента, в проект модернизации генерирующего объекта включаются ЕГО, на режим работы которой (-ых) влияет вывод из работы указанного котлоагрегата (-ов). При этом не допускается включение в состав проекта модернизации генерирующего объекта нескольких ЕГО, если снижение установленной мощности </w:t>
            </w:r>
            <w:r w:rsidRPr="00911C30">
              <w:rPr>
                <w:rFonts w:ascii="Garamond" w:hAnsi="Garamond"/>
                <w:sz w:val="22"/>
                <w:szCs w:val="22"/>
              </w:rPr>
              <w:t>электростанции, обусловленное выводом из работы соответствующего котлоагреата (-ов) на период реализации мероприятий по модернизации, могло быть обеспечено установленной мощностью меньшего количества ЕГО, включенных в проект модернизации.</w:t>
            </w:r>
          </w:p>
          <w:p w:rsidR="007019D4" w:rsidRDefault="000915D1" w:rsidP="000915D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019D4" w:rsidRPr="004A5401" w:rsidTr="00B251AA">
        <w:trPr>
          <w:trHeight w:val="1460"/>
          <w:jc w:val="center"/>
        </w:trPr>
        <w:tc>
          <w:tcPr>
            <w:tcW w:w="993" w:type="dxa"/>
            <w:vAlign w:val="center"/>
          </w:tcPr>
          <w:p w:rsidR="007019D4" w:rsidRDefault="00B251AA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5.1.2</w:t>
            </w:r>
          </w:p>
        </w:tc>
        <w:tc>
          <w:tcPr>
            <w:tcW w:w="6974" w:type="dxa"/>
          </w:tcPr>
          <w:p w:rsidR="007019D4" w:rsidRPr="00461E9E" w:rsidRDefault="00B251AA" w:rsidP="00B251AA">
            <w:pPr>
              <w:autoSpaceDE w:val="0"/>
              <w:autoSpaceDN w:val="0"/>
              <w:spacing w:after="120"/>
              <w:ind w:firstLine="456"/>
              <w:jc w:val="both"/>
              <w:rPr>
                <w:rFonts w:ascii="Garamond" w:hAnsi="Garamond"/>
                <w:sz w:val="22"/>
                <w:szCs w:val="22"/>
              </w:rPr>
            </w:pPr>
            <w:r w:rsidRPr="00B251AA">
              <w:rPr>
                <w:rFonts w:ascii="Garamond" w:hAnsi="Garamond"/>
                <w:sz w:val="22"/>
                <w:szCs w:val="22"/>
              </w:rPr>
              <w:t>В предварительный Реестр участников КОММод на год, на который проводится отбор, включаются поставщики мощности, выполнившие требования, указанные в п. 5.1.1 настоящего Регламента не позднее 3 (трех) рабочих дней до даты передачи Системному оператору указанного реестра, установленной п. 5.2.1 настоящего Регламента.</w:t>
            </w:r>
          </w:p>
        </w:tc>
        <w:tc>
          <w:tcPr>
            <w:tcW w:w="6917" w:type="dxa"/>
          </w:tcPr>
          <w:p w:rsidR="007019D4" w:rsidRPr="00461E9E" w:rsidRDefault="00B251AA" w:rsidP="00B251AA">
            <w:pPr>
              <w:autoSpaceDE w:val="0"/>
              <w:autoSpaceDN w:val="0"/>
              <w:spacing w:after="120"/>
              <w:ind w:firstLine="456"/>
              <w:jc w:val="both"/>
              <w:rPr>
                <w:rFonts w:ascii="Garamond" w:hAnsi="Garamond"/>
                <w:sz w:val="22"/>
                <w:szCs w:val="22"/>
              </w:rPr>
            </w:pPr>
            <w:r w:rsidRPr="00B251AA">
              <w:rPr>
                <w:rFonts w:ascii="Garamond" w:hAnsi="Garamond"/>
                <w:sz w:val="22"/>
                <w:szCs w:val="22"/>
              </w:rPr>
              <w:t>В предварительный Реестр участников КОММод на год, на который проводится отбор, включаются поставщики мощности, выполнившие требования, указанные в п. 5.1.1 настоящего Регламента</w:t>
            </w:r>
            <w:r w:rsidRPr="00B251AA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251AA">
              <w:rPr>
                <w:rFonts w:ascii="Garamond" w:hAnsi="Garamond"/>
                <w:sz w:val="22"/>
                <w:szCs w:val="22"/>
              </w:rPr>
              <w:t xml:space="preserve"> не позднее 3 (трех) рабочих дней до даты передачи Системному оператору указанного реестра, установленной п. 5.2.1 настоящего Регламента.</w:t>
            </w:r>
          </w:p>
        </w:tc>
      </w:tr>
      <w:tr w:rsidR="00353AB3" w:rsidRPr="004A5401" w:rsidTr="00B251AA">
        <w:trPr>
          <w:trHeight w:val="1460"/>
          <w:jc w:val="center"/>
        </w:trPr>
        <w:tc>
          <w:tcPr>
            <w:tcW w:w="993" w:type="dxa"/>
            <w:vAlign w:val="center"/>
          </w:tcPr>
          <w:p w:rsidR="00353AB3" w:rsidRDefault="00353AB3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5.2.1</w:t>
            </w:r>
          </w:p>
        </w:tc>
        <w:tc>
          <w:tcPr>
            <w:tcW w:w="6974" w:type="dxa"/>
          </w:tcPr>
          <w:p w:rsidR="00353AB3" w:rsidRPr="00B251AA" w:rsidRDefault="00353AB3" w:rsidP="00B251AA">
            <w:pPr>
              <w:autoSpaceDE w:val="0"/>
              <w:autoSpaceDN w:val="0"/>
              <w:spacing w:after="120"/>
              <w:ind w:firstLine="456"/>
              <w:jc w:val="both"/>
              <w:rPr>
                <w:rFonts w:ascii="Garamond" w:hAnsi="Garamond"/>
                <w:sz w:val="22"/>
                <w:szCs w:val="22"/>
              </w:rPr>
            </w:pPr>
            <w:r w:rsidRPr="008B1F72">
              <w:rPr>
                <w:rFonts w:ascii="Garamond" w:hAnsi="Garamond"/>
                <w:sz w:val="22"/>
                <w:szCs w:val="22"/>
              </w:rPr>
              <w:t xml:space="preserve">Предварительный Реестр </w:t>
            </w:r>
            <w:r w:rsidRPr="008B1AFB">
              <w:rPr>
                <w:rFonts w:ascii="Garamond" w:hAnsi="Garamond"/>
                <w:sz w:val="22"/>
                <w:szCs w:val="22"/>
              </w:rPr>
              <w:t xml:space="preserve">участников КОММод </w:t>
            </w:r>
            <w:r w:rsidRPr="00353AB3">
              <w:rPr>
                <w:rFonts w:ascii="Garamond" w:hAnsi="Garamond"/>
                <w:sz w:val="22"/>
                <w:szCs w:val="22"/>
              </w:rPr>
              <w:t xml:space="preserve">на период проведения </w:t>
            </w:r>
            <w:r w:rsidRPr="00182D79">
              <w:rPr>
                <w:rFonts w:ascii="Garamond" w:hAnsi="Garamond"/>
                <w:sz w:val="22"/>
                <w:szCs w:val="22"/>
                <w:highlight w:val="yellow"/>
              </w:rPr>
              <w:t>КОММод, на который проводится отбор</w:t>
            </w:r>
            <w:r w:rsidRPr="008B1AFB">
              <w:rPr>
                <w:rFonts w:ascii="Garamond" w:hAnsi="Garamond"/>
                <w:sz w:val="22"/>
                <w:szCs w:val="22"/>
              </w:rPr>
              <w:t>, формирует КО и передает СО за 15 рабочих дней до даты окончания срока подачи (приема) ценовых заявок на участие в отборе проектов модернизации на соответствующий год, установленной СО в соответствии с п. 2 настоящего Регламента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:rsidR="00353AB3" w:rsidRPr="00B251AA" w:rsidRDefault="00353AB3" w:rsidP="00353AB3">
            <w:pPr>
              <w:autoSpaceDE w:val="0"/>
              <w:autoSpaceDN w:val="0"/>
              <w:spacing w:after="120"/>
              <w:ind w:firstLine="456"/>
              <w:jc w:val="both"/>
              <w:rPr>
                <w:rFonts w:ascii="Garamond" w:hAnsi="Garamond"/>
                <w:sz w:val="22"/>
                <w:szCs w:val="22"/>
              </w:rPr>
            </w:pPr>
            <w:r w:rsidRPr="008B1F72">
              <w:rPr>
                <w:rFonts w:ascii="Garamond" w:hAnsi="Garamond"/>
                <w:sz w:val="22"/>
                <w:szCs w:val="22"/>
              </w:rPr>
              <w:t xml:space="preserve">Предварительный Реестр </w:t>
            </w:r>
            <w:r w:rsidRPr="008B1AFB">
              <w:rPr>
                <w:rFonts w:ascii="Garamond" w:hAnsi="Garamond"/>
                <w:sz w:val="22"/>
                <w:szCs w:val="22"/>
              </w:rPr>
              <w:t xml:space="preserve">участников КОММод </w:t>
            </w:r>
            <w:r w:rsidRPr="00182D79">
              <w:rPr>
                <w:rFonts w:ascii="Garamond" w:hAnsi="Garamond"/>
                <w:sz w:val="22"/>
                <w:szCs w:val="22"/>
              </w:rPr>
              <w:t>на период проведения</w:t>
            </w:r>
            <w:r w:rsidRPr="00353AB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82D79">
              <w:rPr>
                <w:rFonts w:ascii="Garamond" w:hAnsi="Garamond"/>
                <w:sz w:val="22"/>
                <w:szCs w:val="22"/>
                <w:highlight w:val="yellow"/>
              </w:rPr>
              <w:t>отбора проектов модернизации</w:t>
            </w:r>
            <w:r w:rsidRPr="008B1AFB">
              <w:rPr>
                <w:rFonts w:ascii="Garamond" w:hAnsi="Garamond"/>
                <w:sz w:val="22"/>
                <w:szCs w:val="22"/>
              </w:rPr>
              <w:t>, формирует КО и передает СО за 15 рабочих дней до даты окончания срока подачи (приема) ценовых заявок на участие в отборе проектов модернизации на соответствующий год, установленной СО в соответствии с п. 2 настоящего Регламента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926D48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926D48" w:rsidRDefault="00B251AA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5.2.2.2</w:t>
            </w:r>
          </w:p>
        </w:tc>
        <w:tc>
          <w:tcPr>
            <w:tcW w:w="6974" w:type="dxa"/>
          </w:tcPr>
          <w:p w:rsidR="00B251AA" w:rsidRDefault="00B251AA" w:rsidP="00B251AA">
            <w:pPr>
              <w:suppressAutoHyphens/>
              <w:spacing w:before="120" w:after="120"/>
              <w:ind w:left="456" w:hanging="284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:rsidR="00B251AA" w:rsidRPr="00B251AA" w:rsidRDefault="00B251AA" w:rsidP="00B251AA">
            <w:pPr>
              <w:suppressAutoHyphens/>
              <w:spacing w:before="120" w:after="120"/>
              <w:ind w:left="456" w:hanging="28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г) основной вид топлива:</w:t>
            </w:r>
          </w:p>
          <w:p w:rsidR="00926D48" w:rsidRPr="00461E9E" w:rsidRDefault="00B251AA" w:rsidP="00B251AA">
            <w:pPr>
              <w:tabs>
                <w:tab w:val="left" w:pos="1026"/>
              </w:tabs>
              <w:suppressAutoHyphens/>
              <w:spacing w:before="120" w:after="120"/>
              <w:ind w:left="456"/>
              <w:jc w:val="both"/>
              <w:rPr>
                <w:rFonts w:ascii="Garamond" w:hAnsi="Garamond"/>
                <w:sz w:val="22"/>
                <w:szCs w:val="22"/>
              </w:rPr>
            </w:pP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указывается вид топлива, используемый в качестве основного на данном генерирующем объекте (газ или уголь), указанный в Перечне 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паспортных технологических характеристик генерирующего оборудования, </w:t>
            </w:r>
            <w:r w:rsidRPr="00182D7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планируемого ко вводу в эксплуатацию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поданном субъектом оптового рынка по форме 13Д 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Положени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я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1.1 к 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  <w:r w:rsidRPr="00470C9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</w:p>
        </w:tc>
        <w:tc>
          <w:tcPr>
            <w:tcW w:w="6917" w:type="dxa"/>
          </w:tcPr>
          <w:p w:rsidR="00B251AA" w:rsidRDefault="00B251AA" w:rsidP="00B251AA">
            <w:pPr>
              <w:suppressAutoHyphens/>
              <w:spacing w:before="120" w:after="120"/>
              <w:ind w:left="456" w:hanging="284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…</w:t>
            </w:r>
          </w:p>
          <w:p w:rsidR="00B251AA" w:rsidRPr="00B251AA" w:rsidRDefault="00B251AA" w:rsidP="00B251AA">
            <w:pPr>
              <w:suppressAutoHyphens/>
              <w:spacing w:before="120" w:after="120"/>
              <w:ind w:left="456" w:hanging="28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г) основной вид топлива:</w:t>
            </w:r>
          </w:p>
          <w:p w:rsidR="00926D48" w:rsidRPr="00461E9E" w:rsidRDefault="00B251AA" w:rsidP="00A9060F">
            <w:pPr>
              <w:suppressAutoHyphens/>
              <w:spacing w:before="120" w:after="120"/>
              <w:ind w:left="429"/>
              <w:jc w:val="both"/>
              <w:rPr>
                <w:rFonts w:ascii="Garamond" w:hAnsi="Garamond"/>
                <w:sz w:val="22"/>
                <w:szCs w:val="22"/>
              </w:rPr>
            </w:pP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указывается вид топлива, используемый в качестве основного на данном генерирующем объекте (газ или уголь), указанный в Перечне 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паспортных технологических характеристик генерирующего оборудования, </w:t>
            </w:r>
            <w:r w:rsidR="00845AF4" w:rsidRPr="00182D7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участие которого предполагается в реализа</w:t>
            </w:r>
            <w:r w:rsidR="00A9060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ции мероприятий по модернизации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поданном субъектом оптового рынка по форме 13Д </w:t>
            </w:r>
            <w:r w:rsidR="009846DB" w:rsidRPr="009846DB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приложения 1 к</w:t>
            </w:r>
            <w:r w:rsidR="009846D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Положени</w:t>
            </w:r>
            <w:r w:rsidR="00D05A45" w:rsidRPr="00D05A4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ю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1.1 к </w:t>
            </w:r>
            <w:r w:rsidRPr="00B251A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251A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  <w:r w:rsidR="00845AF4" w:rsidRPr="00470C9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, в </w:t>
            </w:r>
            <w:r w:rsidR="00845AF4" w:rsidRPr="00182D7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отношении генерирующего оборудования, функционирующего после реализации мероприятий по модернизации</w:t>
            </w:r>
            <w:r w:rsidRPr="0004449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74792B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5.2.2.3</w:t>
            </w:r>
          </w:p>
        </w:tc>
        <w:tc>
          <w:tcPr>
            <w:tcW w:w="6974" w:type="dxa"/>
          </w:tcPr>
          <w:p w:rsidR="007019D4" w:rsidRDefault="0074792B" w:rsidP="00535242">
            <w:pPr>
              <w:suppressAutoHyphens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74792B" w:rsidRPr="0074792B" w:rsidRDefault="0074792B" w:rsidP="0074792B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spacing w:before="120" w:after="120"/>
              <w:ind w:left="45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74792B">
              <w:rPr>
                <w:rFonts w:ascii="Garamond" w:hAnsi="Garamond"/>
                <w:sz w:val="22"/>
                <w:szCs w:val="22"/>
              </w:rPr>
              <w:t xml:space="preserve">величина «установленная мощность» ЕГО: </w:t>
            </w:r>
          </w:p>
          <w:p w:rsidR="0074792B" w:rsidRPr="00461E9E" w:rsidRDefault="0074792B" w:rsidP="0074792B">
            <w:pPr>
              <w:tabs>
                <w:tab w:val="left" w:pos="1026"/>
              </w:tabs>
              <w:suppressAutoHyphens/>
              <w:spacing w:before="120" w:after="120"/>
              <w:ind w:left="597"/>
              <w:jc w:val="both"/>
              <w:rPr>
                <w:rFonts w:ascii="Garamond" w:hAnsi="Garamond"/>
                <w:sz w:val="22"/>
                <w:szCs w:val="22"/>
              </w:rPr>
            </w:pP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указывается значение установленной мощности ЕГО, указанное в Перечне паспортных технологических характеристик генерирующего оборудования, </w:t>
            </w:r>
            <w:r w:rsidRPr="00182D7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планируемого к вводу в эксплуатацию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поданном субъектом оптового рынка по форме 13Д 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Положени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я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1.1 к 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).</w:t>
            </w:r>
          </w:p>
        </w:tc>
        <w:tc>
          <w:tcPr>
            <w:tcW w:w="6917" w:type="dxa"/>
          </w:tcPr>
          <w:p w:rsidR="0074792B" w:rsidRDefault="0074792B" w:rsidP="00535242">
            <w:pPr>
              <w:suppressAutoHyphens/>
              <w:spacing w:before="120" w:after="120"/>
              <w:ind w:firstLine="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74792B" w:rsidRPr="0074792B" w:rsidRDefault="0074792B" w:rsidP="0074792B">
            <w:pPr>
              <w:numPr>
                <w:ilvl w:val="0"/>
                <w:numId w:val="19"/>
              </w:numPr>
              <w:suppressAutoHyphens/>
              <w:autoSpaceDE w:val="0"/>
              <w:autoSpaceDN w:val="0"/>
              <w:spacing w:before="120" w:after="120"/>
              <w:ind w:left="429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74792B">
              <w:rPr>
                <w:rFonts w:ascii="Garamond" w:hAnsi="Garamond"/>
                <w:sz w:val="22"/>
                <w:szCs w:val="22"/>
              </w:rPr>
              <w:t xml:space="preserve">величина «установленная мощность» ЕГО: </w:t>
            </w:r>
          </w:p>
          <w:p w:rsidR="007019D4" w:rsidRPr="00461E9E" w:rsidRDefault="0074792B" w:rsidP="00D05A45">
            <w:pPr>
              <w:suppressAutoHyphens/>
              <w:spacing w:before="120" w:after="120"/>
              <w:ind w:left="571" w:hanging="4"/>
              <w:jc w:val="both"/>
              <w:rPr>
                <w:rFonts w:ascii="Garamond" w:hAnsi="Garamond"/>
                <w:sz w:val="22"/>
                <w:szCs w:val="22"/>
              </w:rPr>
            </w:pP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указывается значение установленной мощности ЕГО, указанное в Перечне паспортных технологических характеристик генерирующего оборудования, </w:t>
            </w:r>
            <w:r w:rsidR="00845AF4" w:rsidRPr="00182D7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участие которого предполагается в реализации мероприятий по модернизации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поданном субъектом оптового рынка по форме 13Д </w:t>
            </w:r>
            <w:r w:rsidR="009906E2" w:rsidRPr="009906E2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приложения 1 к</w:t>
            </w:r>
            <w:r w:rsidR="009906E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Положени</w:t>
            </w:r>
            <w:r w:rsidR="00D05A45" w:rsidRPr="00D05A4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ю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1.1 к </w:t>
            </w:r>
            <w:r w:rsidRPr="0074792B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74792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).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535242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5.3.2.6</w:t>
            </w:r>
          </w:p>
        </w:tc>
        <w:tc>
          <w:tcPr>
            <w:tcW w:w="6974" w:type="dxa"/>
          </w:tcPr>
          <w:p w:rsidR="007019D4" w:rsidRDefault="00535242" w:rsidP="00535242">
            <w:pPr>
              <w:pStyle w:val="a3"/>
              <w:spacing w:before="120" w:after="120"/>
              <w:ind w:left="0" w:firstLine="30"/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535242" w:rsidRPr="00535242" w:rsidRDefault="00535242" w:rsidP="00535242">
            <w:pPr>
              <w:numPr>
                <w:ilvl w:val="0"/>
                <w:numId w:val="21"/>
              </w:numPr>
              <w:suppressAutoHyphens/>
              <w:spacing w:before="120" w:after="120"/>
              <w:ind w:left="597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признак планируемого вывода из эксплуатации – указывается только в отношении турбин, которые планируется вывести из эксплуатации после реализации проекта модернизации в порядке, установленном </w:t>
            </w:r>
            <w:r w:rsidRPr="00535242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Правилами вывода из эксплуатации, в случае заявления в составе такого проекта мероприятия по подп. 2.1, 2.2 п. 3.2 настоящего Регламента. 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При этом участником может быть указано намерение вывода из эксплуатации, отличное от указанного в пп. 2, 3 формы 13Д 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Положени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highlight w:val="yellow"/>
                <w:lang w:eastAsia="ar-SA"/>
              </w:rPr>
              <w:t>я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(Приложение № 1.1 к 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Договору о присоединении к торговой системе оптового рынка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>);</w:t>
            </w:r>
          </w:p>
          <w:p w:rsidR="00535242" w:rsidRPr="00461E9E" w:rsidRDefault="00535242" w:rsidP="00535242">
            <w:pPr>
              <w:pStyle w:val="a3"/>
              <w:spacing w:before="120" w:after="120"/>
              <w:ind w:left="0" w:firstLine="30"/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:rsidR="00535242" w:rsidRDefault="00535242" w:rsidP="00535242">
            <w:pPr>
              <w:pStyle w:val="a3"/>
              <w:spacing w:before="120" w:after="120"/>
              <w:ind w:left="0" w:firstLine="30"/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535242" w:rsidRPr="00535242" w:rsidRDefault="00535242" w:rsidP="00535242">
            <w:pPr>
              <w:numPr>
                <w:ilvl w:val="0"/>
                <w:numId w:val="22"/>
              </w:numPr>
              <w:suppressAutoHyphens/>
              <w:spacing w:before="120" w:after="120"/>
              <w:ind w:left="429" w:hanging="283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признак планируемого вывода из эксплуатации – указывается только в отношении турбин, которые планируется вывести из эксплуатации после реализации проекта модернизации в порядке, установленном </w:t>
            </w:r>
            <w:r w:rsidRPr="00535242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Правилами вывода из эксплуатации, в случае заявления в составе такого проекта мероприятия по подп. 2.1, 2.2 п. 3.2 настоящего Регламента. 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При этом участником может быть указано намерение вывода из эксплуатации, отличное от указанного в пп. 2, 3 формы 13Д </w:t>
            </w:r>
            <w:r w:rsidR="00D05A45" w:rsidRPr="00D05A45">
              <w:rPr>
                <w:rFonts w:ascii="Garamond" w:eastAsia="Batang" w:hAnsi="Garamond"/>
                <w:sz w:val="22"/>
                <w:szCs w:val="20"/>
                <w:highlight w:val="yellow"/>
                <w:lang w:eastAsia="ar-SA"/>
              </w:rPr>
              <w:t>приложения 1 к</w:t>
            </w:r>
            <w:r w:rsidR="00D05A45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 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Положени</w:t>
            </w:r>
            <w:r w:rsidR="00F473CF" w:rsidRPr="00F473CF">
              <w:rPr>
                <w:rFonts w:ascii="Garamond" w:eastAsia="Batang" w:hAnsi="Garamond"/>
                <w:i/>
                <w:sz w:val="22"/>
                <w:szCs w:val="20"/>
                <w:highlight w:val="yellow"/>
                <w:lang w:eastAsia="ar-SA"/>
              </w:rPr>
              <w:t>ю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(Приложение № 1.1 к </w:t>
            </w:r>
            <w:r w:rsidRPr="00535242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Договору о присоединении к торговой системе оптового рынка</w:t>
            </w:r>
            <w:r w:rsidRPr="00535242">
              <w:rPr>
                <w:rFonts w:ascii="Garamond" w:eastAsia="Batang" w:hAnsi="Garamond"/>
                <w:sz w:val="22"/>
                <w:szCs w:val="20"/>
                <w:lang w:eastAsia="ar-SA"/>
              </w:rPr>
              <w:t>);</w:t>
            </w:r>
          </w:p>
          <w:p w:rsidR="007019D4" w:rsidRPr="00461E9E" w:rsidRDefault="00535242" w:rsidP="00535242">
            <w:pPr>
              <w:pStyle w:val="a3"/>
              <w:spacing w:before="120" w:after="120"/>
              <w:ind w:left="0" w:firstLine="567"/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0D5AA9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5.3.2.7</w:t>
            </w:r>
          </w:p>
        </w:tc>
        <w:tc>
          <w:tcPr>
            <w:tcW w:w="6974" w:type="dxa"/>
          </w:tcPr>
          <w:p w:rsidR="007019D4" w:rsidRDefault="000D5AA9" w:rsidP="00622FA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:rsidR="000D5AA9" w:rsidRPr="000D5AA9" w:rsidRDefault="000D5AA9" w:rsidP="000D5AA9">
            <w:pPr>
              <w:numPr>
                <w:ilvl w:val="0"/>
                <w:numId w:val="24"/>
              </w:numPr>
              <w:suppressAutoHyphens/>
              <w:spacing w:before="120" w:after="120"/>
              <w:ind w:left="597" w:hanging="425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lastRenderedPageBreak/>
              <w:t xml:space="preserve">установленная мощность (МВт) – параметр заполняется в отношении турбин. При этом участником может быть указана установленная мощность турбины, отличная от указанной в п. 1 </w:t>
            </w:r>
            <w:r w:rsidRPr="000D5AA9">
              <w:rPr>
                <w:rFonts w:ascii="Garamond" w:eastAsia="Batang" w:hAnsi="Garamond"/>
                <w:sz w:val="22"/>
                <w:szCs w:val="20"/>
                <w:highlight w:val="yellow"/>
                <w:lang w:eastAsia="ar-SA"/>
              </w:rPr>
              <w:t>в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 форм</w:t>
            </w:r>
            <w:r w:rsidRPr="000D5AA9">
              <w:rPr>
                <w:rFonts w:ascii="Garamond" w:eastAsia="Batang" w:hAnsi="Garamond"/>
                <w:sz w:val="22"/>
                <w:szCs w:val="20"/>
                <w:highlight w:val="yellow"/>
                <w:lang w:eastAsia="ar-SA"/>
              </w:rPr>
              <w:t>е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 13Д 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Положен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highlight w:val="yellow"/>
                <w:lang w:eastAsia="ar-SA"/>
              </w:rPr>
              <w:t>ия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(Приложение № 1.1 к 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Договору о присоединении к торговой системе оптового рынка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>). Суммарное значение установленных мощностей турбин должно соответствовать значению установленной мощности условной ГТП, указанному в подп. «г» п. 5.3.2.5 настоящего Регламента;</w:t>
            </w:r>
          </w:p>
          <w:p w:rsidR="000D5AA9" w:rsidRDefault="000D5AA9" w:rsidP="000D5AA9">
            <w:pPr>
              <w:suppressAutoHyphens/>
              <w:spacing w:before="120" w:after="120"/>
              <w:ind w:left="59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6917" w:type="dxa"/>
          </w:tcPr>
          <w:p w:rsidR="000D5AA9" w:rsidRDefault="000D5AA9" w:rsidP="000D5AA9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…</w:t>
            </w:r>
          </w:p>
          <w:p w:rsidR="000D5AA9" w:rsidRPr="000D5AA9" w:rsidRDefault="000D5AA9" w:rsidP="000D5AA9">
            <w:pPr>
              <w:numPr>
                <w:ilvl w:val="0"/>
                <w:numId w:val="25"/>
              </w:numPr>
              <w:suppressAutoHyphens/>
              <w:spacing w:before="120" w:after="120"/>
              <w:ind w:left="429" w:hanging="288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lastRenderedPageBreak/>
              <w:t>установленная мощность (МВт) – параметр заполняется в отношении турбин. При этом участником может быть указана установленная мощность турбины, отличная от указанной в п. 1 форм</w:t>
            </w:r>
            <w:r w:rsidRPr="000D5AA9">
              <w:rPr>
                <w:rFonts w:ascii="Garamond" w:eastAsia="Batang" w:hAnsi="Garamond"/>
                <w:sz w:val="22"/>
                <w:szCs w:val="20"/>
                <w:highlight w:val="yellow"/>
                <w:lang w:eastAsia="ar-SA"/>
              </w:rPr>
              <w:t>ы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 13Д </w:t>
            </w:r>
            <w:r w:rsidRPr="000D5AA9">
              <w:rPr>
                <w:rFonts w:ascii="Garamond" w:eastAsia="Batang" w:hAnsi="Garamond"/>
                <w:sz w:val="22"/>
                <w:szCs w:val="20"/>
                <w:highlight w:val="yellow"/>
                <w:lang w:eastAsia="ar-SA"/>
              </w:rPr>
              <w:t>приложения 1 к</w:t>
            </w:r>
            <w:r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 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Положени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highlight w:val="yellow"/>
                <w:lang w:eastAsia="ar-SA"/>
              </w:rPr>
              <w:t>ю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 xml:space="preserve">(Приложение № 1.1 к </w:t>
            </w:r>
            <w:r w:rsidRPr="000D5AA9">
              <w:rPr>
                <w:rFonts w:ascii="Garamond" w:eastAsia="Batang" w:hAnsi="Garamond"/>
                <w:i/>
                <w:sz w:val="22"/>
                <w:szCs w:val="20"/>
                <w:lang w:eastAsia="ar-SA"/>
              </w:rPr>
              <w:t>Договору о присоединении к торговой системе оптового рынка</w:t>
            </w:r>
            <w:r w:rsidRPr="000D5AA9">
              <w:rPr>
                <w:rFonts w:ascii="Garamond" w:eastAsia="Batang" w:hAnsi="Garamond"/>
                <w:sz w:val="22"/>
                <w:szCs w:val="20"/>
                <w:lang w:eastAsia="ar-SA"/>
              </w:rPr>
              <w:t>). Суммарное значение установленных мощностей турбин должно соответствовать значению установленной мощности условной ГТП, указанному в подп. «г» п. 5.3.2.5 настоящего Регламента;</w:t>
            </w:r>
          </w:p>
          <w:p w:rsidR="007019D4" w:rsidRDefault="000D5AA9" w:rsidP="000D5AA9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/>
                <w:sz w:val="22"/>
                <w:szCs w:val="20"/>
                <w:lang w:eastAsia="ar-SA"/>
              </w:rPr>
              <w:t>…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C8464C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5.3.7</w:t>
            </w:r>
          </w:p>
        </w:tc>
        <w:tc>
          <w:tcPr>
            <w:tcW w:w="6974" w:type="dxa"/>
          </w:tcPr>
          <w:p w:rsidR="00C8464C" w:rsidRDefault="00C8464C" w:rsidP="00C8464C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58044F">
              <w:rPr>
                <w:rFonts w:ascii="Garamond" w:hAnsi="Garamond"/>
                <w:sz w:val="22"/>
                <w:szCs w:val="22"/>
              </w:rPr>
              <w:t>Реестр заявленных проектов модернизации, подлежащий передаче СО в КО, содержит:</w:t>
            </w:r>
          </w:p>
          <w:p w:rsidR="00C8464C" w:rsidRDefault="00C8464C" w:rsidP="00C8464C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C8464C" w:rsidRPr="00C8464C" w:rsidRDefault="00C8464C" w:rsidP="00C8464C">
            <w:pPr>
              <w:numPr>
                <w:ilvl w:val="0"/>
                <w:numId w:val="28"/>
              </w:numPr>
              <w:suppressAutoHyphens/>
              <w:spacing w:before="120" w:after="120"/>
              <w:ind w:left="1164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местоположение электростанции, указанное в п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>редварительном Реестре участников КОММод в соответствии с п</w:t>
            </w:r>
            <w:r w:rsidRPr="009D0EE0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. 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5.</w:t>
            </w:r>
            <w:r w:rsidRPr="00182D79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1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.2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настоящего Регламента;</w:t>
            </w:r>
          </w:p>
          <w:p w:rsidR="00C8464C" w:rsidRPr="00C8464C" w:rsidRDefault="00C8464C" w:rsidP="00C8464C">
            <w:pPr>
              <w:numPr>
                <w:ilvl w:val="0"/>
                <w:numId w:val="28"/>
              </w:numPr>
              <w:suppressAutoHyphens/>
              <w:spacing w:before="120" w:after="120"/>
              <w:ind w:left="1134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планируемая дата начала поставки мощности по окончании реализации мероприятий по модернизации;</w:t>
            </w:r>
          </w:p>
          <w:p w:rsidR="00C8464C" w:rsidRDefault="00C8464C" w:rsidP="00C8464C">
            <w:pPr>
              <w:numPr>
                <w:ilvl w:val="0"/>
                <w:numId w:val="28"/>
              </w:numPr>
              <w:suppressAutoHyphens/>
              <w:spacing w:before="120" w:after="120"/>
              <w:ind w:left="1134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основной вид топлива, указанный в п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редварительном Реестре участников КОММод в соответствии с п. 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5.</w:t>
            </w:r>
            <w:r w:rsidRPr="00182D79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1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.2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настоящего Регламента</w:t>
            </w: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;</w:t>
            </w:r>
          </w:p>
          <w:p w:rsidR="007019D4" w:rsidRPr="00676704" w:rsidRDefault="00C8464C" w:rsidP="00C8464C">
            <w:pPr>
              <w:suppressAutoHyphens/>
              <w:spacing w:before="120" w:after="120"/>
              <w:ind w:left="3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6917" w:type="dxa"/>
          </w:tcPr>
          <w:p w:rsidR="00C8464C" w:rsidRDefault="00C8464C" w:rsidP="00C8464C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58044F">
              <w:rPr>
                <w:rFonts w:ascii="Garamond" w:hAnsi="Garamond"/>
                <w:sz w:val="22"/>
                <w:szCs w:val="22"/>
              </w:rPr>
              <w:t>Реестр заявленных проектов модернизации, подлежащий передаче СО в КО, содержит:</w:t>
            </w:r>
          </w:p>
          <w:p w:rsidR="00C8464C" w:rsidRDefault="00C8464C" w:rsidP="00C8464C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C8464C" w:rsidRPr="00C8464C" w:rsidRDefault="00C8464C" w:rsidP="00F95253">
            <w:pPr>
              <w:numPr>
                <w:ilvl w:val="0"/>
                <w:numId w:val="29"/>
              </w:numPr>
              <w:suppressAutoHyphens/>
              <w:spacing w:before="120" w:after="120"/>
              <w:ind w:left="1135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местоположение электростанции, указанное в п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>редварительном Реестре участников КОММод в соответствии с п. 5.</w:t>
            </w:r>
            <w:r w:rsidR="00BC27FE" w:rsidRPr="00182D79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2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.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>2 настоящего Регламента;</w:t>
            </w:r>
          </w:p>
          <w:p w:rsidR="00C8464C" w:rsidRPr="00C8464C" w:rsidRDefault="00C8464C" w:rsidP="00C8464C">
            <w:pPr>
              <w:numPr>
                <w:ilvl w:val="0"/>
                <w:numId w:val="29"/>
              </w:numPr>
              <w:suppressAutoHyphens/>
              <w:spacing w:before="120" w:after="120"/>
              <w:ind w:left="1134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планируемая дата начала поставки мощности по окончании реализации мероприятий по модернизации;</w:t>
            </w:r>
          </w:p>
          <w:p w:rsidR="00C8464C" w:rsidRDefault="00C8464C" w:rsidP="00C8464C">
            <w:pPr>
              <w:numPr>
                <w:ilvl w:val="0"/>
                <w:numId w:val="29"/>
              </w:numPr>
              <w:suppressAutoHyphens/>
              <w:spacing w:before="120" w:after="120"/>
              <w:ind w:left="1134" w:hanging="425"/>
              <w:jc w:val="both"/>
              <w:rPr>
                <w:rFonts w:ascii="Garamond" w:eastAsia="Batang" w:hAnsi="Garamond"/>
                <w:sz w:val="22"/>
                <w:szCs w:val="20"/>
                <w:lang w:eastAsia="ar-SA"/>
              </w:rPr>
            </w:pP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основной вид топлива, указанный в п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>редварительном Реестре участников КОММод в соответствии с п. 5.</w:t>
            </w:r>
            <w:r w:rsidR="00BC27FE" w:rsidRPr="00182D79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2</w:t>
            </w:r>
            <w:r w:rsidRPr="00182D79">
              <w:rPr>
                <w:rFonts w:ascii="Garamond" w:eastAsia="Batang" w:hAnsi="Garamond"/>
                <w:sz w:val="22"/>
                <w:szCs w:val="22"/>
                <w:lang w:eastAsia="ar-SA"/>
              </w:rPr>
              <w:t>.</w:t>
            </w:r>
            <w:r w:rsidRPr="00C8464C">
              <w:rPr>
                <w:rFonts w:ascii="Garamond" w:eastAsia="Batang" w:hAnsi="Garamond"/>
                <w:sz w:val="22"/>
                <w:szCs w:val="22"/>
                <w:lang w:eastAsia="ar-SA"/>
              </w:rPr>
              <w:t>2 настоящего Регламента</w:t>
            </w:r>
            <w:r w:rsidRPr="00C8464C">
              <w:rPr>
                <w:rFonts w:ascii="Garamond" w:eastAsia="Batang" w:hAnsi="Garamond"/>
                <w:sz w:val="22"/>
                <w:szCs w:val="20"/>
                <w:lang w:eastAsia="ar-SA"/>
              </w:rPr>
              <w:t>;</w:t>
            </w:r>
          </w:p>
          <w:p w:rsidR="007019D4" w:rsidRPr="00676704" w:rsidRDefault="00C8464C" w:rsidP="00C8464C">
            <w:pPr>
              <w:suppressAutoHyphens/>
              <w:spacing w:before="120" w:after="120"/>
              <w:ind w:left="3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0"/>
                <w:lang w:eastAsia="ar-SA"/>
              </w:rPr>
              <w:t>…</w:t>
            </w:r>
          </w:p>
        </w:tc>
      </w:tr>
      <w:tr w:rsidR="007019D4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7019D4" w:rsidRDefault="00A31FC8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5.3.8</w:t>
            </w:r>
          </w:p>
        </w:tc>
        <w:tc>
          <w:tcPr>
            <w:tcW w:w="6974" w:type="dxa"/>
          </w:tcPr>
          <w:p w:rsidR="00A31FC8" w:rsidRPr="00357464" w:rsidRDefault="00A31FC8" w:rsidP="00A31FC8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57464">
              <w:rPr>
                <w:rFonts w:ascii="Garamond" w:hAnsi="Garamond"/>
                <w:sz w:val="22"/>
                <w:szCs w:val="22"/>
              </w:rPr>
              <w:t>Реестр условных ГТП, включенных в Сводный перечень заявленных проектов модернизации, содержит:</w:t>
            </w:r>
          </w:p>
          <w:p w:rsidR="00A31FC8" w:rsidRDefault="00A31FC8" w:rsidP="00A31FC8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spacing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57464">
              <w:rPr>
                <w:rFonts w:ascii="Garamond" w:hAnsi="Garamond"/>
                <w:sz w:val="22"/>
                <w:szCs w:val="22"/>
              </w:rPr>
              <w:t>перечень субъектов оптового рынка, включенн</w:t>
            </w:r>
            <w:r w:rsidRPr="009D0EE0">
              <w:rPr>
                <w:rFonts w:ascii="Garamond" w:hAnsi="Garamond"/>
                <w:sz w:val="22"/>
                <w:szCs w:val="22"/>
                <w:highlight w:val="yellow"/>
              </w:rPr>
              <w:t>ый</w:t>
            </w:r>
            <w:r w:rsidRPr="00357464">
              <w:rPr>
                <w:rFonts w:ascii="Garamond" w:hAnsi="Garamond"/>
                <w:sz w:val="22"/>
                <w:szCs w:val="22"/>
              </w:rPr>
              <w:t xml:space="preserve"> в предварительный Реестр участников КОММод, переданный КО в СО в соответствии с п. 5.2.1 настоящего Регламента;</w:t>
            </w:r>
          </w:p>
          <w:p w:rsidR="007019D4" w:rsidRPr="00676704" w:rsidRDefault="00A31FC8" w:rsidP="00A31FC8">
            <w:pPr>
              <w:autoSpaceDE w:val="0"/>
              <w:autoSpaceDN w:val="0"/>
              <w:spacing w:after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:rsidR="00A31FC8" w:rsidRPr="00357464" w:rsidRDefault="00A31FC8" w:rsidP="00A31FC8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57464">
              <w:rPr>
                <w:rFonts w:ascii="Garamond" w:hAnsi="Garamond"/>
                <w:sz w:val="22"/>
                <w:szCs w:val="22"/>
              </w:rPr>
              <w:t>Реестр условных ГТП, включенных в Сводный перечень заявленных проектов модернизации, содержит:</w:t>
            </w:r>
          </w:p>
          <w:p w:rsidR="00A31FC8" w:rsidRDefault="00A31FC8" w:rsidP="00A31FC8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spacing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57464">
              <w:rPr>
                <w:rFonts w:ascii="Garamond" w:hAnsi="Garamond"/>
                <w:sz w:val="22"/>
                <w:szCs w:val="22"/>
              </w:rPr>
              <w:t>перечень субъектов оптового рынка, включенн</w:t>
            </w:r>
            <w:r w:rsidRPr="00182CC0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="00BC27FE" w:rsidRPr="00182CC0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357464">
              <w:rPr>
                <w:rFonts w:ascii="Garamond" w:hAnsi="Garamond"/>
                <w:sz w:val="22"/>
                <w:szCs w:val="22"/>
              </w:rPr>
              <w:t xml:space="preserve"> в предварительный Реестр участников КОММод, переданный КО в СО в соответствии с п. 5.2.1 настоящего Регламента;</w:t>
            </w:r>
          </w:p>
          <w:p w:rsidR="007019D4" w:rsidRPr="00676704" w:rsidRDefault="00A31FC8" w:rsidP="00A31FC8">
            <w:pPr>
              <w:suppressAutoHyphens/>
              <w:spacing w:before="120" w:line="276" w:lineRule="auto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A31FC8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A31FC8" w:rsidRDefault="00A31FC8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5.4.4</w:t>
            </w:r>
          </w:p>
        </w:tc>
        <w:tc>
          <w:tcPr>
            <w:tcW w:w="6974" w:type="dxa"/>
          </w:tcPr>
          <w:p w:rsidR="00A31FC8" w:rsidRDefault="00A31FC8" w:rsidP="00A31FC8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A31FC8" w:rsidRDefault="00A31FC8" w:rsidP="00A31FC8">
            <w:pPr>
              <w:widowControl w:val="0"/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</w:pP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А.2) для часов, предшествующих 00 часов 00 минут 01.01.2019, расхождение в час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val="en-US" w:eastAsia="ar-SA"/>
              </w:rPr>
              <w:t>h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между суммарным объемом производства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lastRenderedPageBreak/>
              <w:t xml:space="preserve">электрической энергии в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в составе которой зарегистрирована ЕГО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электрической энергии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и мощности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в час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h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переданных КО в макете 80020 с электронной подписью (ЭП) в соответствии 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Форматом и регламентом предоставления результатов измерений, состояний объектов измерений в АО «АТС», АО «СО ЕЭС» и смежным субъектам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11.1.1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(Приложение № 1.1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)) со статусом «коммерческая информация», не превышает максимально допустимую величину расхождений</w:t>
            </w:r>
            <w:r w:rsidRPr="00A31FC8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;</w:t>
            </w:r>
          </w:p>
          <w:p w:rsidR="008110E3" w:rsidRPr="008110E3" w:rsidRDefault="008110E3" w:rsidP="008110E3">
            <w:pPr>
              <w:widowControl w:val="0"/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</w:pP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А.3) для часов, относящихся к наиболее ранним из непрерывных периодов, до даты начала или от даты окончания действия Акта, длительностью не более 90 календарных дней каждый (</w:t>
            </w:r>
            <w:bookmarkStart w:id="4" w:name="_Toc473814686"/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в отношении правопреемников, получивших право участия в торговле электрической энергией (мощностью) на оптовом рынке с использованием групп точек поставки, в которые входят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, не позднее 31.12.2020 и обязанных подтвердить соответствие систем коммерческого учета</w:t>
            </w:r>
            <w:bookmarkEnd w:id="4"/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в соответствии с п. 2.4 приложения 2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 – 6 месяцев в календарном году каждый), в которых в отношении ГТП генерации, в составе которой зарегистрирована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не действует Акт, суммарно не превышающих 90 календарных дней в году (в отношении правопреемников, получивших право участия в торговле электрической энергией (мощностью) на оптовом рынке с использованием групп точек поставки, в которые входят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не позднее 31.12.2020 и обязанных подтвердить соответствие систем коммерческого учета в соответствии с п. 2.4 приложения 2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о порядке получения статуса субъекта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lastRenderedPageBreak/>
              <w:t>оптового рынка и ведения реестра субъектов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– 6 месяцев в календарном году) и начинающихся не позднее 31.12.2020, расхождение в час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val="en-US" w:eastAsia="ar-SA"/>
              </w:rPr>
              <w:t>h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между суммарным объемом производства электрической энергии в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в составе которой зарегистрирована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электрической энергии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и мощности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в час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h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переданных КО в макете 80020 с электронной подписью (ЭП) в соответствии 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Форматом и регламентом предоставления результатов измерений, состояний объектов измерений в АО «АТС», АО «СО ЕЭС» и смежным субъектам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11.1.1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о порядке получения статуса субъекта оптового рынка и ведения реестра субъектов оптового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рынка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)) со статусом «коммерческая информация», не превышает максимально допустимую величину расхождений</w:t>
            </w:r>
            <w:r w:rsidRPr="008110E3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p.</w:t>
            </w:r>
          </w:p>
          <w:p w:rsidR="00A31FC8" w:rsidRDefault="00A31FC8" w:rsidP="00A31FC8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BC6B2E" w:rsidRPr="00BC6B2E" w:rsidRDefault="00BC6B2E" w:rsidP="00BC6B2E">
            <w:pPr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C6B2E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980" w:dyaOrig="400" w14:anchorId="3C548ED3">
                <v:shape id="_x0000_i1027" type="#_x0000_t75" style="width:51.5pt;height:22.5pt" o:ole="">
                  <v:imagedata r:id="rId10" o:title=""/>
                </v:shape>
                <o:OLEObject Type="Embed" ProgID="Equation.3" ShapeID="_x0000_i1027" DrawAspect="Content" ObjectID="_1694245854" r:id="rId11"/>
              </w:objec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суммарный объем производства электрической энергии в ГТП генерации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p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час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h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содержащийся в актах учета (оборота) электрической энергии по генерации, определенный в соответствии с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электрической энергии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и мощности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11 к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);</w:t>
            </w:r>
          </w:p>
          <w:p w:rsidR="00BC6B2E" w:rsidRPr="00A31FC8" w:rsidRDefault="00BC6B2E" w:rsidP="00BC6B2E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:rsidR="00A31FC8" w:rsidRDefault="00A31FC8" w:rsidP="00A31FC8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A31FC8" w:rsidRPr="00A31FC8" w:rsidRDefault="00A31FC8" w:rsidP="00A31FC8">
            <w:pPr>
              <w:widowControl w:val="0"/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</w:pP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А.2) для часов, предшествующих 00 часов 00 минут 01.01.2019, расхождение в час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val="en-US" w:eastAsia="ar-SA"/>
              </w:rPr>
              <w:t>h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между суммарным объемом производства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lastRenderedPageBreak/>
              <w:t xml:space="preserve">электрической энергии в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в составе которой зарегистрирована ЕГО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электр</w:t>
            </w:r>
            <w:r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о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энергии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и мощности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в час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h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переданных КО в макете 80020 с электронной подписью (ЭП) в соответствии с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Форматом и регламентом предоставления результатов измерений, состояний объектов измерений в АО «АТС», АО «СО ЕЭС» и смежным субъектам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11.1.1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(Приложение № 1.1 к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)) со статусом «коммерческая информация», не превышает максимально допустимую величину расхождений</w:t>
            </w:r>
            <w:r w:rsidRPr="00A31FC8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A31FC8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A31FC8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;</w:t>
            </w:r>
          </w:p>
          <w:p w:rsidR="008110E3" w:rsidRDefault="008110E3" w:rsidP="008110E3">
            <w:pPr>
              <w:widowControl w:val="0"/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</w:pP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А.3) для часов, относящихся к наиболее ранним из непрерывных периодов, до даты начала или от даты окончания действия Акта, длительностью не более 90 календарных дней каждый (в отношении правопреемников, получивших право участия в торговле электрической энергией (мощностью) на оптовом рынке с использованием групп точек поставки, в которые входят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не позднее 31.12.2020 и обязанных подтвердить соответствие систем коммерческого учета в соответствии с п. 2.4 приложения 2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 – 6 месяцев в календарном году каждый), в которых в отношении ГТП генерации, в составе которой зарегистрирована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не действует Акт, суммарно не превышающих 90 календарных дней в году (в отношении правопреемников, получивших право участия в торговле электрической энергией (мощностью) на оптовом рынке с использованием групп точек поставки, в которые входят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не позднее 31.12.2020 и обязанных подтвердить соответствие систем коммерческого учета в соответствии с п. 2.4 приложения 2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lastRenderedPageBreak/>
              <w:t>о порядке получения статуса субъекта оптового рынка и ведения реестра субъектов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– 6 месяцев в календарном году) и начинающихся не позднее 31.12.2020, расхождение в час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val="en-US" w:eastAsia="ar-SA"/>
              </w:rPr>
              <w:t>h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между суммарным объемом производства электрической энергии в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в составе которой зарегистрирована ЕГО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электр</w:t>
            </w:r>
            <w:r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о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энергии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 и мощности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в час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h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, переданных КО в макете 80020 с электронной подписью (ЭП) в соответствии с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Форматом и регламентом предоставления результатов измерений, состояний объектов измерений в АО «АТС», АО «СО ЕЭС» и смежным субъектам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 (Приложение № 11.1.1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 xml:space="preserve">Положению о порядке получения статуса субъекта оптового рынка и ведения реестра субъектов оптового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рынка (Приложение № 1.1 к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>)) со статусом «коммерческая информация», не превышает максимально допустимую величину расхождений</w:t>
            </w:r>
            <w:r w:rsidRPr="008110E3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110E3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8110E3">
              <w:rPr>
                <w:rFonts w:ascii="Garamond" w:eastAsia="Batang" w:hAnsi="Garamond" w:cs="Garamond"/>
                <w:i/>
                <w:position w:val="-14"/>
                <w:sz w:val="22"/>
                <w:szCs w:val="22"/>
                <w:lang w:eastAsia="ar-SA"/>
              </w:rPr>
              <w:t>p.</w:t>
            </w:r>
          </w:p>
          <w:p w:rsidR="00BC6B2E" w:rsidRDefault="00BC6B2E" w:rsidP="00BC6B2E">
            <w:pPr>
              <w:widowControl w:val="0"/>
              <w:suppressAutoHyphens/>
              <w:spacing w:before="120" w:after="120"/>
              <w:ind w:left="31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BC6B2E" w:rsidRPr="00BC6B2E" w:rsidRDefault="00BC6B2E" w:rsidP="00BC6B2E">
            <w:pPr>
              <w:suppressAutoHyphens/>
              <w:spacing w:before="120" w:after="120"/>
              <w:ind w:left="31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C6B2E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980" w:dyaOrig="400" w14:anchorId="571CDE5C">
                <v:shape id="_x0000_i1028" type="#_x0000_t75" style="width:51.5pt;height:22.5pt" o:ole="">
                  <v:imagedata r:id="rId10" o:title=""/>
                </v:shape>
                <o:OLEObject Type="Embed" ProgID="Equation.3" ShapeID="_x0000_i1028" DrawAspect="Content" ObjectID="_1694245855" r:id="rId12"/>
              </w:objec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суммарный объем производства электрической энергии в ГТП генерации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p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час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h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содержащийся в актах учета (оборота) электрической энергии по генерации, определенный в соответствии с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коммерческого учета </w:t>
            </w:r>
            <w:r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электро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энергии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и мощности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11 к </w:t>
            </w:r>
            <w:r w:rsidRPr="00BC6B2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C6B2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);</w:t>
            </w:r>
          </w:p>
          <w:p w:rsidR="00A31FC8" w:rsidRPr="00357464" w:rsidRDefault="00A31FC8" w:rsidP="00BC6B2E">
            <w:pPr>
              <w:pStyle w:val="a3"/>
              <w:autoSpaceDE w:val="0"/>
              <w:autoSpaceDN w:val="0"/>
              <w:spacing w:after="120"/>
              <w:ind w:left="0" w:firstLine="597"/>
              <w:contextualSpacing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474B77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474B77" w:rsidRPr="00474B77" w:rsidRDefault="00474B77" w:rsidP="00622F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5.5.6</w:t>
            </w:r>
          </w:p>
        </w:tc>
        <w:tc>
          <w:tcPr>
            <w:tcW w:w="6974" w:type="dxa"/>
          </w:tcPr>
          <w:p w:rsidR="00474B77" w:rsidRPr="00474B77" w:rsidRDefault="00474B77" w:rsidP="00474B77">
            <w:pPr>
              <w:suppressAutoHyphens/>
              <w:autoSpaceDE w:val="0"/>
              <w:autoSpaceDN w:val="0"/>
              <w:spacing w:before="120" w:after="120"/>
              <w:ind w:firstLine="312"/>
              <w:jc w:val="both"/>
              <w:rPr>
                <w:rFonts w:ascii="Garamond" w:hAnsi="Garamond"/>
                <w:sz w:val="22"/>
                <w:szCs w:val="22"/>
              </w:rPr>
            </w:pPr>
            <w:r w:rsidRPr="00474B77">
              <w:rPr>
                <w:rFonts w:ascii="Garamond" w:hAnsi="Garamond"/>
                <w:sz w:val="22"/>
                <w:szCs w:val="22"/>
              </w:rPr>
              <w:t xml:space="preserve">СО не позднее 2 рабочих дней до даты окончания  подачи (приема) ценовых заявок, установленной СО в соответствии с п. 2 настоящего 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об </w:t>
            </w:r>
            <w:r w:rsidRPr="00474B77">
              <w:rPr>
                <w:rFonts w:ascii="Garamond" w:hAnsi="Garamond"/>
                <w:sz w:val="22"/>
                <w:szCs w:val="22"/>
              </w:rPr>
              <w:lastRenderedPageBreak/>
              <w:t>установленной мощности заявленных участниками КОММод проектов модернизации,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соответствующих проектов модернизации, указанных в сформированном КО в соответствии с п. 5.5.</w:t>
            </w:r>
            <w:r w:rsidRPr="00182D79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настоящего Регламента реестре. Кривые предложения формируются отдельно для вариантов заявок с максимальным, </w:t>
            </w:r>
            <w:r w:rsidRPr="00474B77">
              <w:rPr>
                <w:rFonts w:ascii="Garamond" w:hAnsi="Garamond"/>
              </w:rPr>
              <w:t>средним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и минимальным значением суммарных </w:t>
            </w:r>
            <w:r w:rsidRPr="00474B77">
              <w:rPr>
                <w:rFonts w:ascii="Garamond" w:hAnsi="Garamond"/>
              </w:rPr>
              <w:t>предельных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максимальных капитальных затрат на реализацию проектов модернизации, заявленных в отношении каждой условной ГТП. В случае указания одной заявки, содержащей технические параметры проекта модернизации в отношении одной условной ГТП, соответствующее значение предельных максимальных и минимальных капитальных затрат на реализацию такого проекта используется для формирования всех трех вариантов кривых предложения. В случае подачи двух заявок, содержащих технические параметры проекта модернизации в отношении одной условной ГТП, максимальное значение предельных максимальных и минимальных капитальных затрат на реализацию такого проекта используется для формирования кривых предложения, сформированных исходя из максимальных и средних значений предельных максимальных капитальных затрат.</w:t>
            </w:r>
          </w:p>
          <w:p w:rsidR="00474B77" w:rsidRDefault="00474B77" w:rsidP="00A31FC8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17" w:type="dxa"/>
          </w:tcPr>
          <w:p w:rsidR="009D0EE0" w:rsidRPr="00474B77" w:rsidRDefault="009D0EE0" w:rsidP="009D0EE0">
            <w:pPr>
              <w:suppressAutoHyphens/>
              <w:autoSpaceDE w:val="0"/>
              <w:autoSpaceDN w:val="0"/>
              <w:spacing w:before="120" w:after="120"/>
              <w:ind w:firstLine="312"/>
              <w:jc w:val="both"/>
              <w:rPr>
                <w:rFonts w:ascii="Garamond" w:hAnsi="Garamond"/>
                <w:sz w:val="22"/>
                <w:szCs w:val="22"/>
              </w:rPr>
            </w:pPr>
            <w:r w:rsidRPr="00474B77">
              <w:rPr>
                <w:rFonts w:ascii="Garamond" w:hAnsi="Garamond"/>
                <w:sz w:val="22"/>
                <w:szCs w:val="22"/>
              </w:rPr>
              <w:lastRenderedPageBreak/>
              <w:t xml:space="preserve">СО не позднее 2 рабочих дней до даты окончания  подачи (приема) ценовых заявок, установленной СО в соответствии с п. 2 настоящего 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об </w:t>
            </w:r>
            <w:r w:rsidRPr="00474B77">
              <w:rPr>
                <w:rFonts w:ascii="Garamond" w:hAnsi="Garamond"/>
                <w:sz w:val="22"/>
                <w:szCs w:val="22"/>
              </w:rPr>
              <w:lastRenderedPageBreak/>
              <w:t>установленной мощности заявленных участниками КОММод проектов модернизации,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соответствующих проектов модернизации, указанных в сформированном КО в соответствии с п. 5.5.</w:t>
            </w:r>
            <w:r w:rsidR="00BC27FE" w:rsidRPr="00182D79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настоящего Регламента реестре. Кривые предложения формируются отдельно для вариантов заявок с максимальным, </w:t>
            </w:r>
            <w:r w:rsidRPr="00474B77">
              <w:rPr>
                <w:rFonts w:ascii="Garamond" w:hAnsi="Garamond"/>
              </w:rPr>
              <w:t>средним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и минимальным значением суммарных </w:t>
            </w:r>
            <w:r w:rsidRPr="00474B77">
              <w:rPr>
                <w:rFonts w:ascii="Garamond" w:hAnsi="Garamond"/>
              </w:rPr>
              <w:t>предельных</w:t>
            </w:r>
            <w:r w:rsidRPr="00474B77">
              <w:rPr>
                <w:rFonts w:ascii="Garamond" w:hAnsi="Garamond"/>
                <w:sz w:val="22"/>
                <w:szCs w:val="22"/>
              </w:rPr>
              <w:t xml:space="preserve"> максимальных капитальных затрат на реализацию проектов модернизации, заявленных в отношении каждой условной ГТП. В случае указания одной заявки, содержащей технические параметры проекта модернизации в отношении одной условной ГТП, соответствующее значение предельных максимальных и минимальных капитальных затрат на реализацию такого проекта используется для формирования всех трех вариантов кривых предложения. В случае подачи двух заявок, содержащих технические параметры проекта модернизации в отношении одной условной ГТП, максимальное значение предельных максимальных и минимальных капитальных затрат на реализацию такого проекта используется для формирования кривых предложения, сформированных исходя из максимальных и средних значений предельных максимальных капитальных затрат.</w:t>
            </w:r>
          </w:p>
          <w:p w:rsidR="00474B77" w:rsidRDefault="00474B77" w:rsidP="00A31FC8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0EE0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9D0EE0" w:rsidRPr="00474B77" w:rsidRDefault="009D0EE0" w:rsidP="009D0EE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6.3.3</w:t>
            </w:r>
          </w:p>
        </w:tc>
        <w:tc>
          <w:tcPr>
            <w:tcW w:w="6974" w:type="dxa"/>
          </w:tcPr>
          <w:p w:rsidR="009D0EE0" w:rsidRPr="000014B2" w:rsidRDefault="009D0EE0" w:rsidP="009D0EE0">
            <w:pPr>
              <w:pStyle w:val="a9"/>
              <w:numPr>
                <w:ilvl w:val="0"/>
                <w:numId w:val="1"/>
              </w:numPr>
              <w:spacing w:after="120"/>
              <w:ind w:left="312" w:hanging="312"/>
              <w:jc w:val="both"/>
              <w:rPr>
                <w:rFonts w:eastAsia="Times New Roman" w:cs="Times New Roman"/>
                <w:b w:val="0"/>
                <w:bCs w:val="0"/>
                <w:sz w:val="22"/>
                <w:szCs w:val="22"/>
              </w:rPr>
            </w:pPr>
            <w:r w:rsidRPr="00DD00AD">
              <w:rPr>
                <w:rFonts w:eastAsia="Times New Roman" w:cs="Times New Roman"/>
                <w:b w:val="0"/>
                <w:bCs w:val="0"/>
                <w:sz w:val="22"/>
              </w:rPr>
              <w:t>значение удельных затрат на эксплуатацию генерирующего объекта (условной ГТП) (руб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>.</w:t>
            </w:r>
            <w:r w:rsidRPr="000014B2">
              <w:rPr>
                <w:rFonts w:eastAsia="Times New Roman" w:cs="Times New Roman"/>
                <w:b w:val="0"/>
                <w:bCs w:val="0"/>
                <w:sz w:val="22"/>
                <w:szCs w:val="22"/>
              </w:rPr>
              <w:t xml:space="preserve">/МВт в месяц в ценах текущего года), которое не может превышать цену, определенную для соответствующей ценовой зоны по итогам конкурентного отбора мощности </w:t>
            </w:r>
            <w:r w:rsidRPr="000014B2">
              <w:rPr>
                <w:b w:val="0"/>
                <w:sz w:val="22"/>
                <w:szCs w:val="22"/>
              </w:rPr>
              <w:t>(КОМ)</w:t>
            </w:r>
            <w:r w:rsidRPr="000014B2">
              <w:rPr>
                <w:rFonts w:eastAsia="Times New Roman" w:cs="Times New Roman"/>
                <w:b w:val="0"/>
                <w:bCs w:val="0"/>
                <w:sz w:val="22"/>
                <w:szCs w:val="22"/>
              </w:rPr>
              <w:t>, проведенного в 2017 году, проиндексированную в соответствии с индексом потребительских цен за период с 1 января 2018 года до 31 декабря года, предшествующего году, в котором проводится такой отбор:</w:t>
            </w:r>
          </w:p>
          <w:p w:rsidR="009D0EE0" w:rsidRPr="000014B2" w:rsidRDefault="00F341B4" w:rsidP="009D0EE0">
            <w:pPr>
              <w:pStyle w:val="a3"/>
              <w:widowControl w:val="0"/>
              <w:spacing w:before="120" w:after="120"/>
              <w:ind w:left="2138" w:hanging="1826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2021,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=Х-1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ИПЦ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100%</m:t>
                      </m:r>
                    </m:den>
                  </m:f>
                </m:e>
              </m:nary>
            </m:oMath>
            <w:r w:rsidR="009D0EE0" w:rsidRPr="00593FB2">
              <w:rPr>
                <w:rFonts w:ascii="Garamond" w:hAnsi="Garamond"/>
                <w:sz w:val="22"/>
                <w:szCs w:val="22"/>
              </w:rPr>
              <w:t>;</w:t>
            </w:r>
          </w:p>
          <w:p w:rsidR="009D0EE0" w:rsidRPr="000014B2" w:rsidRDefault="009D0EE0" w:rsidP="009D0EE0">
            <w:pPr>
              <w:pStyle w:val="a3"/>
              <w:widowControl w:val="0"/>
              <w:spacing w:before="120" w:after="120"/>
              <w:ind w:left="312"/>
              <w:jc w:val="both"/>
              <w:rPr>
                <w:rFonts w:ascii="Garamond" w:hAnsi="Garamond"/>
                <w:sz w:val="22"/>
                <w:szCs w:val="22"/>
              </w:rPr>
            </w:pPr>
            <w:r w:rsidRPr="000014B2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2021,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</m:t>
                  </m:r>
                </m:sup>
              </m:sSubSup>
            </m:oMath>
            <w:r w:rsidRPr="000014B2">
              <w:rPr>
                <w:rFonts w:ascii="Garamond" w:hAnsi="Garamond"/>
                <w:sz w:val="22"/>
                <w:szCs w:val="22"/>
              </w:rPr>
              <w:t xml:space="preserve"> – цена КОМ, проведенного в 2017 году на 2021 год (в первой ценовой зоне – 134 393,81 руб./МВт в месяц, во второй ценовой зоне – 225 339,74 руб./МВт в месяц);</w:t>
            </w:r>
          </w:p>
          <w:p w:rsidR="009D0EE0" w:rsidRPr="00A93E3C" w:rsidRDefault="009D0EE0" w:rsidP="009D0EE0">
            <w:pPr>
              <w:pStyle w:val="a7"/>
              <w:spacing w:before="120" w:after="120"/>
              <w:ind w:left="312"/>
              <w:jc w:val="both"/>
              <w:rPr>
                <w:rFonts w:ascii="Garamond" w:hAnsi="Garamond"/>
                <w:sz w:val="22"/>
                <w:szCs w:val="22"/>
              </w:rPr>
            </w:pPr>
            <w:r w:rsidRPr="00A93E3C">
              <w:rPr>
                <w:rFonts w:ascii="Garamond" w:hAnsi="Garamond"/>
                <w:sz w:val="22"/>
                <w:szCs w:val="22"/>
              </w:rPr>
              <w:lastRenderedPageBreak/>
              <w:t xml:space="preserve">ИПЦ – индексы потребительских цен за каждый год, входящий в период с 1 января 2018 года до 31 декабря года </w:t>
            </w:r>
            <w:r w:rsidRPr="00A93E3C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93E3C">
              <w:rPr>
                <w:rFonts w:ascii="Garamond" w:hAnsi="Garamond"/>
                <w:sz w:val="22"/>
                <w:szCs w:val="22"/>
              </w:rPr>
              <w:t>-1, предшествующего году, в котором проводится такой отбор, опубликованн</w:t>
            </w:r>
            <w:r w:rsidRPr="00FD3C3F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182D79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A93E3C">
              <w:rPr>
                <w:rFonts w:ascii="Garamond" w:hAnsi="Garamond"/>
                <w:sz w:val="22"/>
                <w:szCs w:val="22"/>
              </w:rPr>
              <w:t xml:space="preserve"> СО в соответствии с п. 4.2 настоящего Регламента;</w:t>
            </w:r>
          </w:p>
          <w:p w:rsidR="009D0EE0" w:rsidRPr="00A93E3C" w:rsidRDefault="009D0EE0" w:rsidP="009D0EE0">
            <w:pPr>
              <w:pStyle w:val="a7"/>
              <w:rPr>
                <w:lang w:eastAsia="ar-SA"/>
              </w:rPr>
            </w:pPr>
          </w:p>
          <w:p w:rsidR="009D0EE0" w:rsidRPr="00474B77" w:rsidRDefault="009D0EE0" w:rsidP="009D0EE0">
            <w:pPr>
              <w:suppressAutoHyphens/>
              <w:autoSpaceDE w:val="0"/>
              <w:autoSpaceDN w:val="0"/>
              <w:spacing w:before="120" w:after="120"/>
              <w:ind w:firstLine="312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17" w:type="dxa"/>
          </w:tcPr>
          <w:p w:rsidR="009D0EE0" w:rsidRPr="000014B2" w:rsidRDefault="009D0EE0" w:rsidP="009D0EE0">
            <w:pPr>
              <w:pStyle w:val="a9"/>
              <w:numPr>
                <w:ilvl w:val="0"/>
                <w:numId w:val="34"/>
              </w:numPr>
              <w:spacing w:after="120"/>
              <w:jc w:val="both"/>
              <w:rPr>
                <w:rFonts w:eastAsia="Times New Roman" w:cs="Times New Roman"/>
                <w:b w:val="0"/>
                <w:bCs w:val="0"/>
                <w:sz w:val="22"/>
                <w:szCs w:val="22"/>
              </w:rPr>
            </w:pPr>
            <w:r w:rsidRPr="00DD00AD">
              <w:rPr>
                <w:rFonts w:eastAsia="Times New Roman" w:cs="Times New Roman"/>
                <w:b w:val="0"/>
                <w:bCs w:val="0"/>
                <w:sz w:val="22"/>
              </w:rPr>
              <w:lastRenderedPageBreak/>
              <w:t>значение удельных затрат на эксплуатацию генерирующего объекта (условной ГТП) (руб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>.</w:t>
            </w:r>
            <w:r w:rsidRPr="000014B2">
              <w:rPr>
                <w:rFonts w:eastAsia="Times New Roman" w:cs="Times New Roman"/>
                <w:b w:val="0"/>
                <w:bCs w:val="0"/>
                <w:sz w:val="22"/>
                <w:szCs w:val="22"/>
              </w:rPr>
              <w:t xml:space="preserve">/МВт в месяц в ценах текущего года), которое не может превышать цену, определенную для соответствующей ценовой зоны по итогам конкурентного отбора мощности </w:t>
            </w:r>
            <w:r w:rsidRPr="000014B2">
              <w:rPr>
                <w:b w:val="0"/>
                <w:sz w:val="22"/>
                <w:szCs w:val="22"/>
              </w:rPr>
              <w:t>(КОМ)</w:t>
            </w:r>
            <w:r w:rsidRPr="000014B2">
              <w:rPr>
                <w:rFonts w:eastAsia="Times New Roman" w:cs="Times New Roman"/>
                <w:b w:val="0"/>
                <w:bCs w:val="0"/>
                <w:sz w:val="22"/>
                <w:szCs w:val="22"/>
              </w:rPr>
              <w:t>, проведенного в 2017 году, проиндексированную в соответствии с индексом потребительских цен за период с 1 января 2018 года до 31 декабря года, предшествующего году, в котором проводится такой отбор:</w:t>
            </w:r>
          </w:p>
          <w:p w:rsidR="009D0EE0" w:rsidRPr="000014B2" w:rsidRDefault="00F341B4" w:rsidP="009D0EE0">
            <w:pPr>
              <w:pStyle w:val="a3"/>
              <w:widowControl w:val="0"/>
              <w:spacing w:before="120" w:after="120"/>
              <w:ind w:left="2138" w:hanging="1826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2021,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=Х-1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ИПЦ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100%</m:t>
                      </m:r>
                    </m:den>
                  </m:f>
                </m:e>
              </m:nary>
            </m:oMath>
            <w:r w:rsidR="009D0EE0" w:rsidRPr="00593FB2">
              <w:rPr>
                <w:rFonts w:ascii="Garamond" w:hAnsi="Garamond"/>
                <w:sz w:val="22"/>
                <w:szCs w:val="22"/>
              </w:rPr>
              <w:t>;</w:t>
            </w:r>
          </w:p>
          <w:p w:rsidR="009D0EE0" w:rsidRPr="000014B2" w:rsidRDefault="009D0EE0" w:rsidP="009D0EE0">
            <w:pPr>
              <w:pStyle w:val="a3"/>
              <w:widowControl w:val="0"/>
              <w:spacing w:before="120" w:after="120"/>
              <w:ind w:left="312"/>
              <w:jc w:val="both"/>
              <w:rPr>
                <w:rFonts w:ascii="Garamond" w:hAnsi="Garamond"/>
                <w:sz w:val="22"/>
                <w:szCs w:val="22"/>
              </w:rPr>
            </w:pPr>
            <w:r w:rsidRPr="000014B2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2021,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</m:t>
                  </m:r>
                </m:sup>
              </m:sSubSup>
            </m:oMath>
            <w:r w:rsidRPr="000014B2">
              <w:rPr>
                <w:rFonts w:ascii="Garamond" w:hAnsi="Garamond"/>
                <w:sz w:val="22"/>
                <w:szCs w:val="22"/>
              </w:rPr>
              <w:t xml:space="preserve"> – цена КОМ, проведенного в 2017 году на 2021 год (в первой ценовой зоне – 134 393,81 руб./МВт в месяц, во второй ценовой зоне – 225 339,74 руб./МВт в месяц);</w:t>
            </w:r>
          </w:p>
          <w:p w:rsidR="009D0EE0" w:rsidRPr="00A93E3C" w:rsidRDefault="009D0EE0" w:rsidP="009D0EE0">
            <w:pPr>
              <w:pStyle w:val="a7"/>
              <w:spacing w:before="120" w:after="120"/>
              <w:ind w:left="312"/>
              <w:jc w:val="both"/>
              <w:rPr>
                <w:rFonts w:ascii="Garamond" w:hAnsi="Garamond"/>
                <w:sz w:val="22"/>
                <w:szCs w:val="22"/>
              </w:rPr>
            </w:pPr>
            <w:r w:rsidRPr="00A93E3C">
              <w:rPr>
                <w:rFonts w:ascii="Garamond" w:hAnsi="Garamond"/>
                <w:sz w:val="22"/>
                <w:szCs w:val="22"/>
              </w:rPr>
              <w:lastRenderedPageBreak/>
              <w:t xml:space="preserve">ИПЦ – индексы потребительских цен за каждый год, входящий в период с 1 января 2018 года до 31 декабря года </w:t>
            </w:r>
            <w:r w:rsidRPr="00A93E3C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93E3C">
              <w:rPr>
                <w:rFonts w:ascii="Garamond" w:hAnsi="Garamond"/>
                <w:sz w:val="22"/>
                <w:szCs w:val="22"/>
              </w:rPr>
              <w:t>-1, предшествующего году, в котором проводится такой отбор, опубликованн</w:t>
            </w:r>
            <w:r w:rsidRPr="009D0EE0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="00BC27FE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93E3C">
              <w:rPr>
                <w:rFonts w:ascii="Garamond" w:hAnsi="Garamond"/>
                <w:sz w:val="22"/>
                <w:szCs w:val="22"/>
              </w:rPr>
              <w:t xml:space="preserve"> СО в соответствии с п. 4.2 настоящего Регламента;</w:t>
            </w:r>
          </w:p>
          <w:p w:rsidR="009D0EE0" w:rsidRPr="00A93E3C" w:rsidRDefault="009D0EE0" w:rsidP="009D0EE0">
            <w:pPr>
              <w:pStyle w:val="a7"/>
              <w:rPr>
                <w:lang w:eastAsia="ar-SA"/>
              </w:rPr>
            </w:pPr>
          </w:p>
          <w:p w:rsidR="009D0EE0" w:rsidRDefault="009D0EE0" w:rsidP="009D0EE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0EE0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9D0EE0" w:rsidRDefault="009D0EE0" w:rsidP="009D0EE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7.2.1</w:t>
            </w:r>
          </w:p>
        </w:tc>
        <w:tc>
          <w:tcPr>
            <w:tcW w:w="6974" w:type="dxa"/>
          </w:tcPr>
          <w:p w:rsidR="009D0EE0" w:rsidRPr="0030206A" w:rsidRDefault="009D0EE0" w:rsidP="009D0EE0">
            <w:pPr>
              <w:pStyle w:val="a5"/>
              <w:ind w:left="567" w:hanging="425"/>
              <w:jc w:val="center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>…</w:t>
            </w:r>
          </w:p>
          <w:p w:rsidR="009D0EE0" w:rsidRPr="0030206A" w:rsidRDefault="009D0EE0" w:rsidP="009D0EE0">
            <w:pPr>
              <w:pStyle w:val="a5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oMath>
            <w:r w:rsidRPr="0030206A">
              <w:rPr>
                <w:rFonts w:ascii="Garamond" w:hAnsi="Garamond"/>
                <w:sz w:val="22"/>
                <w:szCs w:val="22"/>
              </w:rPr>
              <w:t xml:space="preserve"> – значение нормы доходности по результатам года </w:t>
            </w:r>
            <w:r w:rsidRPr="0030206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0206A">
              <w:rPr>
                <w:rFonts w:ascii="Garamond" w:hAnsi="Garamond"/>
                <w:sz w:val="22"/>
                <w:szCs w:val="22"/>
              </w:rPr>
              <w:t>, предшествующего году, в котором проводится отбор проектов модернизации, опубликованное СО в соответствии с 4.3.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настоящего Регламента;</w:t>
            </w:r>
          </w:p>
          <w:p w:rsidR="009D0EE0" w:rsidRPr="0030206A" w:rsidRDefault="009D0EE0" w:rsidP="009D0EE0">
            <w:pPr>
              <w:pStyle w:val="a9"/>
              <w:spacing w:after="120"/>
              <w:ind w:left="312"/>
              <w:jc w:val="both"/>
              <w:rPr>
                <w:rFonts w:eastAsia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17" w:type="dxa"/>
          </w:tcPr>
          <w:p w:rsidR="009D0EE0" w:rsidRPr="0030206A" w:rsidRDefault="009D0EE0" w:rsidP="009D0EE0">
            <w:pPr>
              <w:pStyle w:val="a5"/>
              <w:ind w:left="567" w:hanging="425"/>
              <w:jc w:val="center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>…</w:t>
            </w:r>
          </w:p>
          <w:p w:rsidR="009D0EE0" w:rsidRPr="0030206A" w:rsidRDefault="009D0EE0" w:rsidP="009D0EE0">
            <w:pPr>
              <w:pStyle w:val="a5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0206A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oMath>
            <w:r w:rsidRPr="0030206A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0206A">
              <w:rPr>
                <w:rFonts w:ascii="Garamond" w:hAnsi="Garamond"/>
                <w:sz w:val="22"/>
                <w:szCs w:val="22"/>
              </w:rPr>
              <w:t xml:space="preserve"> значение нормы доходности по результатам года </w:t>
            </w:r>
            <w:r w:rsidRPr="0030206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, предшествующего году, в котором проводится отбор проектов модернизации, опубликованное СО в соответствии с </w:t>
            </w:r>
            <w:r w:rsidR="00FD3C3F" w:rsidRPr="00FD3C3F">
              <w:rPr>
                <w:rFonts w:ascii="Garamond" w:hAnsi="Garamond"/>
                <w:sz w:val="22"/>
                <w:szCs w:val="22"/>
                <w:highlight w:val="yellow"/>
              </w:rPr>
              <w:t>п.</w:t>
            </w:r>
            <w:r w:rsidR="00FD3C3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206A">
              <w:rPr>
                <w:rFonts w:ascii="Garamond" w:hAnsi="Garamond"/>
                <w:sz w:val="22"/>
                <w:szCs w:val="22"/>
              </w:rPr>
              <w:t>4.3.</w:t>
            </w:r>
            <w:r w:rsidR="00BC27FE" w:rsidRPr="0030206A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настоящего Регламента;</w:t>
            </w:r>
          </w:p>
          <w:p w:rsidR="009D0EE0" w:rsidRPr="0030206A" w:rsidRDefault="009D0EE0" w:rsidP="009D0EE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0206A" w:rsidRPr="004A5401" w:rsidTr="00622FAE">
        <w:trPr>
          <w:trHeight w:val="561"/>
          <w:jc w:val="center"/>
        </w:trPr>
        <w:tc>
          <w:tcPr>
            <w:tcW w:w="993" w:type="dxa"/>
            <w:vAlign w:val="center"/>
          </w:tcPr>
          <w:p w:rsidR="0030206A" w:rsidRDefault="0030206A" w:rsidP="0030206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11.1</w:t>
            </w:r>
          </w:p>
        </w:tc>
        <w:tc>
          <w:tcPr>
            <w:tcW w:w="6974" w:type="dxa"/>
          </w:tcPr>
          <w:p w:rsidR="0030206A" w:rsidRPr="0030206A" w:rsidRDefault="0030206A" w:rsidP="0030206A">
            <w:pPr>
              <w:pStyle w:val="a3"/>
              <w:autoSpaceDE w:val="0"/>
              <w:autoSpaceDN w:val="0"/>
              <w:spacing w:before="120" w:after="120"/>
              <w:ind w:left="0" w:firstLine="709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5" w:name="_Toc280326"/>
            <w:bookmarkStart w:id="6" w:name="_Toc5710631"/>
            <w:bookmarkStart w:id="7" w:name="_Toc36086976"/>
            <w:bookmarkStart w:id="8" w:name="_Toc52891453"/>
            <w:r w:rsidRPr="0030206A">
              <w:rPr>
                <w:rFonts w:ascii="Garamond" w:hAnsi="Garamond"/>
                <w:sz w:val="22"/>
                <w:szCs w:val="22"/>
              </w:rPr>
              <w:t xml:space="preserve">Договоры на модернизацию заключаются между </w:t>
            </w:r>
            <w:r w:rsidRPr="0030206A">
              <w:rPr>
                <w:rFonts w:ascii="Garamond" w:hAnsi="Garamond" w:cs="Garamond"/>
                <w:sz w:val="22"/>
                <w:szCs w:val="22"/>
              </w:rPr>
              <w:t>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ценовой зоне, в соответствии и с требованиями стандартной формы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а по стандартной форме Приложения № Д 18.3.6 к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bookmarkEnd w:id="5"/>
            <w:bookmarkEnd w:id="6"/>
            <w:r w:rsidRPr="0030206A">
              <w:rPr>
                <w:rFonts w:ascii="Garamond" w:hAnsi="Garamond"/>
                <w:sz w:val="22"/>
                <w:szCs w:val="22"/>
              </w:rPr>
              <w:t>, с учетом положений пункта 11.3 настоящего Регламента.</w:t>
            </w:r>
            <w:bookmarkEnd w:id="7"/>
            <w:bookmarkEnd w:id="8"/>
          </w:p>
          <w:p w:rsidR="0030206A" w:rsidRPr="0030206A" w:rsidRDefault="0030206A" w:rsidP="0030206A">
            <w:pPr>
              <w:pStyle w:val="a3"/>
              <w:spacing w:before="120" w:after="120"/>
              <w:ind w:left="0" w:firstLine="70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9" w:name="_Toc36086977"/>
            <w:bookmarkStart w:id="10" w:name="_Toc52891454"/>
            <w:r w:rsidRPr="0030206A">
              <w:rPr>
                <w:rFonts w:ascii="Garamond" w:hAnsi="Garamond"/>
                <w:sz w:val="22"/>
                <w:szCs w:val="22"/>
              </w:rPr>
              <w:t xml:space="preserve">СО формирует и направляет в КО на бумажном носителе Реестр генерирующего оборудования, включенного в перечень,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оборудования,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перечня, а также после опубликования 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принятого Правительством Российской Федерации решения об изменении перечня</w:t>
            </w:r>
            <w:r w:rsidRPr="0030206A">
              <w:rPr>
                <w:rFonts w:ascii="Garamond" w:hAnsi="Garamond"/>
                <w:sz w:val="22"/>
                <w:szCs w:val="22"/>
              </w:rPr>
              <w:t>. Приложение 4 к договору на модернизацию формируется на основании информации, полученной в указанном письме от СО.</w:t>
            </w:r>
            <w:bookmarkEnd w:id="9"/>
            <w:bookmarkEnd w:id="10"/>
          </w:p>
          <w:p w:rsidR="0030206A" w:rsidRPr="0030206A" w:rsidRDefault="0030206A" w:rsidP="0030206A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lastRenderedPageBreak/>
              <w:t xml:space="preserve">КО в срок не позднее 10 рабочих дней после 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опубликования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переч</w:t>
            </w:r>
            <w:r w:rsidRPr="005C3A1A">
              <w:rPr>
                <w:rFonts w:ascii="Garamond" w:hAnsi="Garamond"/>
                <w:sz w:val="22"/>
                <w:szCs w:val="22"/>
                <w:highlight w:val="yellow"/>
              </w:rPr>
              <w:t>н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30206A">
              <w:rPr>
                <w:rFonts w:ascii="Garamond" w:hAnsi="Garamond"/>
                <w:sz w:val="22"/>
                <w:szCs w:val="22"/>
              </w:rPr>
              <w:t>, утвержденн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год, направляет в ЦФР в электронном виде с ЭП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Регламенту), содержащий генерирующие объекты, указанные в данном перечне, а также генерирующие объекты, в отношении которых на дату направления Реестра заключены договоры на модернизацию.</w:t>
            </w:r>
          </w:p>
          <w:p w:rsidR="0030206A" w:rsidRPr="0030206A" w:rsidRDefault="0030206A" w:rsidP="0030206A">
            <w:pPr>
              <w:pStyle w:val="a3"/>
              <w:spacing w:before="120" w:after="120"/>
              <w:ind w:left="0" w:firstLine="567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1" w:name="_Toc36086979"/>
            <w:bookmarkStart w:id="12" w:name="_Toc52891456"/>
            <w:r w:rsidRPr="0030206A">
              <w:rPr>
                <w:rFonts w:ascii="Garamond" w:hAnsi="Garamond"/>
                <w:sz w:val="22"/>
                <w:szCs w:val="22"/>
              </w:rPr>
              <w:t xml:space="preserve">КО актуализирует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 в следующих случаях:</w:t>
            </w:r>
            <w:bookmarkEnd w:id="11"/>
            <w:bookmarkEnd w:id="12"/>
          </w:p>
          <w:p w:rsidR="0030206A" w:rsidRPr="0030206A" w:rsidRDefault="0030206A" w:rsidP="003020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3" w:name="_Toc36086980"/>
            <w:bookmarkStart w:id="14" w:name="_Toc52891457"/>
            <w:r w:rsidRPr="0030206A">
              <w:rPr>
                <w:rFonts w:ascii="Garamond" w:hAnsi="Garamond"/>
                <w:sz w:val="22"/>
                <w:szCs w:val="22"/>
              </w:rPr>
              <w:t xml:space="preserve">опубликование 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принятого Правительством Российской Федерации решения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об изменении какого-либо из перечней,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электростанций;</w:t>
            </w:r>
            <w:bookmarkEnd w:id="13"/>
            <w:bookmarkEnd w:id="14"/>
          </w:p>
          <w:p w:rsidR="0030206A" w:rsidRPr="0030206A" w:rsidRDefault="0030206A" w:rsidP="003020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5" w:name="_Toc36086981"/>
            <w:bookmarkStart w:id="16" w:name="_Toc52891458"/>
            <w:r w:rsidRPr="0030206A">
              <w:rPr>
                <w:rFonts w:ascii="Garamond" w:hAnsi="Garamond"/>
                <w:sz w:val="22"/>
                <w:szCs w:val="22"/>
              </w:rPr>
              <w:t xml:space="preserve">внесение изменений в заключенные договоры на модернизацию в части изменения даты начала поставки мощности на оптовый рынок, даты окончания поставки мощности на оптовый рынок и даты начала периода реализации проекта модернизации, передаваемых в Реестре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, в случае получения от Системного оператора решения о переносе периода реализации проекта модернизации на более позднюю дату в соответствии с п. 3.4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Договора купли-продажи (поставки) мощности модернизированных генерирующих объектов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№ Д 18.3.6 к 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Pr="0030206A">
              <w:rPr>
                <w:rFonts w:ascii="Garamond" w:hAnsi="Garamond"/>
                <w:sz w:val="22"/>
                <w:szCs w:val="22"/>
              </w:rPr>
              <w:t>рынка).</w:t>
            </w:r>
            <w:bookmarkEnd w:id="15"/>
            <w:bookmarkEnd w:id="16"/>
          </w:p>
          <w:p w:rsidR="0030206A" w:rsidRPr="0030206A" w:rsidRDefault="0030206A" w:rsidP="0030206A">
            <w:pPr>
              <w:pStyle w:val="a3"/>
              <w:spacing w:before="120" w:after="120"/>
              <w:ind w:left="0" w:firstLine="567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7" w:name="_Toc36086982"/>
            <w:bookmarkStart w:id="18" w:name="_Toc52891459"/>
            <w:r w:rsidRPr="0030206A">
              <w:rPr>
                <w:rFonts w:ascii="Garamond" w:hAnsi="Garamond"/>
                <w:sz w:val="22"/>
                <w:szCs w:val="22"/>
              </w:rPr>
              <w:t xml:space="preserve">КО направляет в ЦФР актуализированный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 в срок не позднее 10 рабочих дней после:</w:t>
            </w:r>
            <w:bookmarkEnd w:id="17"/>
            <w:bookmarkEnd w:id="18"/>
          </w:p>
          <w:p w:rsidR="0030206A" w:rsidRPr="0030206A" w:rsidRDefault="0030206A" w:rsidP="0030206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9" w:name="_Toc36086983"/>
            <w:bookmarkStart w:id="20" w:name="_Toc52891460"/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опубликования принятого Правительством Российской Федерации решения об изменении какого-либо из перечней, утвержденных Правительством Российской Федерации на основании результатов отбора проектов 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lastRenderedPageBreak/>
              <w:t>модернизации генерирующих объектов тепловых электростанций;</w:t>
            </w:r>
            <w:bookmarkEnd w:id="19"/>
            <w:bookmarkEnd w:id="20"/>
          </w:p>
          <w:p w:rsidR="0030206A" w:rsidRPr="0030206A" w:rsidRDefault="0030206A" w:rsidP="0030206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21" w:name="_Toc36086984"/>
            <w:bookmarkStart w:id="22" w:name="_Toc52891461"/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получения от Системного оператора решения о переносе периода реализации проекта модернизации на более позднюю дату в соответствии с п. 3.4 </w:t>
            </w:r>
            <w:r w:rsidRPr="0030206A">
              <w:rPr>
                <w:rFonts w:ascii="Garamond" w:eastAsia="Calibri" w:hAnsi="Garamond"/>
                <w:i/>
                <w:sz w:val="22"/>
                <w:szCs w:val="22"/>
              </w:rPr>
              <w:t>Договора купли-продажи (поставки) мощности модернизированных генерирующих объектов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 (Приложени</w:t>
            </w:r>
            <w:r w:rsidRPr="0030206A">
              <w:rPr>
                <w:rFonts w:ascii="Garamond" w:eastAsia="Calibri" w:hAnsi="Garamond"/>
                <w:sz w:val="22"/>
                <w:szCs w:val="22"/>
                <w:highlight w:val="yellow"/>
              </w:rPr>
              <w:t>я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 № Д 18.3.6 к </w:t>
            </w:r>
            <w:r w:rsidRPr="0030206A">
              <w:rPr>
                <w:rFonts w:ascii="Garamond" w:eastAsia="Calibri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).</w:t>
            </w:r>
            <w:bookmarkEnd w:id="21"/>
            <w:bookmarkEnd w:id="22"/>
          </w:p>
          <w:p w:rsidR="0030206A" w:rsidRPr="0030206A" w:rsidRDefault="0030206A" w:rsidP="0030206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17" w:type="dxa"/>
          </w:tcPr>
          <w:p w:rsidR="0030206A" w:rsidRPr="0030206A" w:rsidRDefault="0030206A" w:rsidP="0030206A">
            <w:pPr>
              <w:pStyle w:val="a3"/>
              <w:autoSpaceDE w:val="0"/>
              <w:autoSpaceDN w:val="0"/>
              <w:spacing w:before="120" w:after="120"/>
              <w:ind w:left="0" w:firstLine="709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lastRenderedPageBreak/>
              <w:t xml:space="preserve">Договоры на модернизацию заключаются между </w:t>
            </w:r>
            <w:r w:rsidRPr="0030206A">
              <w:rPr>
                <w:rFonts w:ascii="Garamond" w:hAnsi="Garamond" w:cs="Garamond"/>
                <w:sz w:val="22"/>
                <w:szCs w:val="22"/>
              </w:rPr>
              <w:t>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ценовой зоне, в соответствии и с требованиями стандартной формы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а по стандартной форме Приложения № Д 18.3.6 к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0206A">
              <w:rPr>
                <w:rFonts w:ascii="Garamond" w:hAnsi="Garamond"/>
                <w:sz w:val="22"/>
                <w:szCs w:val="22"/>
              </w:rPr>
              <w:t>, с учетом положений пункта 11.3 настоящего Регламента.</w:t>
            </w:r>
          </w:p>
          <w:p w:rsidR="0030206A" w:rsidRPr="0030206A" w:rsidRDefault="0030206A" w:rsidP="0030206A">
            <w:pPr>
              <w:pStyle w:val="a3"/>
              <w:spacing w:before="120" w:after="120"/>
              <w:ind w:left="0" w:firstLine="70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СО формирует и направляет в КО на бумажном носителе Реестр генерирующего оборудования, включенного в перечень,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оборудования,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перечня, а также после опубликования 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принятого Правительством Российской Федерации решения об изменении перечня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. Приложение 4 к договору на модернизацию </w:t>
            </w:r>
            <w:r w:rsidRPr="0030206A">
              <w:rPr>
                <w:rFonts w:ascii="Garamond" w:hAnsi="Garamond"/>
                <w:sz w:val="22"/>
                <w:szCs w:val="22"/>
              </w:rPr>
              <w:lastRenderedPageBreak/>
              <w:t>формируется на основании информации, полученной в указанном письме от СО.</w:t>
            </w:r>
          </w:p>
          <w:p w:rsidR="0030206A" w:rsidRPr="0030206A" w:rsidRDefault="0030206A" w:rsidP="0030206A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КО в срок не позднее 10 рабочих дней после 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даты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возникновения у субъектов оптового рынка в соответствии с п. 3.15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) права участия в торговле мощностью на оптовом рынке с использованием условных ГТП, включенных в опубликованный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переч</w:t>
            </w:r>
            <w:r w:rsidRPr="005C3A1A">
              <w:rPr>
                <w:rFonts w:ascii="Garamond" w:hAnsi="Garamond"/>
                <w:sz w:val="22"/>
                <w:szCs w:val="22"/>
                <w:highlight w:val="yellow"/>
              </w:rPr>
              <w:t>ен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ь</w:t>
            </w:r>
            <w:r w:rsidRPr="0030206A">
              <w:rPr>
                <w:rFonts w:ascii="Garamond" w:hAnsi="Garamond"/>
                <w:sz w:val="22"/>
                <w:szCs w:val="22"/>
              </w:rPr>
              <w:t>, утвержденн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ый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год, направляет в ЦФР в электронном виде с ЭП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Регламенту), содержащий генерирующие объекты, указанные в данном перечне, а также генерирующие объекты, в отношении которых на дату направления Реестра заключены договоры на модернизацию.</w:t>
            </w:r>
          </w:p>
          <w:p w:rsidR="0030206A" w:rsidRPr="0030206A" w:rsidRDefault="0030206A" w:rsidP="0030206A">
            <w:pPr>
              <w:pStyle w:val="a3"/>
              <w:spacing w:before="120" w:after="120"/>
              <w:ind w:left="0" w:firstLine="567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КО актуализирует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 в следующих случаях:</w:t>
            </w:r>
          </w:p>
          <w:p w:rsidR="0030206A" w:rsidRPr="0030206A" w:rsidRDefault="0030206A" w:rsidP="003020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опубликование 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принятого Правительством Российской Федерации решения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об изменении какого-либо из перечней,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электростанций;</w:t>
            </w:r>
          </w:p>
          <w:p w:rsidR="0030206A" w:rsidRPr="0030206A" w:rsidRDefault="0030206A" w:rsidP="003020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t xml:space="preserve">внесение изменений в заключенные договоры на модернизацию в части изменения даты начала поставки мощности на оптовый рынок, даты окончания поставки мощности на оптовый рынок и даты начала периода реализации проекта модернизации, передаваемых в Реестре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, в случае получения от Системного оператора решения о переносе периода реализации проекта модернизации на более позднюю дату в соответствии с п. 3.4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>Договора купли-продажи (поставки) мощности модернизированных генерирующих объектов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30206A">
              <w:rPr>
                <w:rFonts w:ascii="Garamond" w:hAnsi="Garamond"/>
                <w:sz w:val="22"/>
                <w:szCs w:val="22"/>
              </w:rPr>
              <w:t xml:space="preserve"> № Д 18.3.6 к  </w:t>
            </w:r>
            <w:r w:rsidRPr="0030206A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Pr="0030206A">
              <w:rPr>
                <w:rFonts w:ascii="Garamond" w:hAnsi="Garamond"/>
                <w:sz w:val="22"/>
                <w:szCs w:val="22"/>
              </w:rPr>
              <w:t>рынка).</w:t>
            </w:r>
          </w:p>
          <w:p w:rsidR="0030206A" w:rsidRPr="0030206A" w:rsidRDefault="0030206A" w:rsidP="0030206A">
            <w:pPr>
              <w:pStyle w:val="a3"/>
              <w:spacing w:before="120" w:after="120"/>
              <w:ind w:left="0" w:firstLine="567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</w:rPr>
              <w:lastRenderedPageBreak/>
              <w:t xml:space="preserve">КО направляет в ЦФР актуализированный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</w:rPr>
              <w:t xml:space="preserve"> (приложение 11 к настоящему Регламенту) в срок не позднее 10 рабочих дней после:</w:t>
            </w:r>
          </w:p>
          <w:p w:rsidR="0030206A" w:rsidRPr="0030206A" w:rsidRDefault="0030206A" w:rsidP="0030206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eastAsia="Calibri" w:hAnsi="Garamond"/>
                <w:sz w:val="22"/>
                <w:szCs w:val="22"/>
              </w:rPr>
              <w:t>опубликования принятого Правительством Российской Федерации решения об изменении какого-либо из перечней,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электростанций;</w:t>
            </w:r>
          </w:p>
          <w:p w:rsidR="0030206A" w:rsidRPr="0030206A" w:rsidRDefault="0030206A" w:rsidP="0030206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получения от Системного оператора решения о переносе периода реализации проекта модернизации на более позднюю дату в соответствии с п. 3.4 </w:t>
            </w:r>
            <w:r w:rsidRPr="0030206A">
              <w:rPr>
                <w:rFonts w:ascii="Garamond" w:eastAsia="Calibri" w:hAnsi="Garamond"/>
                <w:i/>
                <w:sz w:val="22"/>
                <w:szCs w:val="22"/>
              </w:rPr>
              <w:t>Договора купли-продажи (поставки) мощности модернизированных генерирующих объектов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 (Приложени</w:t>
            </w:r>
            <w:r w:rsidRPr="0030206A">
              <w:rPr>
                <w:rFonts w:ascii="Garamond" w:eastAsia="Calibri" w:hAnsi="Garamond"/>
                <w:sz w:val="22"/>
                <w:szCs w:val="22"/>
                <w:highlight w:val="yellow"/>
              </w:rPr>
              <w:t>е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 xml:space="preserve"> № Д 18.3.6 к </w:t>
            </w:r>
            <w:r w:rsidRPr="0030206A">
              <w:rPr>
                <w:rFonts w:ascii="Garamond" w:eastAsia="Calibri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0206A">
              <w:rPr>
                <w:rFonts w:ascii="Garamond" w:eastAsia="Calibri" w:hAnsi="Garamond"/>
                <w:sz w:val="22"/>
                <w:szCs w:val="22"/>
              </w:rPr>
              <w:t>)</w:t>
            </w:r>
            <w:r w:rsidR="004F3298">
              <w:rPr>
                <w:rFonts w:ascii="Garamond" w:eastAsia="Calibri" w:hAnsi="Garamond"/>
                <w:sz w:val="22"/>
                <w:szCs w:val="22"/>
              </w:rPr>
              <w:t>.</w:t>
            </w:r>
          </w:p>
          <w:p w:rsidR="0030206A" w:rsidRPr="0030206A" w:rsidRDefault="0030206A" w:rsidP="0030206A">
            <w:pPr>
              <w:spacing w:after="120"/>
              <w:ind w:firstLine="70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При этом, е</w:t>
            </w:r>
            <w:r w:rsidR="00F341B4">
              <w:rPr>
                <w:rFonts w:ascii="Garamond" w:hAnsi="Garamond"/>
                <w:sz w:val="22"/>
                <w:szCs w:val="22"/>
                <w:highlight w:val="yellow"/>
              </w:rPr>
              <w:t>сли указанное </w:t>
            </w:r>
            <w:r w:rsidR="004F3298">
              <w:rPr>
                <w:rFonts w:ascii="Garamond" w:hAnsi="Garamond"/>
                <w:sz w:val="22"/>
                <w:szCs w:val="22"/>
                <w:highlight w:val="yellow"/>
              </w:rPr>
              <w:t>(-</w:t>
            </w:r>
            <w:proofErr w:type="spellStart"/>
            <w:r w:rsidR="004F3298">
              <w:rPr>
                <w:rFonts w:ascii="Garamond" w:hAnsi="Garamond"/>
                <w:sz w:val="22"/>
                <w:szCs w:val="22"/>
                <w:highlight w:val="yellow"/>
              </w:rPr>
              <w:t>ые</w:t>
            </w:r>
            <w:proofErr w:type="spellEnd"/>
            <w:r w:rsidR="004F3298">
              <w:rPr>
                <w:rFonts w:ascii="Garamond" w:hAnsi="Garamond"/>
                <w:sz w:val="22"/>
                <w:szCs w:val="22"/>
                <w:highlight w:val="yellow"/>
              </w:rPr>
              <w:t>) выше событие</w:t>
            </w:r>
            <w:r w:rsidR="00F341B4">
              <w:rPr>
                <w:rFonts w:ascii="Garamond" w:hAnsi="Garamond"/>
                <w:sz w:val="22"/>
                <w:szCs w:val="22"/>
                <w:highlight w:val="yellow"/>
              </w:rPr>
              <w:t> (-я) произошло 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(-и) в период после опубликования перечня, указанного 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абз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. 3 настоящего пункта, но до возникновения у субъектов оптового рынка в соответствии с п. 3.15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) права участия в торговле мощностью на оптовом рынке с использованием условных ГТП, включенных в данный опубликованный перечень, то КО направляет в ЦФР актуализированный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11 к настоящему Регламенту) в срок не позднее 10 рабочих дней после даты возникновения у субъектов оптового рынка в соответствии с п. 3.15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30206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рыка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) права участия в торговле мощностью на оптовом рынке с использованием условных ГТП, включенных в данный опубликованный перечень.</w:t>
            </w:r>
          </w:p>
          <w:p w:rsidR="0030206A" w:rsidRPr="0030206A" w:rsidRDefault="0030206A" w:rsidP="0030206A">
            <w:pPr>
              <w:spacing w:after="120"/>
              <w:ind w:firstLine="70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Договоры на модернизацию в отношении генерирующих объектов, включенных в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(актуализированный Реестр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), направляемый в ЦФР в соответствии с настоящим пунктом, и которые не были включены в ранее направленные в соответствии с настоящим пунктом Реестры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, заключаются не ранее чем через 2 рабочих дня после получения ЦФР </w:t>
            </w:r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Реестра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 xml:space="preserve"> (актуализированного Реестра объектов </w:t>
            </w:r>
            <w:proofErr w:type="spellStart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30206A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</w:tr>
    </w:tbl>
    <w:p w:rsidR="008473B7" w:rsidRDefault="008473B7" w:rsidP="004D3CE0">
      <w:pPr>
        <w:jc w:val="both"/>
        <w:rPr>
          <w:rFonts w:ascii="Garamond" w:hAnsi="Garamond"/>
          <w:b/>
          <w:sz w:val="26"/>
          <w:szCs w:val="26"/>
        </w:rPr>
      </w:pPr>
    </w:p>
    <w:p w:rsidR="004D3CE0" w:rsidRPr="00547226" w:rsidRDefault="004D3CE0" w:rsidP="008473B7">
      <w:pPr>
        <w:rPr>
          <w:rFonts w:ascii="Garamond" w:hAnsi="Garamond"/>
          <w:b/>
          <w:sz w:val="26"/>
          <w:szCs w:val="26"/>
        </w:rPr>
      </w:pPr>
      <w:r w:rsidRPr="00547226"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47226">
        <w:rPr>
          <w:rFonts w:ascii="Garamond" w:hAnsi="Garamond" w:cs="Arial"/>
          <w:color w:val="1E1E1E"/>
          <w:sz w:val="26"/>
          <w:szCs w:val="26"/>
        </w:rPr>
        <w:t xml:space="preserve"> </w:t>
      </w:r>
      <w:r w:rsidR="00DE7BDB" w:rsidRPr="00547226">
        <w:rPr>
          <w:rFonts w:ascii="Garamond" w:hAnsi="Garamond"/>
          <w:b/>
          <w:sz w:val="26"/>
          <w:szCs w:val="26"/>
        </w:rPr>
        <w:t xml:space="preserve">РЕГЛАМЕНТ </w:t>
      </w:r>
      <w:r w:rsidR="007A1FE8" w:rsidRPr="00547226">
        <w:rPr>
          <w:rFonts w:ascii="Garamond" w:hAnsi="Garamond"/>
          <w:b/>
          <w:sz w:val="26"/>
          <w:szCs w:val="26"/>
        </w:rPr>
        <w:t>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="007A1FE8" w:rsidRPr="00547226">
        <w:rPr>
          <w:rFonts w:ascii="Garamond" w:hAnsi="Garamond"/>
          <w:b/>
          <w:caps/>
          <w:sz w:val="26"/>
          <w:szCs w:val="26"/>
        </w:rPr>
        <w:t xml:space="preserve"> </w:t>
      </w:r>
      <w:r w:rsidRPr="00547226">
        <w:rPr>
          <w:rFonts w:ascii="Garamond" w:hAnsi="Garamond"/>
          <w:b/>
          <w:caps/>
          <w:sz w:val="26"/>
          <w:szCs w:val="26"/>
        </w:rPr>
        <w:t>(</w:t>
      </w:r>
      <w:r w:rsidRPr="00547226">
        <w:rPr>
          <w:rFonts w:ascii="Garamond" w:hAnsi="Garamond"/>
          <w:b/>
          <w:sz w:val="26"/>
          <w:szCs w:val="26"/>
        </w:rPr>
        <w:t xml:space="preserve">Приложение № </w:t>
      </w:r>
      <w:r w:rsidR="007A1FE8" w:rsidRPr="00547226">
        <w:rPr>
          <w:rFonts w:ascii="Garamond" w:hAnsi="Garamond"/>
          <w:b/>
          <w:sz w:val="26"/>
          <w:szCs w:val="26"/>
        </w:rPr>
        <w:t>19.4</w:t>
      </w:r>
      <w:r w:rsidR="006E6129" w:rsidRPr="00547226">
        <w:rPr>
          <w:rFonts w:ascii="Garamond" w:hAnsi="Garamond"/>
          <w:b/>
          <w:sz w:val="26"/>
          <w:szCs w:val="26"/>
        </w:rPr>
        <w:t xml:space="preserve"> </w:t>
      </w:r>
      <w:r w:rsidRPr="00547226">
        <w:rPr>
          <w:rFonts w:ascii="Garamond" w:hAnsi="Garamond"/>
          <w:b/>
          <w:sz w:val="26"/>
          <w:szCs w:val="26"/>
        </w:rPr>
        <w:t>к Договору о присоединении к торговой системе оптового рынка)</w:t>
      </w:r>
    </w:p>
    <w:p w:rsidR="004D3CE0" w:rsidRDefault="004D3CE0" w:rsidP="004D3CE0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4D3CE0" w:rsidRPr="004A5401" w:rsidTr="008677FB">
        <w:trPr>
          <w:jc w:val="center"/>
        </w:trPr>
        <w:tc>
          <w:tcPr>
            <w:tcW w:w="993" w:type="dxa"/>
            <w:vAlign w:val="center"/>
          </w:tcPr>
          <w:p w:rsidR="004D3CE0" w:rsidRPr="004A5401" w:rsidRDefault="004D3CE0" w:rsidP="008677F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4D3CE0" w:rsidRPr="004A5401" w:rsidRDefault="004D3CE0" w:rsidP="008677F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4D3CE0" w:rsidRPr="004A5401" w:rsidRDefault="004D3CE0" w:rsidP="008677F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4D3CE0" w:rsidRPr="004A5401" w:rsidRDefault="004D3CE0" w:rsidP="008677F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4D3CE0" w:rsidRPr="004A5401" w:rsidRDefault="004D3CE0" w:rsidP="008677F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D3CE0" w:rsidRPr="004A5401" w:rsidRDefault="004D3CE0" w:rsidP="008677F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A540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D3CE0" w:rsidRPr="004A5401" w:rsidTr="008677FB">
        <w:trPr>
          <w:trHeight w:val="561"/>
          <w:jc w:val="center"/>
        </w:trPr>
        <w:tc>
          <w:tcPr>
            <w:tcW w:w="993" w:type="dxa"/>
            <w:vAlign w:val="center"/>
          </w:tcPr>
          <w:p w:rsidR="004D3CE0" w:rsidRPr="008F6078" w:rsidRDefault="00033ACD" w:rsidP="008677F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2.1.6</w:t>
            </w:r>
          </w:p>
        </w:tc>
        <w:tc>
          <w:tcPr>
            <w:tcW w:w="6974" w:type="dxa"/>
          </w:tcPr>
          <w:p w:rsidR="004D3CE0" w:rsidRDefault="00033ACD" w:rsidP="008677FB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33ACD" w:rsidRPr="004A5401" w:rsidRDefault="00033ACD" w:rsidP="008473B7">
            <w:pPr>
              <w:spacing w:before="120" w:after="120"/>
              <w:ind w:right="-1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Индекс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 в формулах используется для обозначения номера календарного года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+2, и </w:t>
            </w:r>
            <w:proofErr w:type="gramStart"/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величины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80" w:dyaOrig="400" w14:anchorId="2A1E5365">
                <v:shape id="_x0000_i1029" type="#_x0000_t75" style="width:39pt;height:20.5pt" o:ole="">
                  <v:imagedata r:id="rId13" o:title=""/>
                </v:shape>
                <o:OLEObject Type="Embed" ProgID="Equation.3" ShapeID="_x0000_i1029" DrawAspect="Content" ObjectID="_1694245856" r:id="rId14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и</w:t>
            </w:r>
            <w:proofErr w:type="gramEnd"/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80" w:dyaOrig="400" w14:anchorId="68721F2F">
                <v:shape id="_x0000_i1030" type="#_x0000_t75" style="width:39pt;height:20.5pt" o:ole="">
                  <v:imagedata r:id="rId15" o:title=""/>
                </v:shape>
                <o:OLEObject Type="Embed" ProgID="Equation.3" ShapeID="_x0000_i1030" DrawAspect="Content" ObjectID="_1694245857" r:id="rId16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используются КО при расчете цены мощности объекта генерации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g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в году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 соответственно в качестве </w:t>
            </w:r>
            <w:r w:rsidRPr="00033ACD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60" w:dyaOrig="360" w14:anchorId="7D233193">
                <v:shape id="_x0000_i1031" type="#_x0000_t75" style="width:37.5pt;height:18pt" o:ole="">
                  <v:imagedata r:id="rId17" o:title=""/>
                </v:shape>
                <o:OLEObject Type="Embed" ProgID="Equation.3" ShapeID="_x0000_i1031" DrawAspect="Content" ObjectID="_1694245858" r:id="rId18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п. 4 приложения 4 к </w:t>
            </w:r>
            <w:r w:rsidRPr="00033AC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предоставлении мощности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 к </w:t>
            </w:r>
            <w:r w:rsidRPr="00033AC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) и в качестве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60" w:dyaOrig="400" w14:anchorId="4A31DCFF">
                <v:shape id="_x0000_i1032" type="#_x0000_t75" style="width:37.5pt;height:20.5pt" o:ole="">
                  <v:imagedata r:id="rId19" o:title=""/>
                </v:shape>
                <o:OLEObject Type="Embed" ProgID="Equation.3" ShapeID="_x0000_i1032" DrawAspect="Content" ObjectID="_1694245859" r:id="rId20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приложения 3 настоящего Регламента.</w:t>
            </w:r>
          </w:p>
        </w:tc>
        <w:tc>
          <w:tcPr>
            <w:tcW w:w="6917" w:type="dxa"/>
          </w:tcPr>
          <w:p w:rsidR="00033ACD" w:rsidRDefault="00033ACD" w:rsidP="00033ACD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4D3CE0" w:rsidRPr="004A5401" w:rsidRDefault="00033ACD" w:rsidP="008473B7">
            <w:pPr>
              <w:spacing w:before="120" w:after="120"/>
              <w:ind w:right="-1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Индекс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 в формулах используется для обозначения номера календарного года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+2, и величины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80" w:dyaOrig="400" w14:anchorId="7A37672B">
                <v:shape id="_x0000_i1033" type="#_x0000_t75" style="width:39pt;height:20.5pt" o:ole="">
                  <v:imagedata r:id="rId13" o:title=""/>
                </v:shape>
                <o:OLEObject Type="Embed" ProgID="Equation.3" ShapeID="_x0000_i1033" DrawAspect="Content" ObjectID="_1694245860" r:id="rId21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и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80" w:dyaOrig="400" w14:anchorId="3A7DDC00">
                <v:shape id="_x0000_i1034" type="#_x0000_t75" style="width:39pt;height:20.5pt" o:ole="">
                  <v:imagedata r:id="rId15" o:title=""/>
                </v:shape>
                <o:OLEObject Type="Embed" ProgID="Equation.3" ShapeID="_x0000_i1034" DrawAspect="Content" ObjectID="_1694245861" r:id="rId22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используются КО при расчете цены мощности объекта генерации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g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в году </w:t>
            </w:r>
            <w:r w:rsidRPr="00033A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+2 соответственно в качестве </w:t>
            </w:r>
            <w:r w:rsidRPr="00033ACD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60" w:dyaOrig="360" w14:anchorId="096DBDC0">
                <v:shape id="_x0000_i1035" type="#_x0000_t75" style="width:37.5pt;height:18pt" o:ole="">
                  <v:imagedata r:id="rId17" o:title=""/>
                </v:shape>
                <o:OLEObject Type="Embed" ProgID="Equation.3" ShapeID="_x0000_i1035" DrawAspect="Content" ObjectID="_1694245862" r:id="rId23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п. 4 приложения 4 к </w:t>
            </w:r>
            <w:r w:rsidRPr="00033AC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предоставлении мощности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033AC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квалифицированных генерирующих объектов, функционирующих на основе использования возобновляемых источников энергии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 к </w:t>
            </w:r>
            <w:r w:rsidRPr="00033AC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="0041114D" w:rsidRPr="0041114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и в качестве </w:t>
            </w:r>
            <w:r w:rsidRPr="00033ACD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60" w:dyaOrig="400" w14:anchorId="521528BE">
                <v:shape id="_x0000_i1036" type="#_x0000_t75" style="width:37.5pt;height:20.5pt" o:ole="">
                  <v:imagedata r:id="rId19" o:title=""/>
                </v:shape>
                <o:OLEObject Type="Embed" ProgID="Equation.3" ShapeID="_x0000_i1036" DrawAspect="Content" ObjectID="_1694245863" r:id="rId24"/>
              </w:object>
            </w:r>
            <w:r w:rsidRPr="00033ACD">
              <w:rPr>
                <w:rFonts w:ascii="Garamond" w:hAnsi="Garamond"/>
                <w:sz w:val="22"/>
                <w:szCs w:val="22"/>
                <w:lang w:eastAsia="en-US"/>
              </w:rPr>
              <w:t xml:space="preserve"> согласно приложения 3 настоящего Регламента.</w:t>
            </w:r>
          </w:p>
        </w:tc>
      </w:tr>
      <w:tr w:rsidR="002D1285" w:rsidRPr="004A5401" w:rsidTr="008677FB">
        <w:trPr>
          <w:trHeight w:val="561"/>
          <w:jc w:val="center"/>
        </w:trPr>
        <w:tc>
          <w:tcPr>
            <w:tcW w:w="993" w:type="dxa"/>
            <w:vAlign w:val="center"/>
          </w:tcPr>
          <w:p w:rsidR="002D1285" w:rsidRDefault="002D1285" w:rsidP="008677F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974" w:type="dxa"/>
          </w:tcPr>
          <w:p w:rsidR="002D1285" w:rsidRDefault="002D1285" w:rsidP="008677FB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2D1285" w:rsidRPr="008473B7" w:rsidRDefault="002D1285" w:rsidP="008473B7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Для объектов генерации, поставка мощности которых в календарном году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X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(далее – год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X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) предусмотрена соответствующими ДПМ ВИЭ и в отношении которых КО в году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определяет значение доли затрат, 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>компенсируемой за счет платы за мощность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в соответствии с приложением 2 к настоящему Регламенту, не позднее пяти рабочих дней с даты опубликования </w:t>
            </w:r>
            <w:r w:rsidRPr="002D1285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цены на мощность по ДПМ ВИЭ в отношении января года </w:t>
            </w:r>
            <w:r w:rsidRPr="002D1285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КО публикует 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на своем официальном сайте, 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 разделе с ограниченным в соответствии с Правилами ЭДО СЭД КО доступом,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указанные доли на год </w:t>
            </w:r>
            <w:r w:rsidRPr="002D1285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>, а также значения ценовых параметров, исходя из которых они были рассчитаны.</w:t>
            </w:r>
          </w:p>
        </w:tc>
        <w:tc>
          <w:tcPr>
            <w:tcW w:w="6917" w:type="dxa"/>
          </w:tcPr>
          <w:p w:rsidR="002D1285" w:rsidRDefault="002D1285" w:rsidP="002D1285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2D1285" w:rsidRPr="008473B7" w:rsidRDefault="002D1285" w:rsidP="008473B7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Для объектов генерации, поставка мощности которых в календарном году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X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(далее – год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X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) предусмотрена соответствующими ДПМ ВИЭ и в отношении которых КО в году </w:t>
            </w:r>
            <w:r w:rsidRPr="002D128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определяет значение доли затрат, 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>компенсируемой за счет платы за мощность генерирующих объектов, функционирующих на основе использования возобновляемых источников энергии</w:t>
            </w:r>
            <w:r w:rsidRPr="002D128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приложением 2 к настоящему Регламенту, не позднее пяти рабочих дней с даты опубликования </w:t>
            </w:r>
            <w:r w:rsidRPr="002D1285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цены на мощность по ДПМ ВИЭ в отношении января года </w:t>
            </w:r>
            <w:r w:rsidRPr="002D1285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КО публикует 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на своем официальном сайте, </w:t>
            </w:r>
            <w:r w:rsidRPr="002D128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 разделе с ограниченным в соответствии с Правилами ЭДО СЭД КО доступом,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указанные доли на год </w:t>
            </w:r>
            <w:r w:rsidRPr="002D1285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2D1285">
              <w:rPr>
                <w:rFonts w:ascii="Garamond" w:hAnsi="Garamond"/>
                <w:sz w:val="22"/>
                <w:szCs w:val="22"/>
                <w:lang w:eastAsia="en-US"/>
              </w:rPr>
              <w:t>, а также значения ценовых параметров, исходя из которых они были рассчитаны.</w:t>
            </w:r>
          </w:p>
        </w:tc>
      </w:tr>
      <w:tr w:rsidR="002C4C20" w:rsidRPr="004A5401" w:rsidTr="008677FB">
        <w:trPr>
          <w:trHeight w:val="561"/>
          <w:jc w:val="center"/>
        </w:trPr>
        <w:tc>
          <w:tcPr>
            <w:tcW w:w="993" w:type="dxa"/>
            <w:vAlign w:val="center"/>
          </w:tcPr>
          <w:p w:rsidR="002C4C20" w:rsidRDefault="002C4C20" w:rsidP="008677F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</w:t>
            </w:r>
          </w:p>
        </w:tc>
        <w:tc>
          <w:tcPr>
            <w:tcW w:w="6974" w:type="dxa"/>
          </w:tcPr>
          <w:p w:rsidR="002C4C20" w:rsidRDefault="002C4C20" w:rsidP="008677FB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2C4C20" w:rsidRDefault="002C4C20" w:rsidP="002C4C20">
            <w:pPr>
              <w:spacing w:before="180" w:after="60"/>
              <w:ind w:firstLine="599"/>
              <w:jc w:val="both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превышает 10</w:t>
            </w:r>
            <w:r w:rsidRPr="002C4C20">
              <w:rPr>
                <w:rFonts w:ascii="Garamond" w:hAnsi="Garamond" w:cs="Garamond"/>
                <w:sz w:val="22"/>
                <w:szCs w:val="22"/>
                <w:lang w:val="en-GB" w:eastAsia="en-US"/>
              </w:rPr>
              <w:t> 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%, КО определяет на основании полученного от ММВБ в порядке, предусмотренном </w:t>
            </w:r>
            <w:r w:rsidRPr="002C4C20">
              <w:rPr>
                <w:rFonts w:ascii="Garamond" w:hAnsi="Garamond" w:cs="Garamond"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, списка ценных бумаг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, в который включаются ценные бумаги, итоговый удельный вес которых по результатам торгов на ММВБ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превышает 10</w:t>
            </w:r>
            <w:r w:rsidRPr="002C4C20">
              <w:rPr>
                <w:rFonts w:ascii="Garamond" w:hAnsi="Garamond" w:cs="Garamond"/>
                <w:sz w:val="22"/>
                <w:szCs w:val="22"/>
                <w:lang w:val="en-GB" w:eastAsia="en-US"/>
              </w:rPr>
              <w:t> 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>%.</w:t>
            </w:r>
          </w:p>
          <w:p w:rsidR="002C4C20" w:rsidRDefault="002C4C20" w:rsidP="002C4C20">
            <w:pPr>
              <w:spacing w:before="180" w:after="6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917" w:type="dxa"/>
          </w:tcPr>
          <w:p w:rsidR="002C4C20" w:rsidRDefault="002C4C20" w:rsidP="002C4C20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2C4C20" w:rsidRDefault="002C4C20" w:rsidP="002C4C20">
            <w:pPr>
              <w:spacing w:before="180" w:after="60"/>
              <w:ind w:firstLine="599"/>
              <w:jc w:val="both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превышает 10</w:t>
            </w:r>
            <w:r w:rsidRPr="002C4C20">
              <w:rPr>
                <w:rFonts w:ascii="Garamond" w:hAnsi="Garamond" w:cs="Garamond"/>
                <w:sz w:val="22"/>
                <w:szCs w:val="22"/>
                <w:lang w:val="en-GB" w:eastAsia="en-US"/>
              </w:rPr>
              <w:t> 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%, КО определяет на основании полученного от ММВБ в порядке, предусмотренном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, списка ценных бумаг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, в который включаются ценные бумаги, итоговый удельный вес которых по результатам торгов на ММВБ за третий квартал года </w:t>
            </w:r>
            <w:r w:rsidRPr="002C4C20">
              <w:rPr>
                <w:rFonts w:ascii="Garamond" w:hAnsi="Garamond" w:cs="Garamond"/>
                <w:i/>
                <w:sz w:val="22"/>
                <w:szCs w:val="22"/>
                <w:lang w:eastAsia="en-US"/>
              </w:rPr>
              <w:t>Х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превышает 10</w:t>
            </w:r>
            <w:r w:rsidRPr="002C4C20">
              <w:rPr>
                <w:rFonts w:ascii="Garamond" w:hAnsi="Garamond" w:cs="Garamond"/>
                <w:sz w:val="22"/>
                <w:szCs w:val="22"/>
                <w:lang w:val="en-GB" w:eastAsia="en-US"/>
              </w:rPr>
              <w:t> </w:t>
            </w:r>
            <w:r w:rsidRPr="002C4C20">
              <w:rPr>
                <w:rFonts w:ascii="Garamond" w:hAnsi="Garamond" w:cs="Garamond"/>
                <w:sz w:val="22"/>
                <w:szCs w:val="22"/>
                <w:lang w:eastAsia="en-US"/>
              </w:rPr>
              <w:t>%.</w:t>
            </w:r>
          </w:p>
          <w:p w:rsidR="002C4C20" w:rsidRDefault="002C4C20" w:rsidP="002C4C20">
            <w:pPr>
              <w:spacing w:before="180" w:after="6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sz w:val="22"/>
                <w:szCs w:val="22"/>
                <w:lang w:eastAsia="en-US"/>
              </w:rPr>
              <w:t>…</w:t>
            </w:r>
          </w:p>
        </w:tc>
      </w:tr>
    </w:tbl>
    <w:p w:rsidR="004D3CE0" w:rsidRDefault="004D3CE0" w:rsidP="004D3CE0">
      <w:pPr>
        <w:suppressAutoHyphens/>
        <w:spacing w:before="120" w:after="120"/>
        <w:jc w:val="both"/>
        <w:rPr>
          <w:rFonts w:ascii="Garamond" w:eastAsia="Batang" w:hAnsi="Garamond" w:cs="Garamond"/>
          <w:sz w:val="22"/>
          <w:szCs w:val="22"/>
          <w:lang w:eastAsia="x-none"/>
        </w:rPr>
      </w:pPr>
    </w:p>
    <w:p w:rsidR="007019D4" w:rsidRDefault="007019D4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7019D4">
      <w:pPr>
        <w:jc w:val="both"/>
        <w:rPr>
          <w:rFonts w:ascii="Garamond" w:hAnsi="Garamond"/>
          <w:sz w:val="18"/>
          <w:szCs w:val="18"/>
        </w:rPr>
      </w:pPr>
    </w:p>
    <w:p w:rsidR="000864DB" w:rsidRDefault="000864DB" w:rsidP="000864DB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E06F3B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DA02FB">
        <w:rPr>
          <w:rFonts w:ascii="Garamond" w:hAnsi="Garamond"/>
          <w:b/>
          <w:sz w:val="26"/>
          <w:szCs w:val="26"/>
        </w:rPr>
        <w:t xml:space="preserve">СТАНДАРТНУЮ ФОРМУ </w:t>
      </w:r>
      <w:r>
        <w:rPr>
          <w:rFonts w:ascii="Garamond" w:hAnsi="Garamond"/>
          <w:b/>
          <w:sz w:val="26"/>
          <w:szCs w:val="26"/>
        </w:rPr>
        <w:t>ДОГОВОР</w:t>
      </w:r>
      <w:r w:rsidR="00DA02FB">
        <w:rPr>
          <w:rFonts w:ascii="Garamond" w:hAnsi="Garamond"/>
          <w:b/>
          <w:sz w:val="26"/>
          <w:szCs w:val="26"/>
        </w:rPr>
        <w:t>А</w:t>
      </w:r>
      <w:r>
        <w:rPr>
          <w:rFonts w:ascii="Garamond" w:hAnsi="Garamond"/>
          <w:b/>
          <w:sz w:val="26"/>
          <w:szCs w:val="26"/>
        </w:rPr>
        <w:t xml:space="preserve"> КУПЛИ-ПРОДАЖИ (ПОСТАВКИ) </w:t>
      </w:r>
      <w:r w:rsidRPr="006C12F1">
        <w:rPr>
          <w:rFonts w:ascii="Garamond" w:hAnsi="Garamond"/>
          <w:b/>
          <w:sz w:val="26"/>
          <w:szCs w:val="26"/>
        </w:rPr>
        <w:t xml:space="preserve">МОЩНОСТИ </w:t>
      </w:r>
      <w:r>
        <w:rPr>
          <w:rFonts w:ascii="Garamond" w:hAnsi="Garamond"/>
          <w:b/>
          <w:sz w:val="26"/>
          <w:szCs w:val="26"/>
        </w:rPr>
        <w:t>МОДЕРНИЗИРОВАННЫХ ГЕНЕРИРУЮЩИХ ОБЪЕКТОВ</w:t>
      </w:r>
      <w:r>
        <w:rPr>
          <w:rFonts w:ascii="Arial" w:hAnsi="Arial" w:cs="Arial"/>
          <w:color w:val="1E1E1E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 18.3.6</w:t>
      </w:r>
      <w:r w:rsidRPr="00E06F3B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8473B7" w:rsidRDefault="008473B7" w:rsidP="000864DB">
      <w:pPr>
        <w:spacing w:line="259" w:lineRule="auto"/>
        <w:rPr>
          <w:rFonts w:ascii="Garamond" w:hAnsi="Garamond"/>
          <w:b/>
          <w:sz w:val="22"/>
          <w:szCs w:val="22"/>
        </w:rPr>
      </w:pPr>
    </w:p>
    <w:p w:rsidR="000864DB" w:rsidRDefault="000864DB" w:rsidP="000864DB">
      <w:pPr>
        <w:spacing w:line="259" w:lineRule="auto"/>
        <w:rPr>
          <w:rFonts w:ascii="Garamond" w:hAnsi="Garamond"/>
          <w:b/>
          <w:sz w:val="22"/>
          <w:szCs w:val="22"/>
        </w:rPr>
      </w:pPr>
      <w:r w:rsidRPr="008473B7">
        <w:rPr>
          <w:rFonts w:ascii="Garamond" w:hAnsi="Garamond"/>
          <w:b/>
          <w:sz w:val="22"/>
          <w:szCs w:val="22"/>
        </w:rPr>
        <w:t>Действующая редакция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0864DB" w:rsidRPr="001F6F69" w:rsidRDefault="000864DB" w:rsidP="000864DB">
      <w:pPr>
        <w:spacing w:line="259" w:lineRule="auto"/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>Приложение 4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 xml:space="preserve">к Договору купли-продажи (поставки) мощности 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>модернизированных генерирующих объектов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 xml:space="preserve"> № _____</w:t>
      </w:r>
    </w:p>
    <w:p w:rsidR="000864DB" w:rsidRPr="001F6F69" w:rsidRDefault="000864DB" w:rsidP="000864DB">
      <w:pPr>
        <w:ind w:right="-654"/>
        <w:jc w:val="right"/>
        <w:rPr>
          <w:rFonts w:ascii="Garamond" w:hAnsi="Garamond"/>
          <w:b/>
          <w:sz w:val="22"/>
          <w:szCs w:val="22"/>
        </w:rPr>
      </w:pPr>
    </w:p>
    <w:p w:rsidR="000864DB" w:rsidRPr="001F6F69" w:rsidRDefault="000864DB" w:rsidP="000864DB">
      <w:pPr>
        <w:ind w:right="-652"/>
        <w:jc w:val="center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>ОПИСАНИЕ ГЕНЕРИРУЮЩЕГО ОБОРУДОВАНИЯ, ФУНКЦИОНИРУЮЩЕГО ДО РЕАЛИЗАЦИИ МЕРОПРИЯТИЙ ПО МОДЕРНИЗАЦИИ</w:t>
      </w:r>
    </w:p>
    <w:p w:rsidR="000864DB" w:rsidRPr="001F6F69" w:rsidRDefault="000864DB" w:rsidP="000864DB">
      <w:pPr>
        <w:ind w:right="-654"/>
        <w:rPr>
          <w:rFonts w:ascii="Garamond" w:hAnsi="Garamond"/>
          <w:sz w:val="22"/>
          <w:szCs w:val="22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1238"/>
        <w:gridCol w:w="2090"/>
        <w:gridCol w:w="2067"/>
        <w:gridCol w:w="1874"/>
        <w:gridCol w:w="1965"/>
        <w:gridCol w:w="1959"/>
        <w:gridCol w:w="2222"/>
      </w:tblGrid>
      <w:tr w:rsidR="000864DB" w:rsidRPr="001F6F69" w:rsidTr="00423ED5">
        <w:trPr>
          <w:trHeight w:val="3655"/>
        </w:trPr>
        <w:tc>
          <w:tcPr>
            <w:tcW w:w="411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423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715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единиц генерирующего оборудования (ЕГО), в состав которых включено генерирующее оборудование, в отношении которого планируется реализация мероприятий по модернизации *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*</w:t>
            </w: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 xml:space="preserve">* 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:rsidR="000864DB" w:rsidRPr="001F6F69" w:rsidDel="0022427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генерирующих единиц мощности (ГЕМ), в состав которых включено генерирующее оборудование, в отношении которого планируется реализация мероприятий по модернизации **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  <w:p w:rsidR="000864DB" w:rsidRPr="001F6F69" w:rsidDel="0022427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41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групп точек поставки, в состав которых включено генерирующее оборудование, в отношении которого планируется реализация мероприятий по модернизации **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2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Наименование электростанций, в состав которых включено генерирующее оборудование, в отношении которого планируется реализация мероприятий по модернизации **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электростанций, в состав которых включено генерирующее оборудование, в отношении которого планируется реализация мероприятий по модернизации **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Станционные номера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 *** (8)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0864DB" w:rsidRPr="001F6F69" w:rsidTr="00423ED5">
        <w:trPr>
          <w:trHeight w:val="423"/>
        </w:trPr>
        <w:tc>
          <w:tcPr>
            <w:tcW w:w="411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3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7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41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72" w:type="pct"/>
          </w:tcPr>
          <w:p w:rsidR="000864DB" w:rsidRPr="001F6F69" w:rsidRDefault="000864DB" w:rsidP="00423ED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70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0864DB" w:rsidRPr="001F6F69" w:rsidRDefault="000864DB" w:rsidP="000864DB">
      <w:pPr>
        <w:rPr>
          <w:rFonts w:ascii="Garamond" w:hAnsi="Garamond"/>
          <w:b/>
          <w:szCs w:val="22"/>
        </w:rPr>
      </w:pPr>
    </w:p>
    <w:p w:rsidR="000864DB" w:rsidRPr="001F6F69" w:rsidRDefault="000864DB" w:rsidP="000864DB">
      <w:pPr>
        <w:rPr>
          <w:rFonts w:ascii="Garamond" w:hAnsi="Garamond"/>
          <w:sz w:val="20"/>
        </w:rPr>
      </w:pPr>
      <w:r w:rsidRPr="001F6F69">
        <w:rPr>
          <w:rFonts w:ascii="Garamond" w:hAnsi="Garamond"/>
          <w:sz w:val="20"/>
        </w:rPr>
        <w:t>* Указание параметра осуществляется на основании информации, указанной в перечне генерирующих объектов, утвержденном Правительством Российской Федерации на основании результатов отбора проектов модернизации.</w:t>
      </w:r>
    </w:p>
    <w:p w:rsidR="000864DB" w:rsidRPr="001F6F69" w:rsidRDefault="000864DB" w:rsidP="000864DB">
      <w:pPr>
        <w:rPr>
          <w:rFonts w:ascii="Garamond" w:hAnsi="Garamond"/>
          <w:sz w:val="20"/>
        </w:rPr>
      </w:pPr>
      <w:r w:rsidRPr="001F6F69">
        <w:rPr>
          <w:rFonts w:ascii="Garamond" w:hAnsi="Garamond"/>
          <w:sz w:val="20"/>
        </w:rPr>
        <w:t>** Указание параметра осуществляется на основании регистрационной информации Продавца.</w:t>
      </w:r>
    </w:p>
    <w:p w:rsidR="000864DB" w:rsidRPr="00710032" w:rsidRDefault="000864DB" w:rsidP="000864DB">
      <w:pPr>
        <w:jc w:val="both"/>
        <w:rPr>
          <w:rFonts w:ascii="Garamond" w:hAnsi="Garamond"/>
          <w:sz w:val="20"/>
        </w:rPr>
      </w:pPr>
      <w:r w:rsidRPr="00710032">
        <w:rPr>
          <w:rFonts w:ascii="Garamond" w:hAnsi="Garamond"/>
          <w:sz w:val="20"/>
        </w:rPr>
        <w:t xml:space="preserve">*** Указание параметра осуществляется на основании информации, полученной Коммерческим оператором в соответствии с п. 11.1 </w:t>
      </w:r>
      <w:r w:rsidRPr="00710032">
        <w:rPr>
          <w:rFonts w:ascii="Garamond" w:hAnsi="Garamond"/>
          <w:i/>
          <w:sz w:val="20"/>
        </w:rPr>
        <w:t>Регламента проведения отборов проектов модернизации генерирующего оборудования тепловых электростанций</w:t>
      </w:r>
      <w:r w:rsidRPr="00710032">
        <w:rPr>
          <w:rFonts w:ascii="Garamond" w:hAnsi="Garamond"/>
          <w:sz w:val="20"/>
        </w:rPr>
        <w:t xml:space="preserve"> (Приложение № 19.3.1 к </w:t>
      </w:r>
      <w:r w:rsidRPr="00710032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Pr="00710032">
        <w:rPr>
          <w:rFonts w:ascii="Garamond" w:hAnsi="Garamond"/>
          <w:sz w:val="20"/>
        </w:rPr>
        <w:t xml:space="preserve">), и информации о наличии данного оборудования в составе группы (групп) точек поставки, закрепленной (закрепленных) за Продавцом, и изменяется в порядке, предусмотренном пунктом 12.4 настоящего Договора. </w:t>
      </w:r>
    </w:p>
    <w:p w:rsidR="000864DB" w:rsidRDefault="000864DB" w:rsidP="000864DB">
      <w:pPr>
        <w:spacing w:line="259" w:lineRule="auto"/>
        <w:rPr>
          <w:rFonts w:ascii="Garamond" w:hAnsi="Garamond"/>
          <w:b/>
          <w:sz w:val="22"/>
          <w:szCs w:val="22"/>
        </w:rPr>
      </w:pPr>
      <w:r w:rsidRPr="008473B7"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0864DB" w:rsidRPr="00DD0CBF" w:rsidRDefault="000864DB" w:rsidP="000864DB">
      <w:pPr>
        <w:spacing w:line="259" w:lineRule="auto"/>
        <w:jc w:val="right"/>
        <w:rPr>
          <w:rFonts w:ascii="Garamond" w:hAnsi="Garamond"/>
          <w:b/>
          <w:sz w:val="22"/>
          <w:szCs w:val="22"/>
          <w:vertAlign w:val="superscript"/>
        </w:rPr>
      </w:pPr>
      <w:r w:rsidRPr="001F6F69">
        <w:rPr>
          <w:rFonts w:ascii="Garamond" w:hAnsi="Garamond"/>
          <w:b/>
          <w:sz w:val="22"/>
          <w:szCs w:val="22"/>
        </w:rPr>
        <w:t>Приложение 4</w:t>
      </w:r>
      <w:r w:rsidRPr="00DD0CBF">
        <w:rPr>
          <w:rFonts w:ascii="Garamond" w:hAnsi="Garamond"/>
          <w:b/>
          <w:sz w:val="22"/>
          <w:szCs w:val="22"/>
          <w:highlight w:val="yellow"/>
          <w:vertAlign w:val="superscript"/>
        </w:rPr>
        <w:t>*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 xml:space="preserve">к Договору купли-продажи (поставки) мощности 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>модернизированных генерирующих объектов</w:t>
      </w:r>
    </w:p>
    <w:p w:rsidR="000864DB" w:rsidRPr="001F6F69" w:rsidRDefault="000864DB" w:rsidP="000864DB">
      <w:pPr>
        <w:jc w:val="right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 xml:space="preserve"> № _____</w:t>
      </w:r>
    </w:p>
    <w:p w:rsidR="000864DB" w:rsidRPr="001F6F69" w:rsidRDefault="000864DB" w:rsidP="000864DB">
      <w:pPr>
        <w:ind w:right="-654"/>
        <w:jc w:val="right"/>
        <w:rPr>
          <w:rFonts w:ascii="Garamond" w:hAnsi="Garamond"/>
          <w:b/>
          <w:sz w:val="22"/>
          <w:szCs w:val="22"/>
        </w:rPr>
      </w:pPr>
    </w:p>
    <w:p w:rsidR="000864DB" w:rsidRPr="001F6F69" w:rsidRDefault="000864DB" w:rsidP="000864DB">
      <w:pPr>
        <w:ind w:right="-652"/>
        <w:jc w:val="center"/>
        <w:rPr>
          <w:rFonts w:ascii="Garamond" w:hAnsi="Garamond"/>
          <w:b/>
          <w:sz w:val="22"/>
          <w:szCs w:val="22"/>
        </w:rPr>
      </w:pPr>
      <w:r w:rsidRPr="001F6F69">
        <w:rPr>
          <w:rFonts w:ascii="Garamond" w:hAnsi="Garamond"/>
          <w:b/>
          <w:sz w:val="22"/>
          <w:szCs w:val="22"/>
        </w:rPr>
        <w:t>ОПИСАНИЕ ГЕНЕРИРУЮЩЕГО ОБОРУДОВАНИЯ, ФУНКЦИОНИРУЮЩЕГО ДО РЕАЛИЗАЦИИ МЕРОПРИЯТИЙ ПО МОДЕРНИЗАЦИИ</w:t>
      </w:r>
    </w:p>
    <w:p w:rsidR="000864DB" w:rsidRPr="001F6F69" w:rsidRDefault="000864DB" w:rsidP="000864DB">
      <w:pPr>
        <w:ind w:right="-654"/>
        <w:rPr>
          <w:rFonts w:ascii="Garamond" w:hAnsi="Garamond"/>
          <w:sz w:val="22"/>
          <w:szCs w:val="22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029"/>
        <w:gridCol w:w="2090"/>
        <w:gridCol w:w="2067"/>
        <w:gridCol w:w="1874"/>
        <w:gridCol w:w="1965"/>
        <w:gridCol w:w="1959"/>
        <w:gridCol w:w="2222"/>
      </w:tblGrid>
      <w:tr w:rsidR="000864DB" w:rsidRPr="001F6F69" w:rsidTr="00423ED5">
        <w:trPr>
          <w:trHeight w:val="3655"/>
        </w:trPr>
        <w:tc>
          <w:tcPr>
            <w:tcW w:w="483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52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715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единиц генерирующего оборудования (ЕГО), в состав которых включено генерирующее оборудование, в отношении которого планируется реализация мероприятий по модернизации *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*</w:t>
            </w: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:rsidR="000864DB" w:rsidRPr="001F6F69" w:rsidDel="0022427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генерирующих единиц мощности (ГЕМ), в состав которых включено генерирующее оборудование, в отношении которого планируется реализация мероприятий по модернизации **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  <w:p w:rsidR="000864DB" w:rsidRPr="001F6F69" w:rsidDel="0022427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41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групп точек поставки, в состав которых включено генерирующее оборудование, в отношении которого планируется реализация мероприятий по модернизации **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2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Наименование электростанций, в состав которых включено генерирующее оборудование, в отношении которого планируется реализация мероприятий по модернизации **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Код электростанций, в состав которых включено генерирующее оборудование, в отношении которого планируется реализация мероприятий по модернизации **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CCFFCC"/>
          </w:tcPr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>Станционные номера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 ***</w:t>
            </w:r>
            <w:r w:rsidRPr="00DD0C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  <w:r w:rsidRPr="001F6F69">
              <w:rPr>
                <w:rFonts w:ascii="Garamond" w:hAnsi="Garamond"/>
                <w:b/>
                <w:bCs/>
                <w:sz w:val="22"/>
                <w:szCs w:val="22"/>
              </w:rPr>
              <w:t xml:space="preserve"> (8)</w:t>
            </w:r>
          </w:p>
          <w:p w:rsidR="000864DB" w:rsidRPr="001F6F69" w:rsidRDefault="000864DB" w:rsidP="00423ED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0864DB" w:rsidRPr="001F6F69" w:rsidTr="00423ED5">
        <w:trPr>
          <w:trHeight w:val="423"/>
        </w:trPr>
        <w:tc>
          <w:tcPr>
            <w:tcW w:w="483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52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7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41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72" w:type="pct"/>
          </w:tcPr>
          <w:p w:rsidR="000864DB" w:rsidRPr="001F6F69" w:rsidRDefault="000864DB" w:rsidP="00423ED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70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:rsidR="000864DB" w:rsidRPr="001F6F69" w:rsidRDefault="000864DB" w:rsidP="00423ED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0864DB" w:rsidRPr="001F6F69" w:rsidRDefault="000864DB" w:rsidP="000864DB">
      <w:pPr>
        <w:rPr>
          <w:rFonts w:ascii="Garamond" w:hAnsi="Garamond"/>
          <w:b/>
          <w:szCs w:val="22"/>
        </w:rPr>
      </w:pPr>
    </w:p>
    <w:p w:rsidR="000864DB" w:rsidRPr="005329EB" w:rsidRDefault="000864DB" w:rsidP="000864DB">
      <w:pPr>
        <w:rPr>
          <w:rFonts w:ascii="Garamond" w:hAnsi="Garamond"/>
          <w:sz w:val="20"/>
        </w:rPr>
      </w:pPr>
      <w:r w:rsidRPr="002E17D6">
        <w:rPr>
          <w:rFonts w:ascii="Garamond" w:hAnsi="Garamond"/>
          <w:sz w:val="20"/>
          <w:highlight w:val="yellow"/>
        </w:rPr>
        <w:t xml:space="preserve">* Данное приложение не </w:t>
      </w:r>
      <w:r w:rsidRPr="00964416">
        <w:rPr>
          <w:rFonts w:ascii="Garamond" w:hAnsi="Garamond"/>
          <w:sz w:val="20"/>
          <w:highlight w:val="yellow"/>
        </w:rPr>
        <w:t>включается в д</w:t>
      </w:r>
      <w:r w:rsidRPr="002E17D6">
        <w:rPr>
          <w:rFonts w:ascii="Garamond" w:hAnsi="Garamond"/>
          <w:sz w:val="20"/>
          <w:highlight w:val="yellow"/>
        </w:rPr>
        <w:t>оговор</w:t>
      </w:r>
      <w:r w:rsidRPr="003F6C4F">
        <w:rPr>
          <w:highlight w:val="yellow"/>
        </w:rPr>
        <w:t xml:space="preserve"> </w:t>
      </w:r>
      <w:r w:rsidRPr="003F6C4F">
        <w:rPr>
          <w:rFonts w:ascii="Garamond" w:hAnsi="Garamond"/>
          <w:sz w:val="20"/>
          <w:highlight w:val="yellow"/>
        </w:rPr>
        <w:t>купли-продажи (поставки) мощности модернизированных генерирующих объектов</w:t>
      </w:r>
      <w:r w:rsidRPr="00964416">
        <w:rPr>
          <w:rFonts w:ascii="Garamond" w:hAnsi="Garamond"/>
          <w:sz w:val="20"/>
          <w:highlight w:val="yellow"/>
        </w:rPr>
        <w:t xml:space="preserve">, если </w:t>
      </w:r>
      <w:r w:rsidRPr="002E17D6">
        <w:rPr>
          <w:rFonts w:ascii="Garamond" w:hAnsi="Garamond"/>
          <w:sz w:val="20"/>
          <w:highlight w:val="yellow"/>
        </w:rPr>
        <w:t xml:space="preserve">Коммерческий оператор </w:t>
      </w:r>
      <w:r w:rsidRPr="003F6C4F">
        <w:rPr>
          <w:rFonts w:ascii="Garamond" w:hAnsi="Garamond"/>
          <w:sz w:val="20"/>
          <w:highlight w:val="yellow"/>
        </w:rPr>
        <w:t>в одностороннем внесудебном порядке</w:t>
      </w:r>
      <w:r w:rsidRPr="00964416">
        <w:rPr>
          <w:rFonts w:ascii="Garamond" w:hAnsi="Garamond"/>
          <w:sz w:val="20"/>
          <w:highlight w:val="yellow"/>
        </w:rPr>
        <w:t xml:space="preserve"> исключил данное приложение 4 из договоров, ранее заключенных по стандартной </w:t>
      </w:r>
      <w:r w:rsidR="000657F1" w:rsidRPr="00964416">
        <w:rPr>
          <w:rFonts w:ascii="Garamond" w:hAnsi="Garamond"/>
          <w:sz w:val="20"/>
          <w:highlight w:val="yellow"/>
        </w:rPr>
        <w:t>форме договора</w:t>
      </w:r>
      <w:r w:rsidRPr="003F6C4F">
        <w:rPr>
          <w:rFonts w:ascii="Garamond" w:hAnsi="Garamond"/>
          <w:sz w:val="20"/>
          <w:highlight w:val="yellow"/>
        </w:rPr>
        <w:t xml:space="preserve"> купли-продажи (поставки) мощности модернизированных генерирующих объектов в отношении генерирующего объекта, указываемого в приложении 1 настоящего Договора</w:t>
      </w:r>
      <w:r>
        <w:rPr>
          <w:rFonts w:ascii="Garamond" w:hAnsi="Garamond"/>
          <w:sz w:val="20"/>
          <w:highlight w:val="yellow"/>
        </w:rPr>
        <w:t>,</w:t>
      </w:r>
      <w:r w:rsidRPr="00964416" w:rsidDel="002E17D6">
        <w:rPr>
          <w:rFonts w:ascii="Garamond" w:hAnsi="Garamond"/>
          <w:sz w:val="20"/>
          <w:highlight w:val="yellow"/>
        </w:rPr>
        <w:t xml:space="preserve"> </w:t>
      </w:r>
      <w:r w:rsidRPr="00964416">
        <w:rPr>
          <w:rFonts w:ascii="Garamond" w:hAnsi="Garamond"/>
          <w:sz w:val="20"/>
          <w:highlight w:val="yellow"/>
        </w:rPr>
        <w:t xml:space="preserve">в соответствии с п. 12.5 указанных договоров. </w:t>
      </w:r>
      <w:r>
        <w:rPr>
          <w:rFonts w:ascii="Garamond" w:hAnsi="Garamond"/>
          <w:sz w:val="20"/>
        </w:rPr>
        <w:t xml:space="preserve"> </w:t>
      </w:r>
    </w:p>
    <w:p w:rsidR="000864DB" w:rsidRPr="001F6F69" w:rsidRDefault="000864DB" w:rsidP="000864DB">
      <w:pPr>
        <w:rPr>
          <w:rFonts w:ascii="Garamond" w:hAnsi="Garamond"/>
          <w:sz w:val="20"/>
        </w:rPr>
      </w:pPr>
      <w:r w:rsidRPr="001F6F69">
        <w:rPr>
          <w:rFonts w:ascii="Garamond" w:hAnsi="Garamond"/>
          <w:sz w:val="20"/>
        </w:rPr>
        <w:t>*</w:t>
      </w:r>
      <w:r w:rsidRPr="00DD0CBF">
        <w:rPr>
          <w:rFonts w:ascii="Garamond" w:hAnsi="Garamond"/>
          <w:sz w:val="20"/>
          <w:highlight w:val="yellow"/>
        </w:rPr>
        <w:t>*</w:t>
      </w:r>
      <w:r w:rsidRPr="001F6F69">
        <w:rPr>
          <w:rFonts w:ascii="Garamond" w:hAnsi="Garamond"/>
          <w:sz w:val="20"/>
        </w:rPr>
        <w:t xml:space="preserve"> Указание параметра осуществляется на основании информации, указанной в перечне генерирующих объектов, утвержденном Правительством Российской Федерации на основании результатов отбора проектов модернизации.</w:t>
      </w:r>
    </w:p>
    <w:p w:rsidR="000864DB" w:rsidRPr="001F6F69" w:rsidRDefault="000864DB" w:rsidP="000864DB">
      <w:pPr>
        <w:rPr>
          <w:rFonts w:ascii="Garamond" w:hAnsi="Garamond"/>
          <w:sz w:val="20"/>
        </w:rPr>
      </w:pPr>
      <w:r w:rsidRPr="001F6F69">
        <w:rPr>
          <w:rFonts w:ascii="Garamond" w:hAnsi="Garamond"/>
          <w:sz w:val="20"/>
        </w:rPr>
        <w:t>**</w:t>
      </w:r>
      <w:r w:rsidRPr="00DD0CBF">
        <w:rPr>
          <w:rFonts w:ascii="Garamond" w:hAnsi="Garamond"/>
          <w:sz w:val="20"/>
          <w:highlight w:val="yellow"/>
        </w:rPr>
        <w:t>*</w:t>
      </w:r>
      <w:r w:rsidRPr="001F6F69">
        <w:rPr>
          <w:rFonts w:ascii="Garamond" w:hAnsi="Garamond"/>
          <w:sz w:val="20"/>
        </w:rPr>
        <w:t xml:space="preserve"> Указание параметра осуществляется на основании регистрационной информации Продавца.</w:t>
      </w:r>
    </w:p>
    <w:p w:rsidR="000864DB" w:rsidRPr="00710032" w:rsidRDefault="000864DB" w:rsidP="000864DB">
      <w:pPr>
        <w:jc w:val="both"/>
        <w:rPr>
          <w:rFonts w:ascii="Garamond" w:hAnsi="Garamond"/>
          <w:sz w:val="20"/>
        </w:rPr>
      </w:pPr>
      <w:r w:rsidRPr="00710032">
        <w:rPr>
          <w:rFonts w:ascii="Garamond" w:hAnsi="Garamond"/>
          <w:sz w:val="20"/>
        </w:rPr>
        <w:t>***</w:t>
      </w:r>
      <w:r w:rsidRPr="00DD0CBF">
        <w:rPr>
          <w:rFonts w:ascii="Garamond" w:hAnsi="Garamond"/>
          <w:sz w:val="20"/>
          <w:highlight w:val="yellow"/>
        </w:rPr>
        <w:t>*</w:t>
      </w:r>
      <w:r w:rsidRPr="00710032">
        <w:rPr>
          <w:rFonts w:ascii="Garamond" w:hAnsi="Garamond"/>
          <w:sz w:val="20"/>
        </w:rPr>
        <w:t xml:space="preserve"> Указание параметра осуществляется на основании информации, полученной Коммерческим оператором в соответствии с п. 11.1 </w:t>
      </w:r>
      <w:r w:rsidRPr="00710032">
        <w:rPr>
          <w:rFonts w:ascii="Garamond" w:hAnsi="Garamond"/>
          <w:i/>
          <w:sz w:val="20"/>
        </w:rPr>
        <w:t>Регламента проведения отборов проектов модернизации генерирующего оборудования тепловых электростанций</w:t>
      </w:r>
      <w:r w:rsidRPr="00710032">
        <w:rPr>
          <w:rFonts w:ascii="Garamond" w:hAnsi="Garamond"/>
          <w:sz w:val="20"/>
        </w:rPr>
        <w:t xml:space="preserve"> (Приложение № 19.3.1 к </w:t>
      </w:r>
      <w:r w:rsidRPr="00710032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Pr="00710032">
        <w:rPr>
          <w:rFonts w:ascii="Garamond" w:hAnsi="Garamond"/>
          <w:sz w:val="20"/>
        </w:rPr>
        <w:t xml:space="preserve">), и информации о наличии данного оборудования в составе группы (групп) точек поставки, закрепленной (закрепленных) за Продавцом, и изменяется в порядке, предусмотренном пунктом 12.4 настоящего Договора. </w:t>
      </w:r>
    </w:p>
    <w:p w:rsidR="00622FAE" w:rsidRDefault="00622FAE"/>
    <w:sectPr w:rsidR="00622FAE" w:rsidSect="00622FAE">
      <w:footerReference w:type="default" r:id="rId2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38" w:rsidRDefault="00334038">
      <w:r>
        <w:separator/>
      </w:r>
    </w:p>
  </w:endnote>
  <w:endnote w:type="continuationSeparator" w:id="0">
    <w:p w:rsidR="00334038" w:rsidRDefault="0033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942488"/>
      <w:docPartObj>
        <w:docPartGallery w:val="Page Numbers (Bottom of Page)"/>
        <w:docPartUnique/>
      </w:docPartObj>
    </w:sdtPr>
    <w:sdtEndPr/>
    <w:sdtContent>
      <w:p w:rsidR="008677FB" w:rsidRDefault="008677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1B4">
          <w:rPr>
            <w:noProof/>
          </w:rPr>
          <w:t>3</w:t>
        </w:r>
        <w:r>
          <w:fldChar w:fldCharType="end"/>
        </w:r>
      </w:p>
    </w:sdtContent>
  </w:sdt>
  <w:p w:rsidR="008677FB" w:rsidRDefault="008677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38" w:rsidRDefault="00334038">
      <w:r>
        <w:separator/>
      </w:r>
    </w:p>
  </w:footnote>
  <w:footnote w:type="continuationSeparator" w:id="0">
    <w:p w:rsidR="00334038" w:rsidRDefault="0033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FE67F6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59721BF"/>
    <w:multiLevelType w:val="hybridMultilevel"/>
    <w:tmpl w:val="B1AC9A26"/>
    <w:lvl w:ilvl="0" w:tplc="E8A6A7E2">
      <w:start w:val="7"/>
      <w:numFmt w:val="russianLower"/>
      <w:lvlText w:val="%1)"/>
      <w:lvlJc w:val="left"/>
      <w:pPr>
        <w:ind w:left="2138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427D6"/>
    <w:multiLevelType w:val="hybridMultilevel"/>
    <w:tmpl w:val="7D082BE6"/>
    <w:lvl w:ilvl="0" w:tplc="F2589C66">
      <w:start w:val="8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69D5ADE"/>
    <w:multiLevelType w:val="hybridMultilevel"/>
    <w:tmpl w:val="AA947270"/>
    <w:lvl w:ilvl="0" w:tplc="8A3224BE">
      <w:start w:val="3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5C79"/>
    <w:multiLevelType w:val="hybridMultilevel"/>
    <w:tmpl w:val="C7127670"/>
    <w:lvl w:ilvl="0" w:tplc="425E62F0">
      <w:start w:val="16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F4FD4"/>
    <w:multiLevelType w:val="hybridMultilevel"/>
    <w:tmpl w:val="82C667EC"/>
    <w:lvl w:ilvl="0" w:tplc="F70E758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193EC2"/>
    <w:multiLevelType w:val="hybridMultilevel"/>
    <w:tmpl w:val="7D082BE6"/>
    <w:lvl w:ilvl="0" w:tplc="F2589C66">
      <w:start w:val="8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22583371"/>
    <w:multiLevelType w:val="multilevel"/>
    <w:tmpl w:val="69EE357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auto"/>
        <w:sz w:val="20"/>
      </w:rPr>
    </w:lvl>
  </w:abstractNum>
  <w:abstractNum w:abstractNumId="9" w15:restartNumberingAfterBreak="0">
    <w:nsid w:val="27011716"/>
    <w:multiLevelType w:val="hybridMultilevel"/>
    <w:tmpl w:val="CEDEBCB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F1067A"/>
    <w:multiLevelType w:val="hybridMultilevel"/>
    <w:tmpl w:val="B1AC9A26"/>
    <w:lvl w:ilvl="0" w:tplc="E8A6A7E2">
      <w:start w:val="7"/>
      <w:numFmt w:val="russianLower"/>
      <w:lvlText w:val="%1)"/>
      <w:lvlJc w:val="left"/>
      <w:pPr>
        <w:ind w:left="2138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1D1"/>
    <w:multiLevelType w:val="hybridMultilevel"/>
    <w:tmpl w:val="44BA0504"/>
    <w:lvl w:ilvl="0" w:tplc="4BE048EE">
      <w:start w:val="8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7EF6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4DD4B09"/>
    <w:multiLevelType w:val="hybridMultilevel"/>
    <w:tmpl w:val="683C5550"/>
    <w:lvl w:ilvl="0" w:tplc="EAF2069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E16077D"/>
    <w:multiLevelType w:val="multilevel"/>
    <w:tmpl w:val="DFCC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0467A5F"/>
    <w:multiLevelType w:val="hybridMultilevel"/>
    <w:tmpl w:val="683C5550"/>
    <w:lvl w:ilvl="0" w:tplc="EAF20692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47160B"/>
    <w:multiLevelType w:val="hybridMultilevel"/>
    <w:tmpl w:val="C7127670"/>
    <w:lvl w:ilvl="0" w:tplc="425E62F0">
      <w:start w:val="16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4437A"/>
    <w:multiLevelType w:val="hybridMultilevel"/>
    <w:tmpl w:val="E22EA39C"/>
    <w:lvl w:ilvl="0" w:tplc="F70E758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607D78"/>
    <w:multiLevelType w:val="hybridMultilevel"/>
    <w:tmpl w:val="587AB92C"/>
    <w:lvl w:ilvl="0" w:tplc="C5AE34CA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88362490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ECE45FE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A90266C4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C66001E0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6223F8E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B686E0CE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EEE44764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5744460E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4A2A0063"/>
    <w:multiLevelType w:val="hybridMultilevel"/>
    <w:tmpl w:val="676E4DB2"/>
    <w:lvl w:ilvl="0" w:tplc="51768BFA">
      <w:start w:val="2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4C302115"/>
    <w:multiLevelType w:val="multilevel"/>
    <w:tmpl w:val="E2D46D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7609A8"/>
    <w:multiLevelType w:val="hybridMultilevel"/>
    <w:tmpl w:val="2610ADB6"/>
    <w:lvl w:ilvl="0" w:tplc="C25E3708">
      <w:start w:val="1"/>
      <w:numFmt w:val="russianLower"/>
      <w:lvlText w:val="%1)"/>
      <w:lvlJc w:val="left"/>
      <w:pPr>
        <w:ind w:left="228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5A5542C6"/>
    <w:multiLevelType w:val="hybridMultilevel"/>
    <w:tmpl w:val="683C5550"/>
    <w:lvl w:ilvl="0" w:tplc="EAF20692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953E71"/>
    <w:multiLevelType w:val="hybridMultilevel"/>
    <w:tmpl w:val="676E4DB2"/>
    <w:lvl w:ilvl="0" w:tplc="51768BFA">
      <w:start w:val="2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656224BC"/>
    <w:multiLevelType w:val="multilevel"/>
    <w:tmpl w:val="D1509A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A64BFA"/>
    <w:multiLevelType w:val="multilevel"/>
    <w:tmpl w:val="E182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9E53D12"/>
    <w:multiLevelType w:val="hybridMultilevel"/>
    <w:tmpl w:val="44B437FE"/>
    <w:lvl w:ilvl="0" w:tplc="1D582758">
      <w:start w:val="6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366E"/>
    <w:multiLevelType w:val="hybridMultilevel"/>
    <w:tmpl w:val="AA947270"/>
    <w:lvl w:ilvl="0" w:tplc="8A3224BE">
      <w:start w:val="3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E0C11"/>
    <w:multiLevelType w:val="multilevel"/>
    <w:tmpl w:val="37FACB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1145EDD"/>
    <w:multiLevelType w:val="hybridMultilevel"/>
    <w:tmpl w:val="006A5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E1CB6"/>
    <w:multiLevelType w:val="hybridMultilevel"/>
    <w:tmpl w:val="44BA0504"/>
    <w:lvl w:ilvl="0" w:tplc="4BE048EE">
      <w:start w:val="8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A6D90"/>
    <w:multiLevelType w:val="multilevel"/>
    <w:tmpl w:val="76BA5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CC5ED5"/>
    <w:multiLevelType w:val="hybridMultilevel"/>
    <w:tmpl w:val="036E0C1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7D201AAE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21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26"/>
  </w:num>
  <w:num w:numId="10">
    <w:abstractNumId w:val="0"/>
  </w:num>
  <w:num w:numId="11">
    <w:abstractNumId w:val="28"/>
  </w:num>
  <w:num w:numId="12">
    <w:abstractNumId w:val="25"/>
  </w:num>
  <w:num w:numId="13">
    <w:abstractNumId w:val="14"/>
  </w:num>
  <w:num w:numId="14">
    <w:abstractNumId w:val="18"/>
  </w:num>
  <w:num w:numId="15">
    <w:abstractNumId w:val="32"/>
  </w:num>
  <w:num w:numId="16">
    <w:abstractNumId w:val="31"/>
  </w:num>
  <w:num w:numId="17">
    <w:abstractNumId w:val="8"/>
  </w:num>
  <w:num w:numId="18">
    <w:abstractNumId w:val="23"/>
  </w:num>
  <w:num w:numId="19">
    <w:abstractNumId w:val="19"/>
  </w:num>
  <w:num w:numId="20">
    <w:abstractNumId w:val="12"/>
  </w:num>
  <w:num w:numId="21">
    <w:abstractNumId w:val="5"/>
  </w:num>
  <w:num w:numId="22">
    <w:abstractNumId w:val="16"/>
  </w:num>
  <w:num w:numId="23">
    <w:abstractNumId w:val="1"/>
  </w:num>
  <w:num w:numId="24">
    <w:abstractNumId w:val="11"/>
  </w:num>
  <w:num w:numId="25">
    <w:abstractNumId w:val="30"/>
  </w:num>
  <w:num w:numId="26">
    <w:abstractNumId w:val="20"/>
  </w:num>
  <w:num w:numId="27">
    <w:abstractNumId w:val="33"/>
  </w:num>
  <w:num w:numId="28">
    <w:abstractNumId w:val="27"/>
  </w:num>
  <w:num w:numId="29">
    <w:abstractNumId w:val="4"/>
  </w:num>
  <w:num w:numId="30">
    <w:abstractNumId w:val="29"/>
  </w:num>
  <w:num w:numId="31">
    <w:abstractNumId w:val="24"/>
  </w:num>
  <w:num w:numId="32">
    <w:abstractNumId w:val="6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05D2"/>
    <w:rsid w:val="00033ACD"/>
    <w:rsid w:val="00044493"/>
    <w:rsid w:val="000657F1"/>
    <w:rsid w:val="00080A45"/>
    <w:rsid w:val="000864DB"/>
    <w:rsid w:val="000915D1"/>
    <w:rsid w:val="000D5AA9"/>
    <w:rsid w:val="00171A53"/>
    <w:rsid w:val="00182CC0"/>
    <w:rsid w:val="00182D79"/>
    <w:rsid w:val="002A3211"/>
    <w:rsid w:val="002C4C20"/>
    <w:rsid w:val="002D1285"/>
    <w:rsid w:val="0030206A"/>
    <w:rsid w:val="00334038"/>
    <w:rsid w:val="00343A24"/>
    <w:rsid w:val="00353AB3"/>
    <w:rsid w:val="003609AA"/>
    <w:rsid w:val="00374021"/>
    <w:rsid w:val="003E42B7"/>
    <w:rsid w:val="00403879"/>
    <w:rsid w:val="0041114D"/>
    <w:rsid w:val="00432068"/>
    <w:rsid w:val="00470C99"/>
    <w:rsid w:val="00474B77"/>
    <w:rsid w:val="004D3CE0"/>
    <w:rsid w:val="004F2D44"/>
    <w:rsid w:val="004F3298"/>
    <w:rsid w:val="00535242"/>
    <w:rsid w:val="00547226"/>
    <w:rsid w:val="005559FE"/>
    <w:rsid w:val="00562C9B"/>
    <w:rsid w:val="00567660"/>
    <w:rsid w:val="00590B9B"/>
    <w:rsid w:val="005C3A1A"/>
    <w:rsid w:val="005F0E9F"/>
    <w:rsid w:val="005F40D7"/>
    <w:rsid w:val="00622FAE"/>
    <w:rsid w:val="00644EEE"/>
    <w:rsid w:val="00647D32"/>
    <w:rsid w:val="0067039A"/>
    <w:rsid w:val="006A78AD"/>
    <w:rsid w:val="006E6129"/>
    <w:rsid w:val="006F2542"/>
    <w:rsid w:val="006F49F1"/>
    <w:rsid w:val="007019D4"/>
    <w:rsid w:val="00706866"/>
    <w:rsid w:val="0074792B"/>
    <w:rsid w:val="007A1FE8"/>
    <w:rsid w:val="007A4062"/>
    <w:rsid w:val="007F674F"/>
    <w:rsid w:val="008110E3"/>
    <w:rsid w:val="0081162F"/>
    <w:rsid w:val="00826023"/>
    <w:rsid w:val="0084157F"/>
    <w:rsid w:val="00845AF4"/>
    <w:rsid w:val="00845FC5"/>
    <w:rsid w:val="008473B7"/>
    <w:rsid w:val="00856FE5"/>
    <w:rsid w:val="008677FB"/>
    <w:rsid w:val="008A1D9D"/>
    <w:rsid w:val="008F121B"/>
    <w:rsid w:val="00926D48"/>
    <w:rsid w:val="0097536D"/>
    <w:rsid w:val="00976EA9"/>
    <w:rsid w:val="009846DB"/>
    <w:rsid w:val="009906E2"/>
    <w:rsid w:val="009B13D3"/>
    <w:rsid w:val="009D0EE0"/>
    <w:rsid w:val="009D60D9"/>
    <w:rsid w:val="00A31FC8"/>
    <w:rsid w:val="00A4210E"/>
    <w:rsid w:val="00A9060F"/>
    <w:rsid w:val="00A93E3C"/>
    <w:rsid w:val="00AA62AB"/>
    <w:rsid w:val="00AE4435"/>
    <w:rsid w:val="00B111A3"/>
    <w:rsid w:val="00B251AA"/>
    <w:rsid w:val="00B257B0"/>
    <w:rsid w:val="00B44C1A"/>
    <w:rsid w:val="00BA1247"/>
    <w:rsid w:val="00BA45AA"/>
    <w:rsid w:val="00BC27FE"/>
    <w:rsid w:val="00BC6B2E"/>
    <w:rsid w:val="00BF1D23"/>
    <w:rsid w:val="00C06D0E"/>
    <w:rsid w:val="00C52830"/>
    <w:rsid w:val="00C56FBC"/>
    <w:rsid w:val="00C8464C"/>
    <w:rsid w:val="00CA1209"/>
    <w:rsid w:val="00D05A45"/>
    <w:rsid w:val="00D15DA6"/>
    <w:rsid w:val="00DA02FB"/>
    <w:rsid w:val="00DC17B6"/>
    <w:rsid w:val="00DD5F00"/>
    <w:rsid w:val="00DE40B9"/>
    <w:rsid w:val="00DE7BDB"/>
    <w:rsid w:val="00E152BE"/>
    <w:rsid w:val="00E23A16"/>
    <w:rsid w:val="00EA140D"/>
    <w:rsid w:val="00F30A97"/>
    <w:rsid w:val="00F341B4"/>
    <w:rsid w:val="00F473CF"/>
    <w:rsid w:val="00F95253"/>
    <w:rsid w:val="00FA09EC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0AD60C4D-9CC0-4887-A4DF-B0C615D1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Заголовок пункта (1.1),h2,h21,5,Reset numbering,222"/>
    <w:basedOn w:val="a"/>
    <w:link w:val="21"/>
    <w:qFormat/>
    <w:rsid w:val="007019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aliases w:val="Заголовок пункта (1.1) Знак,h2 Знак,h21 Знак,5 Знак,Reset numbering Знак,222 Знак"/>
    <w:basedOn w:val="a0"/>
    <w:link w:val="20"/>
    <w:rsid w:val="00701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99"/>
    <w:qFormat/>
    <w:rsid w:val="007019D4"/>
    <w:pPr>
      <w:ind w:left="720"/>
      <w:contextualSpacing/>
    </w:pPr>
  </w:style>
  <w:style w:type="paragraph" w:styleId="a5">
    <w:name w:val="Body Text"/>
    <w:aliases w:val="body text"/>
    <w:basedOn w:val="a"/>
    <w:link w:val="a6"/>
    <w:uiPriority w:val="99"/>
    <w:unhideWhenUsed/>
    <w:rsid w:val="007019D4"/>
    <w:pPr>
      <w:spacing w:after="120"/>
    </w:pPr>
  </w:style>
  <w:style w:type="character" w:customStyle="1" w:styleId="a6">
    <w:name w:val="Основной текст Знак"/>
    <w:aliases w:val="body text Знак"/>
    <w:basedOn w:val="a0"/>
    <w:link w:val="a5"/>
    <w:uiPriority w:val="99"/>
    <w:rsid w:val="0070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7019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01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rsid w:val="007019D4"/>
    <w:pPr>
      <w:suppressAutoHyphens/>
      <w:spacing w:before="120"/>
    </w:pPr>
    <w:rPr>
      <w:rFonts w:ascii="Garamond" w:eastAsia="Batang" w:hAnsi="Garamond" w:cs="Garamond"/>
      <w:b/>
      <w:bCs/>
      <w:lang w:eastAsia="ar-SA"/>
    </w:rPr>
  </w:style>
  <w:style w:type="character" w:customStyle="1" w:styleId="aa">
    <w:name w:val="Тема примечания Знак"/>
    <w:basedOn w:val="a8"/>
    <w:link w:val="a9"/>
    <w:uiPriority w:val="99"/>
    <w:rsid w:val="007019D4"/>
    <w:rPr>
      <w:rFonts w:ascii="Garamond" w:eastAsia="Batang" w:hAnsi="Garamond" w:cs="Garamond"/>
      <w:b/>
      <w:bCs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99"/>
    <w:rsid w:val="007019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locked/>
    <w:rsid w:val="0070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019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19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0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rsid w:val="00B257B0"/>
    <w:pPr>
      <w:keepNext/>
      <w:keepLines/>
      <w:numPr>
        <w:numId w:val="10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11">
    <w:name w:val="Обычный + 11 пт"/>
    <w:aliases w:val="По ширине"/>
    <w:basedOn w:val="a"/>
    <w:uiPriority w:val="99"/>
    <w:rsid w:val="004D3CE0"/>
    <w:pPr>
      <w:numPr>
        <w:ilvl w:val="1"/>
        <w:numId w:val="11"/>
      </w:numPr>
      <w:jc w:val="both"/>
    </w:pPr>
    <w:rPr>
      <w:sz w:val="22"/>
    </w:rPr>
  </w:style>
  <w:style w:type="paragraph" w:customStyle="1" w:styleId="subclauseindent">
    <w:name w:val="subclauseindent"/>
    <w:basedOn w:val="a"/>
    <w:uiPriority w:val="99"/>
    <w:rsid w:val="00B111A3"/>
    <w:pPr>
      <w:spacing w:before="120" w:after="120"/>
      <w:ind w:left="1701"/>
      <w:jc w:val="both"/>
    </w:pPr>
    <w:rPr>
      <w:sz w:val="22"/>
      <w:szCs w:val="20"/>
      <w:lang w:eastAsia="en-US"/>
    </w:rPr>
  </w:style>
  <w:style w:type="character" w:styleId="ae">
    <w:name w:val="annotation reference"/>
    <w:uiPriority w:val="99"/>
    <w:rsid w:val="007A4062"/>
    <w:rPr>
      <w:rFonts w:cs="Times New Roman"/>
      <w:sz w:val="16"/>
    </w:rPr>
  </w:style>
  <w:style w:type="paragraph" w:styleId="af">
    <w:name w:val="Balloon Text"/>
    <w:basedOn w:val="a"/>
    <w:link w:val="af0"/>
    <w:uiPriority w:val="99"/>
    <w:semiHidden/>
    <w:unhideWhenUsed/>
    <w:rsid w:val="007A40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40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8065</Words>
  <Characters>45972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53930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Гирина Марина Владимировна</cp:lastModifiedBy>
  <cp:revision>16</cp:revision>
  <dcterms:created xsi:type="dcterms:W3CDTF">2021-09-21T09:31:00Z</dcterms:created>
  <dcterms:modified xsi:type="dcterms:W3CDTF">2021-09-27T01:42:00Z</dcterms:modified>
</cp:coreProperties>
</file>