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10" w:rsidRDefault="00962910" w:rsidP="008655D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Вопрос 2. Об изменениях, связанных с датой авансового платежа по договорам купли-продажи электрической энергии на территориях субъектов РФ, объединенных в неценовые зоны оптового рынка, в период действия временного регламента</w:t>
      </w:r>
    </w:p>
    <w:p w:rsidR="00962910" w:rsidRDefault="00962910" w:rsidP="008655D5">
      <w:pPr>
        <w:keepNext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Приложение № 2 </w:t>
      </w:r>
    </w:p>
    <w:p w:rsidR="00962910" w:rsidRDefault="00962910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962910" w:rsidRPr="002C04EC">
        <w:tc>
          <w:tcPr>
            <w:tcW w:w="15048" w:type="dxa"/>
          </w:tcPr>
          <w:p w:rsidR="00962910" w:rsidRPr="002C04EC" w:rsidRDefault="00962910">
            <w:pPr>
              <w:keepNext/>
              <w:rPr>
                <w:rFonts w:ascii="Garamond" w:hAnsi="Garamond"/>
              </w:rPr>
            </w:pPr>
            <w:r w:rsidRPr="002C04EC">
              <w:rPr>
                <w:rFonts w:ascii="Garamond" w:hAnsi="Garamond"/>
                <w:b/>
                <w:bCs/>
              </w:rPr>
              <w:t xml:space="preserve">Инициатор: </w:t>
            </w:r>
            <w:r w:rsidRPr="002C04EC">
              <w:rPr>
                <w:rFonts w:ascii="Garamond" w:hAnsi="Garamond"/>
                <w:bCs/>
              </w:rPr>
              <w:t>член Наблюдательного совета Ассоциации «НП Совет рынка» С.В. Лукин.</w:t>
            </w:r>
          </w:p>
          <w:p w:rsidR="00962910" w:rsidRPr="002C04EC" w:rsidRDefault="00962910">
            <w:pPr>
              <w:jc w:val="both"/>
              <w:rPr>
                <w:rFonts w:ascii="Garamond" w:hAnsi="Garamond"/>
              </w:rPr>
            </w:pPr>
            <w:r w:rsidRPr="002C04EC">
              <w:rPr>
                <w:rFonts w:ascii="Garamond" w:hAnsi="Garamond"/>
                <w:b/>
                <w:bCs/>
              </w:rPr>
              <w:t>Обоснование</w:t>
            </w:r>
            <w:r w:rsidRPr="002C04EC">
              <w:rPr>
                <w:rFonts w:ascii="Garamond" w:hAnsi="Garamond"/>
              </w:rPr>
              <w:t xml:space="preserve">: на заседании Наблюдательного совета </w:t>
            </w:r>
            <w:r w:rsidRPr="002C04EC">
              <w:rPr>
                <w:rFonts w:ascii="Garamond" w:hAnsi="Garamond"/>
                <w:bCs/>
              </w:rPr>
              <w:t xml:space="preserve">Ассоциации «НП Совет рынка» </w:t>
            </w:r>
            <w:r w:rsidRPr="002C04EC">
              <w:rPr>
                <w:rFonts w:ascii="Garamond" w:hAnsi="Garamond"/>
              </w:rPr>
              <w:t>27.12.2016 г. были приняты изменения в регламенты ОРЭМ в части введения комиссионной схемы на территориях субъектов Российской Федерации, объединенных в неценовые зоны оптового рынка (далее –</w:t>
            </w:r>
            <w:r>
              <w:rPr>
                <w:rFonts w:ascii="Garamond" w:hAnsi="Garamond"/>
              </w:rPr>
              <w:t xml:space="preserve"> </w:t>
            </w:r>
            <w:r w:rsidRPr="002C04EC">
              <w:rPr>
                <w:rFonts w:ascii="Garamond" w:hAnsi="Garamond"/>
              </w:rPr>
              <w:t xml:space="preserve">НЦЗ), связанной с введением системы финансовых гарантий на территориях НЦЗ. Данные изменения требуют значительной доработки программного обеспечения в части построения матрицы </w:t>
            </w:r>
            <w:r>
              <w:rPr>
                <w:rFonts w:ascii="Garamond" w:hAnsi="Garamond"/>
              </w:rPr>
              <w:t>прикрепления по договорам купли-</w:t>
            </w:r>
            <w:r w:rsidRPr="002C04EC">
              <w:rPr>
                <w:rFonts w:ascii="Garamond" w:hAnsi="Garamond"/>
              </w:rPr>
              <w:t xml:space="preserve">продажи / комиссии НЦЗ и проведению платежей в НЦЗ. </w:t>
            </w:r>
          </w:p>
          <w:p w:rsidR="00962910" w:rsidRPr="002C04EC" w:rsidRDefault="00962910">
            <w:pPr>
              <w:jc w:val="both"/>
              <w:rPr>
                <w:rFonts w:ascii="Garamond" w:hAnsi="Garamond"/>
              </w:rPr>
            </w:pPr>
            <w:r w:rsidRPr="002C04EC">
              <w:rPr>
                <w:rFonts w:ascii="Garamond" w:hAnsi="Garamond"/>
              </w:rPr>
              <w:t>Срок технической реализации изменений был определен как 01.03.2017</w:t>
            </w:r>
            <w:r>
              <w:rPr>
                <w:rFonts w:ascii="Garamond" w:hAnsi="Garamond"/>
              </w:rPr>
              <w:t xml:space="preserve"> </w:t>
            </w:r>
            <w:r w:rsidRPr="002C04EC">
              <w:rPr>
                <w:rFonts w:ascii="Garamond" w:hAnsi="Garamond"/>
              </w:rPr>
              <w:t>г.  Срок передачи доработанного программного обеспечения от АО «АТС» в приемочное тестирование АО «ЦФР» был определен не позднее 13.02.2017</w:t>
            </w:r>
            <w:r>
              <w:rPr>
                <w:rFonts w:ascii="Garamond" w:hAnsi="Garamond"/>
              </w:rPr>
              <w:t xml:space="preserve"> </w:t>
            </w:r>
            <w:r w:rsidRPr="002C04EC">
              <w:rPr>
                <w:rFonts w:ascii="Garamond" w:hAnsi="Garamond"/>
              </w:rPr>
              <w:t>г. В связи с передачей программного обеспечения в приемочное тестирование в АО «ЦФР» с недельным отставанием и с учетом необходимости обеспечения стабильной и корректной работы программного обеспечения по расчетам в НЦЗ, а также снижения рисков проведения некорректных платежей в НЦЗ предлагается перенести дату платежей по ава</w:t>
            </w:r>
            <w:r>
              <w:rPr>
                <w:rFonts w:ascii="Garamond" w:hAnsi="Garamond"/>
              </w:rPr>
              <w:t>нсам по договорам купли-</w:t>
            </w:r>
            <w:r w:rsidRPr="002C04EC">
              <w:rPr>
                <w:rFonts w:ascii="Garamond" w:hAnsi="Garamond"/>
              </w:rPr>
              <w:t>продажи электроэнергии в НЦЗ на 21.03.2017</w:t>
            </w:r>
            <w:r>
              <w:rPr>
                <w:rFonts w:ascii="Garamond" w:hAnsi="Garamond"/>
              </w:rPr>
              <w:t xml:space="preserve"> </w:t>
            </w:r>
            <w:r w:rsidRPr="002C04EC">
              <w:rPr>
                <w:rFonts w:ascii="Garamond" w:hAnsi="Garamond"/>
              </w:rPr>
              <w:t>г.</w:t>
            </w:r>
          </w:p>
          <w:p w:rsidR="00962910" w:rsidRPr="002C04EC" w:rsidRDefault="00962910">
            <w:pPr>
              <w:keepNext/>
              <w:rPr>
                <w:rFonts w:ascii="Garamond" w:hAnsi="Garamond"/>
              </w:rPr>
            </w:pPr>
            <w:r w:rsidRPr="002C04EC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2C04EC">
              <w:rPr>
                <w:rFonts w:ascii="Garamond" w:hAnsi="Garamond"/>
                <w:bCs/>
              </w:rPr>
              <w:t>1 марта 2017 года.</w:t>
            </w:r>
            <w:bookmarkStart w:id="0" w:name="_GoBack"/>
            <w:bookmarkEnd w:id="0"/>
          </w:p>
        </w:tc>
      </w:tr>
    </w:tbl>
    <w:p w:rsidR="00962910" w:rsidRDefault="00962910">
      <w:pPr>
        <w:keepNext/>
        <w:rPr>
          <w:rFonts w:ascii="Garamond" w:hAnsi="Garamond"/>
          <w:b/>
          <w:sz w:val="28"/>
          <w:szCs w:val="28"/>
        </w:rPr>
      </w:pPr>
    </w:p>
    <w:p w:rsidR="00962910" w:rsidRDefault="00962910" w:rsidP="009764B8">
      <w:pPr>
        <w:keepNext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во </w:t>
      </w:r>
      <w:r>
        <w:rPr>
          <w:rFonts w:ascii="Garamond" w:hAnsi="Garamond"/>
          <w:b/>
          <w:bCs/>
          <w:caps/>
          <w:sz w:val="26"/>
          <w:szCs w:val="26"/>
        </w:rPr>
        <w:t xml:space="preserve">ВРЕМЕННЫЙ РЕГЛАМЕНТ ОБЕСПЕЧЕНИЯ ТОРГОВЛИ ЭЛЕКТРИЧЕСКОЙ ЭНЕРГИЕЙ И МОЩНОСТЬЮ НА ОПТОВОМ РЫНКЕ В ЯНВАРЕ – МАРТЕ 2017 ГОДА </w:t>
      </w:r>
      <w:r>
        <w:rPr>
          <w:rFonts w:ascii="Garamond" w:hAnsi="Garamond"/>
          <w:b/>
          <w:bCs/>
          <w:sz w:val="26"/>
          <w:szCs w:val="26"/>
        </w:rPr>
        <w:t>(Приложение № 20 к Договору о присоединении к торговой системе оптового рынка)</w:t>
      </w:r>
    </w:p>
    <w:p w:rsidR="00962910" w:rsidRDefault="00962910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358"/>
        <w:gridCol w:w="7862"/>
      </w:tblGrid>
      <w:tr w:rsidR="00962910" w:rsidRPr="009764B8" w:rsidTr="00440A54">
        <w:trPr>
          <w:trHeight w:val="435"/>
        </w:trPr>
        <w:tc>
          <w:tcPr>
            <w:tcW w:w="1008" w:type="dxa"/>
            <w:vAlign w:val="center"/>
          </w:tcPr>
          <w:p w:rsidR="00962910" w:rsidRPr="009764B8" w:rsidRDefault="0096291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962910" w:rsidRPr="009764B8" w:rsidRDefault="0096291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58" w:type="dxa"/>
            <w:vAlign w:val="center"/>
          </w:tcPr>
          <w:p w:rsidR="00962910" w:rsidRPr="009764B8" w:rsidRDefault="0096291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962910" w:rsidRPr="009764B8" w:rsidRDefault="0096291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862" w:type="dxa"/>
            <w:vAlign w:val="center"/>
          </w:tcPr>
          <w:p w:rsidR="00962910" w:rsidRPr="009764B8" w:rsidRDefault="0096291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962910" w:rsidRPr="009764B8" w:rsidRDefault="00962910">
            <w:pPr>
              <w:jc w:val="center"/>
              <w:rPr>
                <w:rFonts w:ascii="Garamond" w:hAnsi="Garamond" w:cs="Garamond"/>
              </w:rPr>
            </w:pPr>
            <w:r w:rsidRPr="009764B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962910" w:rsidRPr="009764B8" w:rsidTr="00440A54">
        <w:trPr>
          <w:trHeight w:val="982"/>
        </w:trPr>
        <w:tc>
          <w:tcPr>
            <w:tcW w:w="1008" w:type="dxa"/>
            <w:vAlign w:val="center"/>
          </w:tcPr>
          <w:p w:rsidR="00962910" w:rsidRPr="009764B8" w:rsidRDefault="00962910">
            <w:pPr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6358" w:type="dxa"/>
          </w:tcPr>
          <w:p w:rsidR="00962910" w:rsidRPr="009764B8" w:rsidRDefault="00962910">
            <w:pPr>
              <w:pStyle w:val="Heading1"/>
            </w:pPr>
            <w:bookmarkStart w:id="1" w:name="_Toc474328375"/>
            <w:r w:rsidRPr="009764B8">
              <w:t>Порядок взаимодействия между КО, ФСК, ЦФР и Участниками Оптового рынка, функционирующими в неценовых зонах</w:t>
            </w:r>
            <w:bookmarkEnd w:id="1"/>
            <w:r w:rsidRPr="009764B8">
              <w:t xml:space="preserve"> </w:t>
            </w:r>
            <w:bookmarkStart w:id="2" w:name="_Toc437451661"/>
            <w:bookmarkStart w:id="3" w:name="_Toc437451662"/>
            <w:bookmarkStart w:id="4" w:name="_Toc437451663"/>
            <w:bookmarkStart w:id="5" w:name="_Toc437451665"/>
            <w:bookmarkStart w:id="6" w:name="_Toc437451666"/>
            <w:bookmarkStart w:id="7" w:name="_Toc437451667"/>
            <w:bookmarkStart w:id="8" w:name="_Toc437451668"/>
            <w:bookmarkStart w:id="9" w:name="_Toc437451669"/>
            <w:bookmarkStart w:id="10" w:name="_Toc437451670"/>
            <w:bookmarkStart w:id="11" w:name="_Toc129077424"/>
            <w:bookmarkStart w:id="12" w:name="_Toc129088107"/>
            <w:bookmarkStart w:id="13" w:name="_Toc129149600"/>
            <w:bookmarkStart w:id="14" w:name="_Toc129159856"/>
            <w:bookmarkStart w:id="15" w:name="_Toc129164409"/>
            <w:bookmarkStart w:id="16" w:name="_Toc129164777"/>
            <w:bookmarkStart w:id="17" w:name="_Toc127085006"/>
            <w:bookmarkStart w:id="18" w:name="_Toc127090855"/>
            <w:bookmarkStart w:id="19" w:name="_Toc127090893"/>
            <w:bookmarkStart w:id="20" w:name="_Toc128904485"/>
            <w:bookmarkStart w:id="21" w:name="_Toc128913020"/>
            <w:bookmarkStart w:id="22" w:name="_Toc129077444"/>
            <w:bookmarkStart w:id="23" w:name="_Toc129088127"/>
            <w:bookmarkStart w:id="24" w:name="_Toc129149620"/>
            <w:bookmarkStart w:id="25" w:name="_Toc129159876"/>
            <w:bookmarkStart w:id="26" w:name="_Toc129164429"/>
            <w:bookmarkStart w:id="27" w:name="_Toc129164797"/>
            <w:bookmarkStart w:id="28" w:name="_Toc128904486"/>
            <w:bookmarkStart w:id="29" w:name="_Toc128913021"/>
            <w:bookmarkStart w:id="30" w:name="_Toc129077445"/>
            <w:bookmarkStart w:id="31" w:name="_Toc129088128"/>
            <w:bookmarkStart w:id="32" w:name="_Toc129149621"/>
            <w:bookmarkStart w:id="33" w:name="_Toc129159877"/>
            <w:bookmarkStart w:id="34" w:name="_Toc129164430"/>
            <w:bookmarkStart w:id="35" w:name="_Toc129164798"/>
            <w:bookmarkStart w:id="36" w:name="_Toc128904487"/>
            <w:bookmarkStart w:id="37" w:name="_Toc128913022"/>
            <w:bookmarkStart w:id="38" w:name="_Toc129077446"/>
            <w:bookmarkStart w:id="39" w:name="_Toc129088129"/>
            <w:bookmarkStart w:id="40" w:name="_Toc129149622"/>
            <w:bookmarkStart w:id="41" w:name="_Toc129159878"/>
            <w:bookmarkStart w:id="42" w:name="_Toc129164431"/>
            <w:bookmarkStart w:id="43" w:name="_Toc129164799"/>
            <w:bookmarkStart w:id="44" w:name="_Toc312165692"/>
            <w:bookmarkStart w:id="45" w:name="_Toc312165694"/>
            <w:bookmarkStart w:id="46" w:name="_Toc280277276"/>
            <w:bookmarkStart w:id="47" w:name="_Toc437451671"/>
            <w:bookmarkStart w:id="48" w:name="_Toc437451672"/>
            <w:bookmarkStart w:id="49" w:name="_Toc437451673"/>
            <w:bookmarkStart w:id="50" w:name="_Toc437451674"/>
            <w:bookmarkStart w:id="51" w:name="_Toc437451675"/>
            <w:bookmarkStart w:id="52" w:name="_Toc437451676"/>
            <w:bookmarkStart w:id="53" w:name="_Toc437451677"/>
            <w:bookmarkStart w:id="54" w:name="_Toc437451678"/>
            <w:bookmarkStart w:id="55" w:name="_Toc437451679"/>
            <w:bookmarkStart w:id="56" w:name="_Toc437451680"/>
            <w:bookmarkStart w:id="57" w:name="_Toc437451681"/>
            <w:bookmarkStart w:id="58" w:name="_Toc437451682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</w:tc>
        <w:tc>
          <w:tcPr>
            <w:tcW w:w="7862" w:type="dxa"/>
          </w:tcPr>
          <w:p w:rsidR="00962910" w:rsidRPr="009764B8" w:rsidRDefault="00962910">
            <w:pPr>
              <w:pStyle w:val="Heading1"/>
            </w:pPr>
            <w:r w:rsidRPr="009764B8">
              <w:t>Порядок взаимодействия между КО, ФСК, ЦФР и Участниками Оптового рынка, функционирующими в неценовых зонах</w:t>
            </w:r>
          </w:p>
        </w:tc>
      </w:tr>
      <w:tr w:rsidR="00962910" w:rsidRPr="009764B8" w:rsidTr="00440A54">
        <w:trPr>
          <w:trHeight w:val="435"/>
        </w:trPr>
        <w:tc>
          <w:tcPr>
            <w:tcW w:w="1008" w:type="dxa"/>
            <w:vAlign w:val="center"/>
          </w:tcPr>
          <w:p w:rsidR="00962910" w:rsidRPr="009764B8" w:rsidRDefault="00962910">
            <w:pPr>
              <w:rPr>
                <w:rFonts w:ascii="Garamond" w:hAnsi="Garamond" w:cs="Garamond"/>
                <w:b/>
                <w:bCs/>
              </w:rPr>
            </w:pPr>
            <w:r w:rsidRPr="009764B8">
              <w:rPr>
                <w:rFonts w:ascii="Garamond" w:hAnsi="Garamond" w:cs="Garamond"/>
                <w:b/>
                <w:bCs/>
                <w:sz w:val="22"/>
                <w:szCs w:val="22"/>
              </w:rPr>
              <w:t>5.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29.1</w:t>
            </w:r>
          </w:p>
        </w:tc>
        <w:tc>
          <w:tcPr>
            <w:tcW w:w="6358" w:type="dxa"/>
          </w:tcPr>
          <w:p w:rsidR="00962910" w:rsidRPr="009764B8" w:rsidRDefault="00962910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r w:rsidRPr="009764B8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Добавить 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пункт</w:t>
            </w:r>
          </w:p>
        </w:tc>
        <w:tc>
          <w:tcPr>
            <w:tcW w:w="7862" w:type="dxa"/>
          </w:tcPr>
          <w:p w:rsidR="00962910" w:rsidRPr="009764B8" w:rsidRDefault="00962910">
            <w:pPr>
              <w:pStyle w:val="Heading3"/>
              <w:rPr>
                <w:highlight w:val="yellow"/>
              </w:rPr>
            </w:pPr>
            <w:bookmarkStart w:id="59" w:name="_Toc291762163"/>
            <w:bookmarkStart w:id="60" w:name="_Toc474328370"/>
            <w:r w:rsidRPr="009764B8">
              <w:rPr>
                <w:highlight w:val="yellow"/>
              </w:rPr>
              <w:t>Даты платежей по оплате обязательств/требований по договорам купли-продажи электрической энергии на территориях субъектов Российской Федерации, объединенных в неценовые зоны оптового рынка</w:t>
            </w:r>
            <w:bookmarkEnd w:id="59"/>
            <w:bookmarkEnd w:id="60"/>
          </w:p>
          <w:p w:rsidR="00962910" w:rsidRPr="009764B8" w:rsidRDefault="00962910" w:rsidP="009764B8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9764B8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реестрам авансовых обязательств/требований по договорам купли-продажи электрической энергии на территориях субъектов Российской Федерации, объединенных в неценовые зоны оптового рынка, на дату 14 марта 2017 года является 21 марта 2017 года.</w:t>
            </w:r>
          </w:p>
        </w:tc>
      </w:tr>
    </w:tbl>
    <w:p w:rsidR="00962910" w:rsidRDefault="00962910">
      <w:pPr>
        <w:rPr>
          <w:b/>
          <w:sz w:val="22"/>
          <w:szCs w:val="22"/>
        </w:rPr>
      </w:pPr>
    </w:p>
    <w:p w:rsidR="00962910" w:rsidRDefault="00962910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sz w:val="28"/>
          <w:szCs w:val="28"/>
        </w:rPr>
      </w:pPr>
    </w:p>
    <w:sectPr w:rsidR="00962910" w:rsidSect="00565886"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910" w:rsidRDefault="00962910">
      <w:r>
        <w:separator/>
      </w:r>
    </w:p>
  </w:endnote>
  <w:endnote w:type="continuationSeparator" w:id="0">
    <w:p w:rsidR="00962910" w:rsidRDefault="0096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910" w:rsidRDefault="00962910">
      <w:r>
        <w:separator/>
      </w:r>
    </w:p>
  </w:footnote>
  <w:footnote w:type="continuationSeparator" w:id="0">
    <w:p w:rsidR="00962910" w:rsidRDefault="00962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6F156EA"/>
    <w:multiLevelType w:val="multilevel"/>
    <w:tmpl w:val="58B0E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692872B1"/>
    <w:multiLevelType w:val="multilevel"/>
    <w:tmpl w:val="58B0E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15"/>
  </w:num>
  <w:num w:numId="21">
    <w:abstractNumId w:val="11"/>
  </w:num>
  <w:num w:numId="22">
    <w:abstractNumId w:val="9"/>
  </w:num>
  <w:num w:numId="23">
    <w:abstractNumId w:val="12"/>
  </w:num>
  <w:num w:numId="24">
    <w:abstractNumId w:val="2"/>
  </w:num>
  <w:num w:numId="25">
    <w:abstractNumId w:val="18"/>
  </w:num>
  <w:num w:numId="26">
    <w:abstractNumId w:val="0"/>
  </w:num>
  <w:num w:numId="27">
    <w:abstractNumId w:val="7"/>
  </w:num>
  <w:num w:numId="28">
    <w:abstractNumId w:val="1"/>
  </w:num>
  <w:num w:numId="29">
    <w:abstractNumId w:val="13"/>
  </w:num>
  <w:num w:numId="30">
    <w:abstractNumId w:val="10"/>
  </w:num>
  <w:num w:numId="31">
    <w:abstractNumId w:val="4"/>
  </w:num>
  <w:num w:numId="32">
    <w:abstractNumId w:val="8"/>
  </w:num>
  <w:num w:numId="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8"/>
  </w:num>
  <w:num w:numId="37">
    <w:abstractNumId w:val="8"/>
  </w:num>
  <w:num w:numId="38">
    <w:abstractNumId w:val="3"/>
  </w:num>
  <w:num w:numId="39">
    <w:abstractNumId w:val="15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5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5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9EA"/>
    <w:rsid w:val="000A769A"/>
    <w:rsid w:val="00175C05"/>
    <w:rsid w:val="00193287"/>
    <w:rsid w:val="002C04EC"/>
    <w:rsid w:val="0036221E"/>
    <w:rsid w:val="00436B44"/>
    <w:rsid w:val="00440A54"/>
    <w:rsid w:val="005018B8"/>
    <w:rsid w:val="00565886"/>
    <w:rsid w:val="006D7A14"/>
    <w:rsid w:val="007E2706"/>
    <w:rsid w:val="00822A6D"/>
    <w:rsid w:val="008655D5"/>
    <w:rsid w:val="00962910"/>
    <w:rsid w:val="00970587"/>
    <w:rsid w:val="009764B8"/>
    <w:rsid w:val="009A3924"/>
    <w:rsid w:val="009E035A"/>
    <w:rsid w:val="009E4A4B"/>
    <w:rsid w:val="00A83775"/>
    <w:rsid w:val="00AA40D1"/>
    <w:rsid w:val="00AB6851"/>
    <w:rsid w:val="00B37EE1"/>
    <w:rsid w:val="00B77776"/>
    <w:rsid w:val="00BE44DA"/>
    <w:rsid w:val="00EA2C6E"/>
    <w:rsid w:val="00F05315"/>
    <w:rsid w:val="00FB14E7"/>
    <w:rsid w:val="00F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58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565886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565886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58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58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65886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565886"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5886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565886"/>
    <w:rPr>
      <w:rFonts w:ascii="Garamond" w:hAnsi="Garamond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5886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5886"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65886"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">
    <w:name w:val="Знак"/>
    <w:basedOn w:val="Normal"/>
    <w:uiPriority w:val="99"/>
    <w:rsid w:val="005658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565886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565886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6588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886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5658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658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5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5886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5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5886"/>
    <w:rPr>
      <w:b/>
    </w:rPr>
  </w:style>
  <w:style w:type="paragraph" w:styleId="Header">
    <w:name w:val="header"/>
    <w:basedOn w:val="Normal"/>
    <w:link w:val="HeaderChar"/>
    <w:uiPriority w:val="99"/>
    <w:semiHidden/>
    <w:rsid w:val="005658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588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56588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5886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565886"/>
    <w:pPr>
      <w:keepNext/>
      <w:keepLines/>
      <w:numPr>
        <w:numId w:val="27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6588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658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65886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565886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565886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565886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5886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5658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5886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565886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56588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65886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565886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65886"/>
    <w:rPr>
      <w:rFonts w:ascii="Courier New" w:eastAsia="SimSun" w:hAnsi="Courier New" w:cs="Times New Roman"/>
      <w:lang w:val="en-GB" w:eastAsia="zh-CN"/>
    </w:rPr>
  </w:style>
  <w:style w:type="character" w:styleId="Hyperlink">
    <w:name w:val="Hyperlink"/>
    <w:basedOn w:val="DefaultParagraphFont"/>
    <w:uiPriority w:val="99"/>
    <w:rsid w:val="0056588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6588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0">
    <w:name w:val="Обычный текст"/>
    <w:basedOn w:val="Normal"/>
    <w:link w:val="a1"/>
    <w:uiPriority w:val="99"/>
    <w:rsid w:val="00565886"/>
    <w:pPr>
      <w:ind w:firstLine="425"/>
    </w:pPr>
    <w:rPr>
      <w:rFonts w:eastAsia="Arial Unicode MS"/>
      <w:sz w:val="20"/>
      <w:szCs w:val="20"/>
    </w:rPr>
  </w:style>
  <w:style w:type="character" w:customStyle="1" w:styleId="a1">
    <w:name w:val="Обычный текст Знак"/>
    <w:link w:val="a0"/>
    <w:uiPriority w:val="99"/>
    <w:locked/>
    <w:rsid w:val="00565886"/>
    <w:rPr>
      <w:rFonts w:ascii="Times New Roman" w:eastAsia="Arial Unicode MS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381</Words>
  <Characters>2173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17</cp:revision>
  <cp:lastPrinted>2017-01-11T10:20:00Z</cp:lastPrinted>
  <dcterms:created xsi:type="dcterms:W3CDTF">2017-02-21T11:14:00Z</dcterms:created>
  <dcterms:modified xsi:type="dcterms:W3CDTF">2017-02-28T11:47:00Z</dcterms:modified>
</cp:coreProperties>
</file>