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B4" w:rsidRDefault="00BC7A3E" w:rsidP="00E90FCE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X</w:t>
      </w:r>
      <w:r w:rsidRPr="00BC7A3E">
        <w:rPr>
          <w:rFonts w:ascii="Garamond" w:hAnsi="Garamond"/>
          <w:b/>
          <w:sz w:val="28"/>
          <w:szCs w:val="28"/>
        </w:rPr>
        <w:t>.3.</w:t>
      </w:r>
      <w:r w:rsidR="00AE1CAA">
        <w:rPr>
          <w:rFonts w:ascii="Garamond" w:hAnsi="Garamond"/>
          <w:b/>
          <w:sz w:val="28"/>
          <w:szCs w:val="28"/>
        </w:rPr>
        <w:t xml:space="preserve"> Изменения, связанные c </w:t>
      </w:r>
      <w:r w:rsidR="007955D4" w:rsidRPr="007955D4">
        <w:rPr>
          <w:rFonts w:ascii="Garamond" w:hAnsi="Garamond"/>
          <w:b/>
          <w:sz w:val="28"/>
          <w:szCs w:val="28"/>
        </w:rPr>
        <w:t>порядк</w:t>
      </w:r>
      <w:r w:rsidR="007955D4">
        <w:rPr>
          <w:rFonts w:ascii="Garamond" w:hAnsi="Garamond"/>
          <w:b/>
          <w:sz w:val="28"/>
          <w:szCs w:val="28"/>
        </w:rPr>
        <w:t>ом</w:t>
      </w:r>
      <w:r w:rsidR="007955D4" w:rsidRPr="007955D4">
        <w:rPr>
          <w:rFonts w:ascii="Garamond" w:hAnsi="Garamond"/>
          <w:b/>
          <w:sz w:val="28"/>
          <w:szCs w:val="28"/>
        </w:rPr>
        <w:t xml:space="preserve"> контроля исполнения ПАО</w:t>
      </w:r>
      <w:r w:rsidR="00B211B3">
        <w:rPr>
          <w:rFonts w:ascii="Garamond" w:hAnsi="Garamond"/>
          <w:b/>
          <w:sz w:val="28"/>
          <w:szCs w:val="28"/>
        </w:rPr>
        <w:t xml:space="preserve"> «Россети Северный Кавказ» и АО </w:t>
      </w:r>
      <w:r w:rsidR="007955D4" w:rsidRPr="007955D4">
        <w:rPr>
          <w:rFonts w:ascii="Garamond" w:hAnsi="Garamond"/>
          <w:b/>
          <w:sz w:val="28"/>
          <w:szCs w:val="28"/>
        </w:rPr>
        <w:t>«Чеченэнерго» соглашений о порядке исполнения обязательств</w:t>
      </w:r>
    </w:p>
    <w:p w:rsidR="00750AB4" w:rsidRDefault="00750AB4" w:rsidP="00E90FCE">
      <w:pPr>
        <w:widowControl w:val="0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750AB4" w:rsidRDefault="00BC7A3E" w:rsidP="00E90FCE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>Приложение № 10.3</w:t>
      </w:r>
    </w:p>
    <w:p w:rsidR="00750AB4" w:rsidRDefault="00750AB4" w:rsidP="00E90FCE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750AB4" w:rsidTr="00E45FF6">
        <w:trPr>
          <w:trHeight w:val="1013"/>
        </w:trPr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4" w:rsidRDefault="00AE1CAA" w:rsidP="00E90FCE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="00640089" w:rsidRPr="00640089">
              <w:rPr>
                <w:rFonts w:ascii="Garamond" w:eastAsia="Times New Roman" w:hAnsi="Garamond"/>
                <w:sz w:val="24"/>
                <w:szCs w:val="24"/>
                <w:lang w:eastAsia="ru-RU"/>
              </w:rPr>
              <w:t>член Наблюдательного совета Ассоциации «НП Совет рынка» А.</w:t>
            </w:r>
            <w:r w:rsidR="00640089">
              <w:rPr>
                <w:rFonts w:ascii="Garamond" w:eastAsia="Times New Roman" w:hAnsi="Garamond"/>
                <w:sz w:val="24"/>
                <w:szCs w:val="24"/>
                <w:lang w:eastAsia="ru-RU"/>
              </w:rPr>
              <w:t>В</w:t>
            </w:r>
            <w:r w:rsidR="00640089" w:rsidRPr="00640089">
              <w:rPr>
                <w:rFonts w:ascii="Garamond" w:eastAsia="Times New Roman" w:hAnsi="Garamond"/>
                <w:sz w:val="24"/>
                <w:szCs w:val="24"/>
                <w:lang w:eastAsia="ru-RU"/>
              </w:rPr>
              <w:t>.</w:t>
            </w:r>
            <w:r w:rsidR="00640089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Мольский.</w:t>
            </w:r>
          </w:p>
          <w:p w:rsidR="00750AB4" w:rsidRPr="005B0831" w:rsidRDefault="00AE1CAA" w:rsidP="00E90F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>
              <w:rPr>
                <w:rFonts w:ascii="Garamond" w:hAnsi="Garamond"/>
                <w:sz w:val="24"/>
                <w:szCs w:val="24"/>
              </w:rPr>
              <w:t xml:space="preserve">необходимость </w:t>
            </w:r>
            <w:r w:rsidR="005B0831">
              <w:rPr>
                <w:rFonts w:ascii="Garamond" w:hAnsi="Garamond"/>
                <w:sz w:val="24"/>
                <w:szCs w:val="24"/>
              </w:rPr>
              <w:t>определения порядка контроля исполнения</w:t>
            </w:r>
            <w:r>
              <w:rPr>
                <w:rFonts w:ascii="Garamond" w:hAnsi="Garamond"/>
                <w:sz w:val="24"/>
                <w:szCs w:val="24"/>
              </w:rPr>
              <w:t xml:space="preserve"> ПАО «Россети Северный Кавказ» и АО «Чеченэнерго»</w:t>
            </w:r>
            <w:r w:rsidR="005B0831">
              <w:rPr>
                <w:rFonts w:ascii="Garamond" w:hAnsi="Garamond"/>
                <w:sz w:val="24"/>
                <w:szCs w:val="24"/>
              </w:rPr>
              <w:t xml:space="preserve"> соглашений о порядке исполнения обязательств по итогам третьего и четвертого кварталов 2022 года</w:t>
            </w:r>
            <w:r w:rsidR="00E90FCE">
              <w:rPr>
                <w:rFonts w:ascii="Garamond" w:hAnsi="Garamond"/>
                <w:sz w:val="24"/>
                <w:szCs w:val="24"/>
              </w:rPr>
              <w:t>.</w:t>
            </w:r>
            <w:r w:rsidR="007955D4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750AB4" w:rsidRPr="00BC7A3E" w:rsidRDefault="00AE1CAA" w:rsidP="00E90F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C7A3E" w:rsidRPr="00BC7A3E">
              <w:rPr>
                <w:rFonts w:ascii="Garamond" w:hAnsi="Garamond"/>
                <w:sz w:val="24"/>
                <w:szCs w:val="24"/>
              </w:rPr>
              <w:t xml:space="preserve">22 </w:t>
            </w:r>
            <w:r w:rsidR="00BC7A3E">
              <w:rPr>
                <w:rFonts w:ascii="Garamond" w:hAnsi="Garamond"/>
                <w:sz w:val="24"/>
                <w:szCs w:val="24"/>
              </w:rPr>
              <w:t>июня 2022 года.</w:t>
            </w:r>
          </w:p>
        </w:tc>
      </w:tr>
    </w:tbl>
    <w:p w:rsidR="00750AB4" w:rsidRDefault="00750AB4" w:rsidP="00E90FCE">
      <w:pPr>
        <w:spacing w:after="0" w:line="240" w:lineRule="auto"/>
        <w:rPr>
          <w:rFonts w:ascii="Garamond" w:hAnsi="Garamond"/>
        </w:rPr>
      </w:pPr>
    </w:p>
    <w:p w:rsidR="00750AB4" w:rsidRDefault="00AE1CAA" w:rsidP="00E90FCE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750AB4" w:rsidRDefault="00750AB4" w:rsidP="00E90FCE">
      <w:pPr>
        <w:tabs>
          <w:tab w:val="left" w:pos="709"/>
        </w:tabs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6128"/>
        <w:gridCol w:w="7940"/>
      </w:tblGrid>
      <w:tr w:rsidR="00750AB4" w:rsidTr="00E45FF6">
        <w:trPr>
          <w:trHeight w:val="64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0AB4" w:rsidRDefault="00AE1CAA" w:rsidP="00E90FC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750AB4" w:rsidRDefault="00AE1CAA" w:rsidP="00E90FC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4" w:rsidRDefault="00AE1CAA" w:rsidP="00E90FCE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:rsidR="00750AB4" w:rsidRDefault="00AE1CAA" w:rsidP="00E90FCE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вступления в силу изменений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4" w:rsidRDefault="00AE1CAA" w:rsidP="00E90FCE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Предлагаемая редакция</w:t>
            </w:r>
          </w:p>
          <w:p w:rsidR="00750AB4" w:rsidRDefault="00AE1CAA" w:rsidP="00E90FCE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750AB4" w:rsidTr="00E45FF6">
        <w:trPr>
          <w:trHeight w:val="64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0AB4" w:rsidRDefault="00E45FF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18´.24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31" w:rsidRDefault="005B0831" w:rsidP="00E45FF6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5B0831" w:rsidRPr="005B0831" w:rsidRDefault="005B0831" w:rsidP="00E45FF6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5B0831">
              <w:rPr>
                <w:rFonts w:ascii="Garamond" w:hAnsi="Garamond"/>
              </w:rPr>
              <w:t xml:space="preserve">По итогам первого и второго кварталов 2022 года ЦФР фиксирует наступление событий, указанных в подп. 2 настоящего пункта, в случае если </w:t>
            </w:r>
            <w:r w:rsidRPr="005B0831">
              <w:rPr>
                <w:rFonts w:ascii="Garamond" w:hAnsi="Garamond" w:cs="Garamond"/>
              </w:rPr>
              <w:t xml:space="preserve">по информации, учтенной </w:t>
            </w:r>
            <w:r w:rsidRPr="005B0831">
              <w:rPr>
                <w:rFonts w:ascii="Garamond" w:hAnsi="Garamond"/>
              </w:rPr>
              <w:t>по итогам 30.06.2022 и 30.09.2022, у покупателя хотя бы перед одним продавцом, заключившим с ним такое соглашение, по итогам 15.05.2022 и 15.08.2022 (соответственно) имеется задолженность по обязательствам по оплате электрической энергии и (или) мощности за расчетные периоды до окончания первого и второго квартала 2022 года (соответственно) по любому</w:t>
            </w:r>
            <w:r w:rsidRPr="005B0831">
              <w:rPr>
                <w:rFonts w:ascii="Garamond" w:hAnsi="Garamond"/>
                <w:color w:val="000000"/>
              </w:rPr>
              <w:t xml:space="preserve"> из </w:t>
            </w:r>
            <w:r w:rsidRPr="005B0831">
              <w:rPr>
                <w:rFonts w:ascii="Garamond" w:hAnsi="Garamond"/>
              </w:rPr>
              <w:t xml:space="preserve">заключаемых в соответствии с </w:t>
            </w:r>
            <w:r w:rsidRPr="005B0831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5B0831">
              <w:rPr>
                <w:rFonts w:ascii="Garamond" w:hAnsi="Garamond"/>
              </w:rPr>
              <w:t xml:space="preserve"> договоров,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 перед продавцом, заключившим такое соглашение на условиях варианта 1 (Оплата векселями) приложения 2 к соглашению, в отношении которой до последнего рабочего дня соответствующего квартала (включительно) не были заключены договоры уступки прав (цессии) в соответствии с разделом 14 настоящего Регламента.</w:t>
            </w:r>
          </w:p>
          <w:p w:rsidR="00750AB4" w:rsidRDefault="00AE1CAA" w:rsidP="00E45FF6">
            <w:pPr>
              <w:pStyle w:val="a5"/>
              <w:ind w:firstLine="567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lastRenderedPageBreak/>
              <w:t>…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831" w:rsidRDefault="00AE1CAA" w:rsidP="00E45FF6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</w:t>
            </w:r>
          </w:p>
          <w:p w:rsidR="005B0831" w:rsidRPr="005B0831" w:rsidRDefault="005B0831" w:rsidP="00E45FF6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5B0831">
              <w:rPr>
                <w:rFonts w:ascii="Garamond" w:hAnsi="Garamond"/>
              </w:rPr>
              <w:t xml:space="preserve">По итогам первого и второго кварталов 2022 года ЦФР фиксирует наступление событий, указанных в подп. 2 настоящего пункта, в случае если </w:t>
            </w:r>
            <w:r w:rsidRPr="005B0831">
              <w:rPr>
                <w:rFonts w:ascii="Garamond" w:hAnsi="Garamond" w:cs="Garamond"/>
              </w:rPr>
              <w:t xml:space="preserve">по информации, учтенной </w:t>
            </w:r>
            <w:r w:rsidRPr="005B0831">
              <w:rPr>
                <w:rFonts w:ascii="Garamond" w:hAnsi="Garamond"/>
              </w:rPr>
              <w:t>по итогам 30.06.2022 и 30.09.2022, у покупателя хотя бы перед одним продавцом, заключившим с ним такое соглашение, по итогам 15.05.2022 и 15.08.2022 (соответственно) имеется задолженность по обязательствам по оплате электрической энергии и (или) мощности за расчетные периоды до окончания первого и второго квартала 2022 года (соответственно) по любому</w:t>
            </w:r>
            <w:r w:rsidRPr="005B0831">
              <w:rPr>
                <w:rFonts w:ascii="Garamond" w:hAnsi="Garamond"/>
                <w:color w:val="000000"/>
              </w:rPr>
              <w:t xml:space="preserve"> из </w:t>
            </w:r>
            <w:r w:rsidRPr="005B0831">
              <w:rPr>
                <w:rFonts w:ascii="Garamond" w:hAnsi="Garamond"/>
              </w:rPr>
              <w:t xml:space="preserve">заключаемых в соответствии с </w:t>
            </w:r>
            <w:r w:rsidRPr="005B0831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5B0831">
              <w:rPr>
                <w:rFonts w:ascii="Garamond" w:hAnsi="Garamond"/>
              </w:rPr>
              <w:t xml:space="preserve"> договоров,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 перед продавцом, заключившим такое соглашение на условиях варианта 1 (Оплата векселями) приложения 2 к соглашению, в отношении которой до последнего рабочего дня соответствующего квартала (включительно) не были заключены договоры уступки прав (цессии) в соответствии с разделом 14 настоящего Регламента.</w:t>
            </w:r>
          </w:p>
          <w:p w:rsidR="005B0831" w:rsidRPr="005B0831" w:rsidRDefault="005B0831" w:rsidP="00E45FF6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5B0831">
              <w:rPr>
                <w:rFonts w:ascii="Garamond" w:hAnsi="Garamond"/>
                <w:highlight w:val="yellow"/>
              </w:rPr>
              <w:t xml:space="preserve">По итогам третьего и четвертого кварталов 2022 года ЦФР фиксирует наступление событий, указанных в подп. 2 настоящего пункта, в случае если </w:t>
            </w:r>
            <w:r w:rsidRPr="005B0831">
              <w:rPr>
                <w:rFonts w:ascii="Garamond" w:hAnsi="Garamond" w:cs="Garamond"/>
                <w:highlight w:val="yellow"/>
              </w:rPr>
              <w:t xml:space="preserve">по информации, учтенной </w:t>
            </w:r>
            <w:r w:rsidR="00EA6E0F">
              <w:rPr>
                <w:rFonts w:ascii="Garamond" w:hAnsi="Garamond"/>
                <w:highlight w:val="yellow"/>
              </w:rPr>
              <w:t>по итогам 30.12.2022 и 31</w:t>
            </w:r>
            <w:bookmarkStart w:id="0" w:name="_GoBack"/>
            <w:bookmarkEnd w:id="0"/>
            <w:r w:rsidRPr="005B0831">
              <w:rPr>
                <w:rFonts w:ascii="Garamond" w:hAnsi="Garamond"/>
                <w:highlight w:val="yellow"/>
              </w:rPr>
              <w:t xml:space="preserve">.03.2023, у покупателя хотя бы перед одним продавцом, заключившим с ним такое соглашение, по итогам 15.11.2022 и 15.02.2023 (соответственно) имеется задолженность по обязательствам по оплате электрической энергии и (или) мощности за расчетные периоды до окончания </w:t>
            </w:r>
            <w:r w:rsidRPr="005B0831">
              <w:rPr>
                <w:rFonts w:ascii="Garamond" w:hAnsi="Garamond"/>
                <w:highlight w:val="yellow"/>
              </w:rPr>
              <w:lastRenderedPageBreak/>
              <w:t>третьего и четвертого квартала 2022 года (соответственно) по любому</w:t>
            </w:r>
            <w:r w:rsidRPr="005B0831">
              <w:rPr>
                <w:rFonts w:ascii="Garamond" w:hAnsi="Garamond"/>
                <w:color w:val="000000"/>
                <w:highlight w:val="yellow"/>
              </w:rPr>
              <w:t xml:space="preserve"> из </w:t>
            </w:r>
            <w:r w:rsidRPr="005B0831">
              <w:rPr>
                <w:rFonts w:ascii="Garamond" w:hAnsi="Garamond"/>
                <w:highlight w:val="yellow"/>
              </w:rPr>
              <w:t xml:space="preserve">заключаемых в соответствии с </w:t>
            </w:r>
            <w:r w:rsidRPr="005B0831">
              <w:rPr>
                <w:rFonts w:ascii="Garamond" w:hAnsi="Garamond"/>
                <w:i/>
                <w:highlight w:val="yellow"/>
              </w:rPr>
              <w:t>Договором о присоединении к торговой системе оптового рынка</w:t>
            </w:r>
            <w:r w:rsidRPr="005B0831">
              <w:rPr>
                <w:rFonts w:ascii="Garamond" w:hAnsi="Garamond"/>
                <w:highlight w:val="yellow"/>
              </w:rPr>
              <w:t xml:space="preserve"> договоров,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 перед продавцом, заключившим такое соглашение на условиях варианта 1 (Оплата векселями) приложения 2 к соглашению, в отношении которой до последнего рабочего дня соответствующего квартала (включительно) не были заключены договоры уступки прав (цессии) в соответствии с разделом 14 настоящего Регламента.</w:t>
            </w:r>
          </w:p>
          <w:p w:rsidR="00750AB4" w:rsidRDefault="005B0831" w:rsidP="00E45FF6">
            <w:pPr>
              <w:pStyle w:val="a5"/>
              <w:ind w:firstLine="567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lang w:val="ru-RU"/>
              </w:rPr>
              <w:t>…</w:t>
            </w:r>
          </w:p>
        </w:tc>
      </w:tr>
    </w:tbl>
    <w:p w:rsidR="00750AB4" w:rsidRDefault="00750AB4">
      <w:pPr>
        <w:spacing w:after="0" w:line="240" w:lineRule="auto"/>
      </w:pPr>
    </w:p>
    <w:p w:rsidR="00750AB4" w:rsidRDefault="00750AB4">
      <w:pPr>
        <w:rPr>
          <w:rFonts w:ascii="Garamond" w:hAnsi="Garamond"/>
          <w:b/>
        </w:rPr>
      </w:pPr>
    </w:p>
    <w:p w:rsidR="00750AB4" w:rsidRDefault="00750AB4">
      <w:pPr>
        <w:rPr>
          <w:rFonts w:ascii="Garamond" w:hAnsi="Garamond"/>
          <w:b/>
        </w:rPr>
      </w:pPr>
    </w:p>
    <w:p w:rsidR="00750AB4" w:rsidRDefault="00750AB4">
      <w:pPr>
        <w:rPr>
          <w:rFonts w:ascii="Garamond" w:hAnsi="Garamond"/>
          <w:b/>
        </w:rPr>
      </w:pPr>
    </w:p>
    <w:sectPr w:rsidR="00750AB4" w:rsidSect="00037F34">
      <w:pgSz w:w="16838" w:h="11906" w:orient="landscape"/>
      <w:pgMar w:top="1276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3C8" w:rsidRDefault="00A423C8">
      <w:pPr>
        <w:spacing w:after="0" w:line="240" w:lineRule="auto"/>
      </w:pPr>
      <w:r>
        <w:separator/>
      </w:r>
    </w:p>
  </w:endnote>
  <w:endnote w:type="continuationSeparator" w:id="0">
    <w:p w:rsidR="00A423C8" w:rsidRDefault="00A4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3C8" w:rsidRDefault="00A423C8">
      <w:pPr>
        <w:spacing w:after="0" w:line="240" w:lineRule="auto"/>
      </w:pPr>
      <w:r>
        <w:separator/>
      </w:r>
    </w:p>
  </w:footnote>
  <w:footnote w:type="continuationSeparator" w:id="0">
    <w:p w:rsidR="00A423C8" w:rsidRDefault="00A42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083"/>
    <w:multiLevelType w:val="hybridMultilevel"/>
    <w:tmpl w:val="72F6EA7E"/>
    <w:lvl w:ilvl="0" w:tplc="6E984F1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27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1FED6C5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80F7E27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A26489"/>
    <w:multiLevelType w:val="hybridMultilevel"/>
    <w:tmpl w:val="642C69B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40914ED4"/>
    <w:multiLevelType w:val="hybridMultilevel"/>
    <w:tmpl w:val="8DB27BE2"/>
    <w:lvl w:ilvl="0" w:tplc="8E0CF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B27BE4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51042A0"/>
    <w:multiLevelType w:val="hybridMultilevel"/>
    <w:tmpl w:val="66E4A8D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812DB"/>
    <w:multiLevelType w:val="hybridMultilevel"/>
    <w:tmpl w:val="14B4B6E8"/>
    <w:lvl w:ilvl="0" w:tplc="3124BE6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E346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8C233C7"/>
    <w:multiLevelType w:val="hybridMultilevel"/>
    <w:tmpl w:val="178A76A8"/>
    <w:lvl w:ilvl="0" w:tplc="C6DC5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B545C"/>
    <w:multiLevelType w:val="multilevel"/>
    <w:tmpl w:val="1090A3FC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4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9" w15:restartNumberingAfterBreak="0">
    <w:nsid w:val="71F93A8A"/>
    <w:multiLevelType w:val="hybridMultilevel"/>
    <w:tmpl w:val="1A2C8FCE"/>
    <w:lvl w:ilvl="0" w:tplc="FFFFFFFF">
      <w:start w:val="2"/>
      <w:numFmt w:val="bullet"/>
      <w:lvlText w:val="−"/>
      <w:lvlJc w:val="left"/>
      <w:pPr>
        <w:ind w:left="1321" w:hanging="360"/>
      </w:pPr>
      <w:rPr>
        <w:rFonts w:ascii="Garamond" w:hAnsi="Garamond" w:cs="Wingdings" w:hint="default"/>
        <w:b w:val="0"/>
        <w:i w:val="0"/>
        <w:sz w:val="28"/>
        <w:szCs w:val="28"/>
        <w:u w:val="none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 w15:restartNumberingAfterBreak="0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4669C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A36C1C"/>
    <w:multiLevelType w:val="hybridMultilevel"/>
    <w:tmpl w:val="9A04FBC4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16"/>
  </w:num>
  <w:num w:numId="5">
    <w:abstractNumId w:val="5"/>
  </w:num>
  <w:num w:numId="6">
    <w:abstractNumId w:val="3"/>
  </w:num>
  <w:num w:numId="7">
    <w:abstractNumId w:val="17"/>
  </w:num>
  <w:num w:numId="8">
    <w:abstractNumId w:val="15"/>
  </w:num>
  <w:num w:numId="9">
    <w:abstractNumId w:val="20"/>
  </w:num>
  <w:num w:numId="10">
    <w:abstractNumId w:val="14"/>
  </w:num>
  <w:num w:numId="11">
    <w:abstractNumId w:val="8"/>
  </w:num>
  <w:num w:numId="12">
    <w:abstractNumId w:val="1"/>
  </w:num>
  <w:num w:numId="13">
    <w:abstractNumId w:val="18"/>
  </w:num>
  <w:num w:numId="14">
    <w:abstractNumId w:val="9"/>
  </w:num>
  <w:num w:numId="15">
    <w:abstractNumId w:val="13"/>
  </w:num>
  <w:num w:numId="16">
    <w:abstractNumId w:val="6"/>
  </w:num>
  <w:num w:numId="17">
    <w:abstractNumId w:val="2"/>
  </w:num>
  <w:num w:numId="18">
    <w:abstractNumId w:val="7"/>
  </w:num>
  <w:num w:numId="19">
    <w:abstractNumId w:val="22"/>
  </w:num>
  <w:num w:numId="20">
    <w:abstractNumId w:val="0"/>
  </w:num>
  <w:num w:numId="21">
    <w:abstractNumId w:val="12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B4"/>
    <w:rsid w:val="00037F34"/>
    <w:rsid w:val="003241FE"/>
    <w:rsid w:val="00337AB0"/>
    <w:rsid w:val="004D0AD4"/>
    <w:rsid w:val="005B0831"/>
    <w:rsid w:val="00607EC5"/>
    <w:rsid w:val="00640089"/>
    <w:rsid w:val="006B45FF"/>
    <w:rsid w:val="00750AB4"/>
    <w:rsid w:val="00775BF7"/>
    <w:rsid w:val="007955D4"/>
    <w:rsid w:val="00A423C8"/>
    <w:rsid w:val="00AE1CAA"/>
    <w:rsid w:val="00AF7FBF"/>
    <w:rsid w:val="00B211B3"/>
    <w:rsid w:val="00BC7A3E"/>
    <w:rsid w:val="00E45FF6"/>
    <w:rsid w:val="00E724DA"/>
    <w:rsid w:val="00E90FCE"/>
    <w:rsid w:val="00EA16E5"/>
    <w:rsid w:val="00E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29C0"/>
  <w15:chartTrackingRefBased/>
  <w15:docId w15:val="{18750489-470E-4C71-B546-6C0E9449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1"/>
    <w:autoRedefine/>
    <w:qFormat/>
    <w:pPr>
      <w:widowControl w:val="0"/>
      <w:spacing w:before="120" w:after="120" w:line="240" w:lineRule="auto"/>
      <w:ind w:firstLine="567"/>
      <w:jc w:val="both"/>
      <w:outlineLvl w:val="2"/>
    </w:pPr>
    <w:rPr>
      <w:rFonts w:ascii="Garamond" w:eastAsia="Times New Roman" w:hAnsi="Garamond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link w:val="a4"/>
    <w:uiPriority w:val="34"/>
    <w:qFormat/>
    <w:pPr>
      <w:spacing w:before="180" w:after="60" w:line="240" w:lineRule="auto"/>
      <w:ind w:left="720"/>
      <w:contextualSpacing/>
    </w:pPr>
    <w:rPr>
      <w:rFonts w:ascii="Garamond" w:eastAsia="Times New Roman" w:hAnsi="Garamond"/>
      <w:szCs w:val="20"/>
      <w:lang w:val="en-GB"/>
    </w:rPr>
  </w:style>
  <w:style w:type="paragraph" w:styleId="a5">
    <w:name w:val="Body Text"/>
    <w:aliases w:val="body text"/>
    <w:basedOn w:val="a"/>
    <w:link w:val="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6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character" w:customStyle="1" w:styleId="1">
    <w:name w:val="Основной текст Знак1"/>
    <w:aliases w:val="body text Знак"/>
    <w:link w:val="a5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11">
    <w:name w:val="Обычный + 11 пт"/>
    <w:aliases w:val="По ширине"/>
    <w:basedOn w:val="a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31">
    <w:name w:val="Заголовок 3 Знак1"/>
    <w:aliases w:val="H3 Знак,Заголовок подпукта (1.1.1) Знак,Level 1 - 1 Знак,o Знак"/>
    <w:link w:val="3"/>
    <w:locked/>
    <w:rPr>
      <w:rFonts w:ascii="Garamond" w:eastAsia="Times New Roman" w:hAnsi="Garamond" w:cs="Times New Roman"/>
      <w:b/>
      <w:color w:val="000000"/>
    </w:rPr>
  </w:style>
  <w:style w:type="character" w:customStyle="1" w:styleId="a4">
    <w:name w:val="Абзац списка Знак"/>
    <w:link w:val="a3"/>
    <w:uiPriority w:val="34"/>
    <w:rPr>
      <w:rFonts w:ascii="Garamond" w:eastAsia="Times New Roman" w:hAnsi="Garamond" w:cs="Times New Roman"/>
      <w:szCs w:val="20"/>
      <w:lang w:val="en-GB"/>
    </w:rPr>
  </w:style>
  <w:style w:type="character" w:customStyle="1" w:styleId="a7">
    <w:name w:val="Основной текст_"/>
    <w:basedOn w:val="a0"/>
    <w:link w:val="1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7"/>
    <w:pPr>
      <w:widowControl w:val="0"/>
      <w:spacing w:after="0" w:line="283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pPr>
      <w:spacing w:after="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Garamond" w:eastAsia="Times New Roman" w:hAnsi="Garamond" w:cs="Times New Roman"/>
      <w:sz w:val="20"/>
      <w:szCs w:val="20"/>
      <w:lang w:val="en-GB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1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3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герой</dc:creator>
  <cp:keywords/>
  <dc:description/>
  <cp:lastModifiedBy>Салмина Екатерина Михайловна</cp:lastModifiedBy>
  <cp:revision>9</cp:revision>
  <dcterms:created xsi:type="dcterms:W3CDTF">2022-06-20T14:20:00Z</dcterms:created>
  <dcterms:modified xsi:type="dcterms:W3CDTF">2022-06-22T13:13:00Z</dcterms:modified>
</cp:coreProperties>
</file>