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D2" w:rsidRDefault="008135D2" w:rsidP="00853386">
      <w:pPr>
        <w:rPr>
          <w:rFonts w:ascii="Garamond" w:hAnsi="Garamond"/>
          <w:b/>
          <w:bCs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bCs/>
          <w:sz w:val="28"/>
          <w:szCs w:val="28"/>
          <w:lang w:val="en-US"/>
        </w:rPr>
        <w:t>V</w:t>
      </w:r>
      <w:r>
        <w:rPr>
          <w:rFonts w:ascii="Garamond" w:hAnsi="Garamond"/>
          <w:b/>
          <w:bCs/>
          <w:sz w:val="28"/>
          <w:szCs w:val="28"/>
        </w:rPr>
        <w:t>.</w:t>
      </w:r>
      <w:r w:rsidRPr="008C1907">
        <w:rPr>
          <w:rFonts w:ascii="Garamond" w:hAnsi="Garamond"/>
          <w:b/>
          <w:bCs/>
          <w:sz w:val="28"/>
          <w:szCs w:val="28"/>
        </w:rPr>
        <w:t>5</w:t>
      </w:r>
      <w:r>
        <w:rPr>
          <w:rFonts w:ascii="Garamond" w:hAnsi="Garamond"/>
          <w:b/>
          <w:bCs/>
          <w:sz w:val="28"/>
          <w:szCs w:val="28"/>
        </w:rPr>
        <w:t>. Изменения, связанные с приведением в соответствие порядка расчетов на оптовом рынке нормам законодательства о банкротстве</w:t>
      </w:r>
    </w:p>
    <w:p w:rsidR="008135D2" w:rsidRDefault="008135D2">
      <w:pPr>
        <w:keepNext/>
        <w:rPr>
          <w:rFonts w:ascii="Garamond" w:hAnsi="Garamond"/>
          <w:b/>
          <w:bCs/>
          <w:sz w:val="28"/>
          <w:szCs w:val="28"/>
        </w:rPr>
      </w:pPr>
    </w:p>
    <w:p w:rsidR="008135D2" w:rsidRPr="008C1907" w:rsidRDefault="008135D2">
      <w:pPr>
        <w:widowControl w:val="0"/>
        <w:jc w:val="right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bCs/>
          <w:sz w:val="28"/>
          <w:szCs w:val="28"/>
        </w:rPr>
        <w:t xml:space="preserve">Приложение № </w:t>
      </w:r>
      <w:r>
        <w:rPr>
          <w:rFonts w:ascii="Garamond" w:hAnsi="Garamond"/>
          <w:b/>
          <w:bCs/>
          <w:sz w:val="28"/>
          <w:szCs w:val="28"/>
          <w:lang w:val="en-US"/>
        </w:rPr>
        <w:t>5.5</w:t>
      </w:r>
    </w:p>
    <w:p w:rsidR="008135D2" w:rsidRDefault="008135D2">
      <w:pPr>
        <w:rPr>
          <w:rFonts w:ascii="Garamond" w:hAnsi="Garamond"/>
          <w:b/>
          <w:bCs/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48"/>
      </w:tblGrid>
      <w:tr w:rsidR="008135D2">
        <w:tc>
          <w:tcPr>
            <w:tcW w:w="15048" w:type="dxa"/>
          </w:tcPr>
          <w:p w:rsidR="008135D2" w:rsidRDefault="008135D2">
            <w:pPr>
              <w:keepNext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Инициатор: </w:t>
            </w:r>
            <w:r>
              <w:rPr>
                <w:rFonts w:ascii="Garamond" w:hAnsi="Garamond"/>
                <w:bCs/>
              </w:rPr>
              <w:t>АО «ЦФР».</w:t>
            </w:r>
          </w:p>
          <w:p w:rsidR="008135D2" w:rsidRPr="00853386" w:rsidRDefault="008135D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Обоснование</w:t>
            </w:r>
            <w:r>
              <w:rPr>
                <w:rFonts w:ascii="Garamond" w:hAnsi="Garamond"/>
                <w:b/>
              </w:rPr>
              <w:t xml:space="preserve">: </w:t>
            </w:r>
            <w:r>
              <w:rPr>
                <w:rFonts w:ascii="Garamond" w:hAnsi="Garamond"/>
              </w:rPr>
              <w:t xml:space="preserve">особенности расчета неустойки (пени) за нарушение сроков исполнения обязательств в процедурах банкротства установлены </w:t>
            </w:r>
            <w:r w:rsidRPr="00853386">
              <w:rPr>
                <w:rFonts w:ascii="Garamond" w:hAnsi="Garamond"/>
              </w:rPr>
              <w:t>Федеральным законом от 26.10.2002 №</w:t>
            </w:r>
            <w:r>
              <w:rPr>
                <w:rFonts w:ascii="Garamond" w:hAnsi="Garamond"/>
              </w:rPr>
              <w:t xml:space="preserve"> </w:t>
            </w:r>
            <w:r w:rsidRPr="00853386">
              <w:rPr>
                <w:rFonts w:ascii="Garamond" w:hAnsi="Garamond"/>
              </w:rPr>
              <w:t>127-ФЗ «О несостоятельности (банкротстве)».</w:t>
            </w:r>
            <w:r>
              <w:rPr>
                <w:rFonts w:ascii="Garamond" w:hAnsi="Garamond"/>
              </w:rPr>
              <w:t xml:space="preserve"> На текущий момент порядок, описанный в Регламенте финансовых расчетов на оптовом рынке электроэнергии, не устанавливает норму, в соответствии с которой </w:t>
            </w:r>
            <w:r w:rsidRPr="00853386">
              <w:rPr>
                <w:rFonts w:ascii="Garamond" w:hAnsi="Garamond"/>
              </w:rPr>
              <w:t xml:space="preserve">ЦФР не рассчитывает неустойку (пени) за нарушение участником оптового рынка, в отношении которого возбуждено дело о банкротстве и введена процедура наблюдения, сроков исполнения конкурсных обязательств. Предлагается привести нормы </w:t>
            </w:r>
            <w:r>
              <w:rPr>
                <w:rFonts w:ascii="Garamond" w:hAnsi="Garamond"/>
              </w:rPr>
              <w:t>данного р</w:t>
            </w:r>
            <w:r w:rsidRPr="00853386">
              <w:rPr>
                <w:rFonts w:ascii="Garamond" w:hAnsi="Garamond"/>
              </w:rPr>
              <w:t>егламента в соответствие с вышеуказанным законом.</w:t>
            </w:r>
          </w:p>
          <w:p w:rsidR="008135D2" w:rsidRPr="008C1907" w:rsidRDefault="008135D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Дата вступления в силу:</w:t>
            </w:r>
            <w:r>
              <w:rPr>
                <w:rFonts w:ascii="Garamond" w:hAnsi="Garamond"/>
                <w:bCs/>
              </w:rPr>
              <w:t xml:space="preserve"> 1 сентября 2016 года</w:t>
            </w:r>
            <w:r w:rsidRPr="008C1907">
              <w:rPr>
                <w:rFonts w:ascii="Garamond" w:hAnsi="Garamond"/>
                <w:bCs/>
              </w:rPr>
              <w:t>.</w:t>
            </w:r>
          </w:p>
        </w:tc>
      </w:tr>
    </w:tbl>
    <w:p w:rsidR="008135D2" w:rsidRDefault="008135D2">
      <w:pPr>
        <w:rPr>
          <w:rFonts w:ascii="Garamond" w:hAnsi="Garamond"/>
          <w:b/>
          <w:bCs/>
          <w:sz w:val="28"/>
          <w:szCs w:val="28"/>
        </w:rPr>
      </w:pPr>
    </w:p>
    <w:p w:rsidR="008135D2" w:rsidRDefault="008135D2">
      <w:pPr>
        <w:widowControl w:val="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bookmarkStart w:id="1" w:name="_Toc127160990"/>
      <w:bookmarkStart w:id="2" w:name="_Toc129088044"/>
      <w:bookmarkStart w:id="3" w:name="_Toc128912958"/>
      <w:bookmarkStart w:id="4" w:name="_Toc129149530"/>
      <w:bookmarkStart w:id="5" w:name="_Toc305579057"/>
      <w:r>
        <w:rPr>
          <w:rFonts w:ascii="Garamond" w:hAnsi="Garamond"/>
          <w:b/>
          <w:sz w:val="26"/>
          <w:szCs w:val="26"/>
        </w:rPr>
        <w:t>РЕГЛАМЕНТ ФИНАНСОВЫХ РАСЧЕТОВ НА ОПТОВОМ РЫНКЕ ЭЛЕКТРОЭНЕРГИИ</w:t>
      </w:r>
      <w:bookmarkEnd w:id="1"/>
      <w:bookmarkEnd w:id="2"/>
      <w:bookmarkEnd w:id="3"/>
      <w:bookmarkEnd w:id="4"/>
      <w:bookmarkEnd w:id="5"/>
      <w:r>
        <w:rPr>
          <w:rFonts w:ascii="Garamond" w:hAnsi="Garamond"/>
          <w:b/>
          <w:sz w:val="26"/>
          <w:szCs w:val="26"/>
        </w:rPr>
        <w:t xml:space="preserve"> (Приложение № 16 к Договору о присоединении к торговой системе оптового рынка)</w:t>
      </w:r>
    </w:p>
    <w:p w:rsidR="008135D2" w:rsidRDefault="008135D2">
      <w:pPr>
        <w:rPr>
          <w:rFonts w:ascii="Garamond" w:hAnsi="Garamond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6"/>
        <w:gridCol w:w="6989"/>
        <w:gridCol w:w="6989"/>
      </w:tblGrid>
      <w:tr w:rsidR="008135D2">
        <w:trPr>
          <w:trHeight w:val="435"/>
        </w:trPr>
        <w:tc>
          <w:tcPr>
            <w:tcW w:w="896" w:type="dxa"/>
            <w:vAlign w:val="center"/>
          </w:tcPr>
          <w:p w:rsidR="008135D2" w:rsidRDefault="008135D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8135D2" w:rsidRDefault="008135D2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989" w:type="dxa"/>
            <w:vAlign w:val="center"/>
          </w:tcPr>
          <w:p w:rsidR="008135D2" w:rsidRDefault="008135D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8135D2" w:rsidRDefault="008135D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89" w:type="dxa"/>
            <w:vAlign w:val="center"/>
          </w:tcPr>
          <w:p w:rsidR="008135D2" w:rsidRDefault="008135D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Предлагаемые изменения</w:t>
            </w:r>
          </w:p>
          <w:p w:rsidR="008135D2" w:rsidRDefault="008135D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8135D2">
        <w:trPr>
          <w:trHeight w:val="435"/>
        </w:trPr>
        <w:tc>
          <w:tcPr>
            <w:tcW w:w="896" w:type="dxa"/>
            <w:vAlign w:val="center"/>
          </w:tcPr>
          <w:p w:rsidR="008135D2" w:rsidRDefault="008135D2" w:rsidP="00853386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12.5</w:t>
            </w:r>
          </w:p>
        </w:tc>
        <w:tc>
          <w:tcPr>
            <w:tcW w:w="6989" w:type="dxa"/>
          </w:tcPr>
          <w:p w:rsidR="008135D2" w:rsidRDefault="008135D2">
            <w:pPr>
              <w:pStyle w:val="Heading3"/>
            </w:pPr>
            <w:r>
              <w:t>Особенности расчета неустойки (пени)</w:t>
            </w:r>
          </w:p>
          <w:p w:rsidR="008135D2" w:rsidRDefault="008135D2">
            <w:pPr>
              <w:spacing w:after="120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Неустойка (пени) не рассчитывается за нарушение участником оптового рынка, ФСК срока (сроков) исполнения обязательств, перечисленных в пункте 12.1 настоящего Регламента, при наличии перечисленных ниже особенностей.</w:t>
            </w:r>
          </w:p>
          <w:p w:rsidR="008135D2" w:rsidRDefault="008135D2">
            <w:pPr>
              <w:pStyle w:val="Heading3"/>
            </w:pPr>
            <w:r>
              <w:t>…</w:t>
            </w:r>
          </w:p>
          <w:p w:rsidR="008135D2" w:rsidRDefault="008135D2">
            <w:pPr>
              <w:spacing w:after="120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2) Расчет неустойки (пени) </w:t>
            </w:r>
            <w:r>
              <w:rPr>
                <w:rFonts w:ascii="Garamond" w:hAnsi="Garamond"/>
                <w:spacing w:val="1"/>
                <w:sz w:val="22"/>
                <w:szCs w:val="22"/>
              </w:rPr>
              <w:t>за нарушение сроков исполнения обязательств</w:t>
            </w:r>
            <w:r>
              <w:rPr>
                <w:rFonts w:ascii="Garamond" w:hAnsi="Garamond"/>
                <w:sz w:val="22"/>
                <w:szCs w:val="22"/>
              </w:rPr>
              <w:t xml:space="preserve"> участниками оптового рынка, в отношении которых возбуждено дело о банкротстве и введена одна из процедур банкротства, осуществляется в соответствии с разделом 21 настоящего Регламента.</w:t>
            </w:r>
          </w:p>
          <w:p w:rsidR="008135D2" w:rsidRDefault="008135D2">
            <w:pPr>
              <w:spacing w:after="120"/>
              <w:ind w:firstLine="54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ЦФР не рассчитывает неустойку (пени) за нарушение участником-банкротом, в отношении которого введена процедура финансового оздоровления или внешнего управления, сроков исполнения конкурсных обязательств.</w:t>
            </w:r>
          </w:p>
          <w:p w:rsidR="008135D2" w:rsidRDefault="008135D2">
            <w:pPr>
              <w:spacing w:after="120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ЦФР не рассчитывает неустойку (пени) за нарушение участником-банкротом, в отношении которого введена процедура конкурсного производства, сроков исполнения конкурсных и текущих обязательств.</w:t>
            </w:r>
          </w:p>
          <w:p w:rsidR="008135D2" w:rsidRDefault="008135D2">
            <w:pPr>
              <w:pStyle w:val="Heading3"/>
            </w:pPr>
            <w:r>
              <w:t>…</w:t>
            </w:r>
          </w:p>
        </w:tc>
        <w:tc>
          <w:tcPr>
            <w:tcW w:w="6989" w:type="dxa"/>
          </w:tcPr>
          <w:p w:rsidR="008135D2" w:rsidRDefault="008135D2">
            <w:pPr>
              <w:pStyle w:val="Heading3"/>
            </w:pPr>
            <w:r>
              <w:t>Особенности расчета неустойки (пени)</w:t>
            </w:r>
          </w:p>
          <w:p w:rsidR="008135D2" w:rsidRDefault="008135D2">
            <w:pPr>
              <w:spacing w:after="120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Неустойка (пени) не рассчитывается за нарушение участником оптового рынка, ФСК срока (сроков) исполнения обязательств, перечисленных в пункте 12.1 настоящего Регламента, при наличии перечисленных ниже особенностей.</w:t>
            </w:r>
          </w:p>
          <w:p w:rsidR="008135D2" w:rsidRDefault="008135D2">
            <w:pPr>
              <w:pStyle w:val="Heading3"/>
            </w:pPr>
            <w:r>
              <w:t>…</w:t>
            </w:r>
          </w:p>
          <w:p w:rsidR="008135D2" w:rsidRDefault="008135D2">
            <w:pPr>
              <w:spacing w:after="120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2) Расчет неустойки (пени) </w:t>
            </w:r>
            <w:r>
              <w:rPr>
                <w:rFonts w:ascii="Garamond" w:hAnsi="Garamond"/>
                <w:spacing w:val="1"/>
                <w:sz w:val="22"/>
                <w:szCs w:val="22"/>
              </w:rPr>
              <w:t>за нарушение сроков исполнения обязательств</w:t>
            </w:r>
            <w:r>
              <w:rPr>
                <w:rFonts w:ascii="Garamond" w:hAnsi="Garamond"/>
                <w:sz w:val="22"/>
                <w:szCs w:val="22"/>
              </w:rPr>
              <w:t xml:space="preserve"> участниками оптового рынка, в отношении которых возбуждено дело о банкротстве и введена одна из процедур банкротства, осуществляется в соответствии с разделом 21 настоящего Регламента.</w:t>
            </w:r>
          </w:p>
          <w:p w:rsidR="008135D2" w:rsidRDefault="008135D2">
            <w:pPr>
              <w:spacing w:after="120"/>
              <w:ind w:firstLine="54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ЦФР не рассчитывает неустойку (пени) за нарушение сроков исполнения конкурсных обязательств участником-банкротом, в отношении которого введена процедура наблюдения после 28 января 2015 года.</w:t>
            </w:r>
          </w:p>
          <w:p w:rsidR="008135D2" w:rsidRDefault="008135D2">
            <w:pPr>
              <w:spacing w:after="120"/>
              <w:ind w:firstLine="54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ЦФР не рассчитывает неустойку (пени) за нарушение сроков исполнения конкурсных обязательств участником-банкротом, в отношении которого введена процедура финансового оздоровления или внешнего управления.</w:t>
            </w:r>
          </w:p>
          <w:p w:rsidR="008135D2" w:rsidRDefault="008135D2">
            <w:pPr>
              <w:spacing w:after="120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ЦФР не рассчитывает неустойку (пени) за нарушение сроков исполнения конкурсных и текущих обязательств участником-банкротом, в отношении которого введена процедура конкурсного производства.</w:t>
            </w:r>
          </w:p>
          <w:p w:rsidR="008135D2" w:rsidRDefault="008135D2">
            <w:pPr>
              <w:pStyle w:val="Heading3"/>
            </w:pPr>
            <w:r>
              <w:t>…</w:t>
            </w:r>
          </w:p>
        </w:tc>
      </w:tr>
      <w:tr w:rsidR="008135D2">
        <w:trPr>
          <w:trHeight w:val="435"/>
        </w:trPr>
        <w:tc>
          <w:tcPr>
            <w:tcW w:w="896" w:type="dxa"/>
            <w:vAlign w:val="center"/>
          </w:tcPr>
          <w:p w:rsidR="008135D2" w:rsidRDefault="008135D2" w:rsidP="00853386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12.6</w:t>
            </w:r>
          </w:p>
        </w:tc>
        <w:tc>
          <w:tcPr>
            <w:tcW w:w="6989" w:type="dxa"/>
          </w:tcPr>
          <w:p w:rsidR="008135D2" w:rsidRDefault="008135D2">
            <w:pPr>
              <w:pStyle w:val="Heading3"/>
            </w:pPr>
            <w:r>
              <w:t>Информирование участников оптового рынка о состоянии расчетов по оплате неустойки (пени)</w:t>
            </w:r>
          </w:p>
          <w:p w:rsidR="008135D2" w:rsidRDefault="008135D2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8135D2" w:rsidRDefault="008135D2">
            <w:pPr>
              <w:pStyle w:val="BodyText"/>
              <w:ind w:firstLine="567"/>
              <w:rPr>
                <w:lang w:val="ru-RU"/>
              </w:rPr>
            </w:pPr>
            <w:r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12.6.6.</w:t>
            </w:r>
            <w:r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С даты исключения сведений о неисполненных обязательствах по оплате неустойки (пени), рассчитанных за нарушение сроков исполнения обязательств по договорам, заключенным для обеспечения купли-продажи электрической энергии и (или) мощности на оптовом рынке, из отчетов, предусмотренных разделом 9 настоящего Регламента, а также из иных документов, содержащих информацию о сумме задолженности по оплате неустойки (пени), рассчитанной за нарушение сроков исполнения обязательств по договорам, заключенным для обеспечения купли-продажи электрической энергии и (или) мощности на оптовом рынке, ЦФР прекращает проведение расчетов и учета указанных обязательств в случае, если они не были прекращены ранее в соответствии с положениями настоящего Регламента.</w:t>
            </w:r>
          </w:p>
        </w:tc>
        <w:tc>
          <w:tcPr>
            <w:tcW w:w="6989" w:type="dxa"/>
          </w:tcPr>
          <w:p w:rsidR="008135D2" w:rsidRDefault="008135D2">
            <w:pPr>
              <w:pStyle w:val="Heading3"/>
            </w:pPr>
            <w:r>
              <w:t>Информирование участников оптового рынка о состоянии расчетов по оплате неустойки (пени)</w:t>
            </w:r>
          </w:p>
          <w:p w:rsidR="008135D2" w:rsidRDefault="008135D2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8135D2" w:rsidRDefault="008135D2">
            <w:pPr>
              <w:pStyle w:val="Heading3"/>
              <w:rPr>
                <w:b w:val="0"/>
                <w:color w:val="auto"/>
                <w:lang w:eastAsia="ru-RU"/>
              </w:rPr>
            </w:pPr>
            <w:r>
              <w:rPr>
                <w:b w:val="0"/>
                <w:color w:val="auto"/>
                <w:highlight w:val="yellow"/>
                <w:lang w:eastAsia="ru-RU"/>
              </w:rPr>
              <w:t>12.6.6. ЦФР исключает из отчетов, предусмотренных разделом 9 настоящего Регламента, а также из иных документов, содержащих информацию о сумме задолженности участника оптового рынка, сведения о неисполненных обязательствах по оплате неустойки (пени), рассчитанных за нарушение</w:t>
            </w:r>
            <w:r>
              <w:rPr>
                <w:highlight w:val="yellow"/>
              </w:rPr>
              <w:t xml:space="preserve"> </w:t>
            </w:r>
            <w:r>
              <w:rPr>
                <w:b w:val="0"/>
                <w:color w:val="auto"/>
                <w:highlight w:val="yellow"/>
                <w:lang w:eastAsia="ru-RU"/>
              </w:rPr>
              <w:t>сроков исполнения конкурсных и текущих обязательств участником-банкротом, в отношении которого введена процедура конкурсного производства, сроков исполнения конкурсных обязательств участником-банкротом, в отношении которого возбуждено дело о банкротстве и введена процедура финансового оздоровления или внешнего управления, сроков исполнения конкурсных обязательств участником-банкротом, в отношении которого возбуждено дело о банкротстве и введена процедура наблюдения после 28 января 2015 года.</w:t>
            </w:r>
          </w:p>
          <w:p w:rsidR="008135D2" w:rsidRPr="00853386" w:rsidRDefault="008135D2" w:rsidP="00853386">
            <w:pPr>
              <w:pStyle w:val="Heading3"/>
              <w:rPr>
                <w:b w:val="0"/>
              </w:rPr>
            </w:pPr>
            <w:r>
              <w:rPr>
                <w:b w:val="0"/>
                <w:highlight w:val="yellow"/>
              </w:rPr>
              <w:t>12.6.7.</w:t>
            </w:r>
            <w:r>
              <w:rPr>
                <w:b w:val="0"/>
              </w:rPr>
              <w:t xml:space="preserve"> С даты исключения сведений о неисполненных обязательствах по оплате неустойки (пени), рассчитанных за нарушение сроков исполнения обязательств по договорам, заключенным для обеспечения купли-продажи электрической энергии и (или) мощности на оптовом рынке, из отчетов, предусмотренных разделом 9 настоящего Регламента, а также из иных документов, содержащих информацию о сумме задолженности по оплате неустойки (пени), рассчитанной за нарушение сроков исполнения обязательств по договорам, заключенным для обеспечения купли-продажи электрической энергии и (или) мощности на оптовом рынке, ЦФР прекращает проведение расчетов и учета указанных обязательств в случае, если они не были прекращены ранее в соответствии с положениями настоящего Регламента.</w:t>
            </w:r>
          </w:p>
        </w:tc>
      </w:tr>
      <w:tr w:rsidR="008135D2">
        <w:trPr>
          <w:trHeight w:val="435"/>
        </w:trPr>
        <w:tc>
          <w:tcPr>
            <w:tcW w:w="896" w:type="dxa"/>
            <w:vAlign w:val="center"/>
          </w:tcPr>
          <w:p w:rsidR="008135D2" w:rsidRDefault="008135D2">
            <w:pPr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21.2</w:t>
            </w:r>
          </w:p>
        </w:tc>
        <w:tc>
          <w:tcPr>
            <w:tcW w:w="6989" w:type="dxa"/>
          </w:tcPr>
          <w:p w:rsidR="008135D2" w:rsidRDefault="008135D2">
            <w:pPr>
              <w:pStyle w:val="Heading3"/>
            </w:pPr>
            <w:bookmarkStart w:id="6" w:name="_Toc434511730"/>
            <w:r>
              <w:t>Порядок расчетов при введении в отношении участника-банкрота процедуры наблюдения</w:t>
            </w:r>
            <w:bookmarkEnd w:id="6"/>
          </w:p>
          <w:p w:rsidR="008135D2" w:rsidRDefault="008135D2">
            <w:pPr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 даты, следующей за датой получения ЦФР информации о принятии арбитражным судом определения о введении в отношении участника-банкрота процедуры наблюдения, расчеты с указанным участником осуществляются в порядке, установленном настоящим Регламентом, с учетом следующих особенностей: </w:t>
            </w:r>
          </w:p>
          <w:p w:rsidR="008135D2" w:rsidRDefault="008135D2">
            <w:pPr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– ЦФР не включает конкурсные обязательства участника-банкрота в Сводный реестр платежей, направляемый в уполномоченную кредитную организацию.</w:t>
            </w:r>
          </w:p>
          <w:p w:rsidR="008135D2" w:rsidRDefault="008135D2">
            <w:pPr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– ЦФР не осуществляет прекращение конкурсных обязательств участника-банкрота путем зачета встречного однородного требования.</w:t>
            </w:r>
          </w:p>
          <w:p w:rsidR="008135D2" w:rsidRDefault="008135D2">
            <w:pPr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– ЦФР рассчитывает неустойку (пени) за нарушение сроков исполнения участником-банкротом конкурсных обязательств.</w:t>
            </w:r>
          </w:p>
          <w:p w:rsidR="008135D2" w:rsidRDefault="008135D2">
            <w:pPr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– ЦФР не включает неустойку (пени), рассчитанную за нарушение участником-банкротом сроков исполнения конкурсных обязательств в Сводный реестр платежей, направляемый в уполномоченную кредитную организацию.</w:t>
            </w:r>
          </w:p>
          <w:p w:rsidR="008135D2" w:rsidRDefault="008135D2">
            <w:pPr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– ЦФР осуществляет прекращение текущих обязательств участника-банкрота зачетом встречных однородных требований и (или) включает текущие обязательства участника-банкрота в Сводный реестр платежей, направляемый в уполномоченную кредитную организацию.</w:t>
            </w:r>
          </w:p>
          <w:p w:rsidR="008135D2" w:rsidRDefault="008135D2">
            <w:pPr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– ЦФР рассчитывает неустойку (пени) за нарушение участником-банкротом сроков исполнения текущих обязательств.</w:t>
            </w:r>
          </w:p>
          <w:p w:rsidR="008135D2" w:rsidRDefault="008135D2">
            <w:pPr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– ЦФР осуществляет прекращение обязательств по уплате неустойки (пени) за нарушение сроков исполнения текущих обязательств зачетом встречных однородных требований или включает в Сводный реестр платежей, направляемый в уполномоченную кредитную организацию.</w:t>
            </w:r>
          </w:p>
        </w:tc>
        <w:tc>
          <w:tcPr>
            <w:tcW w:w="6989" w:type="dxa"/>
          </w:tcPr>
          <w:p w:rsidR="008135D2" w:rsidRDefault="008135D2">
            <w:pPr>
              <w:pStyle w:val="Heading3"/>
            </w:pPr>
            <w:r>
              <w:t>Порядок расчетов при введении в отношении участника-банкрота процедуры наблюдения</w:t>
            </w:r>
          </w:p>
          <w:p w:rsidR="008135D2" w:rsidRDefault="008135D2">
            <w:pPr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 даты, следующей за датой получения ЦФР информации о принятии арбитражным судом определения о введении в отношении участника-банкрота процедуры наблюдения, расчеты с указанным участником осуществляются в порядке, установленном настоящим Регламентом, с учетом следующих особенностей: </w:t>
            </w:r>
          </w:p>
          <w:p w:rsidR="008135D2" w:rsidRDefault="008135D2">
            <w:pPr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– ЦФР не включает конкурсные обязательства участника-банкрота в Сводный реестр платежей, направляемый в уполномоченную кредитную организацию.</w:t>
            </w:r>
          </w:p>
          <w:p w:rsidR="008135D2" w:rsidRDefault="008135D2">
            <w:pPr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– ЦФР не осуществляет прекращение конкурсных обязательств участника-банкрота путем зачета встречного однородного требования.</w:t>
            </w:r>
          </w:p>
          <w:p w:rsidR="008135D2" w:rsidRDefault="008135D2">
            <w:pPr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– ЦФР рассчитывает неустойку (пени) за нарушение сроков исполнения участником-банкротом конкурсных обязательств</w:t>
            </w:r>
            <w:r w:rsidRPr="00853386">
              <w:rPr>
                <w:rFonts w:ascii="Garamond" w:hAnsi="Garamond"/>
                <w:sz w:val="22"/>
                <w:szCs w:val="22"/>
                <w:highlight w:val="yellow"/>
              </w:rPr>
              <w:t xml:space="preserve">, если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процедура наблюдения введена до 28 января 2015 года включительно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  <w:p w:rsidR="008135D2" w:rsidRDefault="008135D2">
            <w:pPr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–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ЦФР не рассчитывает неустойку (пени) за нарушение сроков исполнения участником-банкротом конкурсных обязательств, если процедура наблюдения введена после 28 января 2015 года.</w:t>
            </w:r>
          </w:p>
          <w:p w:rsidR="008135D2" w:rsidRDefault="008135D2">
            <w:pPr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– ЦФР не включает неустойку (пени), рассчитанную за нарушение участником-банкротом сроков исполнения конкурсных обязательств в Сводный реестр платежей, направляемый в уполномоченную кредитную организацию.</w:t>
            </w:r>
          </w:p>
          <w:p w:rsidR="008135D2" w:rsidRDefault="008135D2">
            <w:pPr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– ЦФР осуществляет прекращение текущих обязательств участника-банкрота зачетом встречных однородных требований и (или) включает текущие обязательства участника-банкрота в Сводный реестр платежей, направляемый в уполномоченную кредитную организацию.</w:t>
            </w:r>
          </w:p>
          <w:p w:rsidR="008135D2" w:rsidRDefault="008135D2">
            <w:pPr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– ЦФР рассчитывает неустойку (пени) за нарушение участником-банкротом сроков исполнения текущих обязательств.</w:t>
            </w:r>
          </w:p>
          <w:p w:rsidR="008135D2" w:rsidRDefault="008135D2">
            <w:pPr>
              <w:widowControl w:val="0"/>
              <w:spacing w:before="120" w:after="120"/>
              <w:ind w:firstLine="559"/>
              <w:jc w:val="both"/>
              <w:outlineLvl w:val="2"/>
              <w:rPr>
                <w:rFonts w:ascii="Garamond" w:hAnsi="Garamond"/>
                <w:color w:val="000000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>– ЦФР осуществляет прекращение обязательств по уплате неустойки (пени) за нарушение сроков исполнения текущих обязательств зачетом встречных однородных требований или включает в Сводный реестр платежей, направляемый в уполномоченную кредитную организацию.</w:t>
            </w:r>
          </w:p>
        </w:tc>
      </w:tr>
    </w:tbl>
    <w:p w:rsidR="008135D2" w:rsidRDefault="008135D2">
      <w:pPr>
        <w:keepNext/>
        <w:rPr>
          <w:rFonts w:ascii="Garamond" w:hAnsi="Garamond"/>
          <w:b/>
          <w:sz w:val="28"/>
          <w:szCs w:val="28"/>
        </w:rPr>
      </w:pPr>
    </w:p>
    <w:sectPr w:rsidR="008135D2" w:rsidSect="00662193">
      <w:footerReference w:type="default" r:id="rId7"/>
      <w:pgSz w:w="16838" w:h="11906" w:orient="landscape"/>
      <w:pgMar w:top="1258" w:right="820" w:bottom="568" w:left="1134" w:header="708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5D2" w:rsidRDefault="008135D2">
      <w:r>
        <w:separator/>
      </w:r>
    </w:p>
  </w:endnote>
  <w:endnote w:type="continuationSeparator" w:id="0">
    <w:p w:rsidR="008135D2" w:rsidRDefault="00813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D2" w:rsidRDefault="008135D2">
    <w:pPr>
      <w:pStyle w:val="Footer"/>
      <w:jc w:val="right"/>
      <w:rPr>
        <w:lang w:val="en-US"/>
      </w:rPr>
    </w:pPr>
    <w:fldSimple w:instr=" PAGE   \* MERGEFORMAT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5D2" w:rsidRDefault="008135D2">
      <w:r>
        <w:separator/>
      </w:r>
    </w:p>
  </w:footnote>
  <w:footnote w:type="continuationSeparator" w:id="0">
    <w:p w:rsidR="008135D2" w:rsidRDefault="008135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90109A8"/>
    <w:multiLevelType w:val="hybridMultilevel"/>
    <w:tmpl w:val="5D9A6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14C9077E"/>
    <w:multiLevelType w:val="hybridMultilevel"/>
    <w:tmpl w:val="3F948E82"/>
    <w:lvl w:ilvl="0" w:tplc="80C0C3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7083E"/>
    <w:multiLevelType w:val="hybridMultilevel"/>
    <w:tmpl w:val="5C8012F6"/>
    <w:lvl w:ilvl="0" w:tplc="F28451D8">
      <w:start w:val="1"/>
      <w:numFmt w:val="decimal"/>
      <w:pStyle w:val="Heading1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6622D00"/>
    <w:multiLevelType w:val="hybridMultilevel"/>
    <w:tmpl w:val="29921D2A"/>
    <w:lvl w:ilvl="0" w:tplc="0419000F">
      <w:start w:val="1"/>
      <w:numFmt w:val="decimal"/>
      <w:pStyle w:val="ListNumber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0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68595903"/>
    <w:multiLevelType w:val="hybridMultilevel"/>
    <w:tmpl w:val="3C365912"/>
    <w:lvl w:ilvl="0" w:tplc="3ACCFA86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6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73182A5E"/>
    <w:multiLevelType w:val="hybridMultilevel"/>
    <w:tmpl w:val="1734834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6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3"/>
  </w:num>
  <w:num w:numId="17">
    <w:abstractNumId w:val="16"/>
  </w:num>
  <w:num w:numId="18">
    <w:abstractNumId w:val="0"/>
  </w:num>
  <w:num w:numId="19">
    <w:abstractNumId w:val="7"/>
  </w:num>
  <w:num w:numId="20">
    <w:abstractNumId w:val="1"/>
  </w:num>
  <w:num w:numId="21">
    <w:abstractNumId w:val="13"/>
  </w:num>
  <w:num w:numId="22">
    <w:abstractNumId w:val="10"/>
  </w:num>
  <w:num w:numId="23">
    <w:abstractNumId w:val="4"/>
  </w:num>
  <w:num w:numId="24">
    <w:abstractNumId w:val="8"/>
  </w:num>
  <w:num w:numId="2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8"/>
  </w:num>
  <w:num w:numId="29">
    <w:abstractNumId w:val="8"/>
  </w:num>
  <w:num w:numId="30">
    <w:abstractNumId w:val="17"/>
  </w:num>
  <w:num w:numId="31">
    <w:abstractNumId w:val="2"/>
  </w:num>
  <w:num w:numId="32">
    <w:abstractNumId w:val="5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202"/>
    <w:rsid w:val="002F7D22"/>
    <w:rsid w:val="00662193"/>
    <w:rsid w:val="00714002"/>
    <w:rsid w:val="008135D2"/>
    <w:rsid w:val="00853386"/>
    <w:rsid w:val="008C1907"/>
    <w:rsid w:val="00917202"/>
    <w:rsid w:val="00A57949"/>
    <w:rsid w:val="00D5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9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Заголовок параграфа (1.),Section,level2 hdg,111,Section Heading"/>
    <w:basedOn w:val="Normal"/>
    <w:link w:val="Heading1Char"/>
    <w:autoRedefine/>
    <w:uiPriority w:val="99"/>
    <w:qFormat/>
    <w:rsid w:val="00662193"/>
    <w:pPr>
      <w:keepNext/>
      <w:numPr>
        <w:numId w:val="11"/>
      </w:numPr>
      <w:tabs>
        <w:tab w:val="num" w:pos="1080"/>
      </w:tabs>
      <w:spacing w:before="240" w:after="240"/>
      <w:ind w:left="1080"/>
      <w:jc w:val="center"/>
      <w:outlineLvl w:val="0"/>
    </w:pPr>
    <w:rPr>
      <w:rFonts w:ascii="Garamond" w:hAnsi="Garamond"/>
      <w:b/>
      <w:bCs/>
      <w:caps/>
      <w:color w:val="000000"/>
      <w:kern w:val="28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21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H3,Заголовок подпукта (1.1.1),Level 1 - 1,o"/>
    <w:basedOn w:val="Normal"/>
    <w:link w:val="Heading3Char"/>
    <w:autoRedefine/>
    <w:uiPriority w:val="99"/>
    <w:qFormat/>
    <w:rsid w:val="00662193"/>
    <w:pPr>
      <w:widowControl w:val="0"/>
      <w:tabs>
        <w:tab w:val="num" w:pos="507"/>
      </w:tabs>
      <w:spacing w:before="120" w:after="120"/>
      <w:ind w:firstLine="649"/>
      <w:jc w:val="both"/>
      <w:outlineLvl w:val="2"/>
    </w:pPr>
    <w:rPr>
      <w:rFonts w:ascii="Garamond" w:hAnsi="Garamond"/>
      <w:b/>
      <w:color w:val="000000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21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621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Section Char,level2 hdg Char,111 Char,Section Heading Char"/>
    <w:basedOn w:val="DefaultParagraphFont"/>
    <w:link w:val="Heading1"/>
    <w:uiPriority w:val="99"/>
    <w:locked/>
    <w:rsid w:val="00662193"/>
    <w:rPr>
      <w:rFonts w:ascii="Garamond" w:eastAsia="Times New Roman" w:hAnsi="Garamond"/>
      <w:b/>
      <w:bCs/>
      <w:caps/>
      <w:color w:val="000000"/>
      <w:kern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2193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aliases w:val="H3 Char,Заголовок подпукта (1.1.1) Char,Level 1 - 1 Char,o Char"/>
    <w:basedOn w:val="DefaultParagraphFont"/>
    <w:link w:val="Heading3"/>
    <w:uiPriority w:val="99"/>
    <w:locked/>
    <w:rsid w:val="00662193"/>
    <w:rPr>
      <w:rFonts w:ascii="Garamond" w:hAnsi="Garamond" w:cs="Times New Roman"/>
      <w:b/>
      <w:color w:val="00000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62193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62193"/>
    <w:rPr>
      <w:rFonts w:ascii="Calibri" w:hAnsi="Calibri" w:cs="Times New Roman"/>
      <w:b/>
      <w:i/>
      <w:sz w:val="26"/>
    </w:rPr>
  </w:style>
  <w:style w:type="paragraph" w:customStyle="1" w:styleId="a">
    <w:name w:val="Знак"/>
    <w:basedOn w:val="Normal"/>
    <w:uiPriority w:val="99"/>
    <w:rsid w:val="006621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aliases w:val="body text"/>
    <w:basedOn w:val="Normal"/>
    <w:link w:val="BodyTextChar"/>
    <w:uiPriority w:val="99"/>
    <w:rsid w:val="00662193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99"/>
    <w:locked/>
    <w:rsid w:val="00662193"/>
    <w:rPr>
      <w:rFonts w:ascii="Times New Roman" w:hAnsi="Times New Roman" w:cs="Times New Roman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66219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193"/>
    <w:rPr>
      <w:rFonts w:ascii="Tahoma" w:hAnsi="Tahoma" w:cs="Times New Roman"/>
      <w:sz w:val="16"/>
    </w:rPr>
  </w:style>
  <w:style w:type="paragraph" w:customStyle="1" w:styleId="1">
    <w:name w:val="Абзац списка1"/>
    <w:basedOn w:val="Normal"/>
    <w:uiPriority w:val="99"/>
    <w:rsid w:val="0066219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66219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62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62193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2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62193"/>
    <w:rPr>
      <w:b/>
    </w:rPr>
  </w:style>
  <w:style w:type="paragraph" w:styleId="Header">
    <w:name w:val="header"/>
    <w:basedOn w:val="Normal"/>
    <w:link w:val="HeaderChar"/>
    <w:uiPriority w:val="99"/>
    <w:semiHidden/>
    <w:rsid w:val="0066219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2193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66219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2193"/>
    <w:rPr>
      <w:rFonts w:ascii="Times New Roman" w:hAnsi="Times New Roman" w:cs="Times New Roman"/>
      <w:sz w:val="24"/>
    </w:rPr>
  </w:style>
  <w:style w:type="paragraph" w:styleId="ListNumber2">
    <w:name w:val="List Number 2"/>
    <w:basedOn w:val="Normal"/>
    <w:uiPriority w:val="99"/>
    <w:rsid w:val="00662193"/>
    <w:pPr>
      <w:keepNext/>
      <w:keepLines/>
      <w:numPr>
        <w:numId w:val="19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66219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6621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2193"/>
    <w:rPr>
      <w:rFonts w:ascii="Times New Roman" w:hAnsi="Times New Roman" w:cs="Times New Roman"/>
      <w:sz w:val="24"/>
    </w:rPr>
  </w:style>
  <w:style w:type="paragraph" w:styleId="BlockText">
    <w:name w:val="Block Text"/>
    <w:basedOn w:val="Normal"/>
    <w:uiPriority w:val="99"/>
    <w:rsid w:val="00662193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Normal"/>
    <w:uiPriority w:val="99"/>
    <w:rsid w:val="00662193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BodyTextIndent2">
    <w:name w:val="Body Text Indent 2"/>
    <w:basedOn w:val="Normal"/>
    <w:link w:val="BodyTextIndent2Char"/>
    <w:autoRedefine/>
    <w:uiPriority w:val="99"/>
    <w:rsid w:val="00662193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62193"/>
    <w:rPr>
      <w:rFonts w:ascii="Garamond" w:hAnsi="Garamond" w:cs="Times New Roman"/>
      <w:b/>
      <w:color w:val="000000"/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6621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62193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rsid w:val="00662193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662193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62193"/>
    <w:rPr>
      <w:rFonts w:ascii="Times New Roman" w:hAnsi="Times New Roman" w:cs="Times New Roman"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662193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62193"/>
    <w:rPr>
      <w:rFonts w:ascii="Courier New" w:eastAsia="SimSun" w:hAnsi="Courier New" w:cs="Times New Roman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56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3</Pages>
  <Words>1350</Words>
  <Characters>7698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pii</cp:lastModifiedBy>
  <cp:revision>10</cp:revision>
  <cp:lastPrinted>2016-07-14T12:37:00Z</cp:lastPrinted>
  <dcterms:created xsi:type="dcterms:W3CDTF">2016-07-15T08:44:00Z</dcterms:created>
  <dcterms:modified xsi:type="dcterms:W3CDTF">2016-08-25T09:19:00Z</dcterms:modified>
</cp:coreProperties>
</file>