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74" w:rsidRDefault="00A55313" w:rsidP="00E7531D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X</w:t>
      </w:r>
      <w:r w:rsidRPr="00A55313">
        <w:rPr>
          <w:rFonts w:ascii="Garamond" w:hAnsi="Garamond"/>
          <w:b/>
          <w:sz w:val="28"/>
          <w:szCs w:val="28"/>
        </w:rPr>
        <w:t xml:space="preserve">.4. </w:t>
      </w:r>
      <w:r w:rsidR="00AB250C">
        <w:rPr>
          <w:rFonts w:ascii="Garamond" w:hAnsi="Garamond"/>
          <w:b/>
          <w:sz w:val="28"/>
          <w:szCs w:val="28"/>
        </w:rPr>
        <w:t>Изменения, связанные c определением порядка заключения дополнител</w:t>
      </w:r>
      <w:r w:rsidR="00E7531D">
        <w:rPr>
          <w:rFonts w:ascii="Garamond" w:hAnsi="Garamond"/>
          <w:b/>
          <w:sz w:val="28"/>
          <w:szCs w:val="28"/>
        </w:rPr>
        <w:t>ьных соглашений к соглашениям о </w:t>
      </w:r>
      <w:r w:rsidR="00AB250C">
        <w:rPr>
          <w:rFonts w:ascii="Garamond" w:hAnsi="Garamond"/>
          <w:b/>
          <w:sz w:val="28"/>
          <w:szCs w:val="28"/>
        </w:rPr>
        <w:t xml:space="preserve">порядке исполнения обязательств </w:t>
      </w:r>
    </w:p>
    <w:p w:rsidR="006847C6" w:rsidRDefault="006847C6" w:rsidP="00E7531D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407174" w:rsidRPr="00A55313" w:rsidRDefault="00A55313" w:rsidP="00E7531D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>Приложение № 10.4</w:t>
      </w:r>
    </w:p>
    <w:p w:rsidR="00407174" w:rsidRDefault="00407174" w:rsidP="00E7531D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407174" w:rsidTr="00D5290E">
        <w:trPr>
          <w:trHeight w:val="713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74" w:rsidRDefault="00AB250C" w:rsidP="00E7531D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="00A55313" w:rsidRPr="00A55313">
              <w:rPr>
                <w:rFonts w:ascii="Garamond" w:hAnsi="Garamond"/>
                <w:sz w:val="24"/>
                <w:szCs w:val="24"/>
              </w:rPr>
              <w:t xml:space="preserve">член Наблюдательного совета </w:t>
            </w:r>
            <w:r>
              <w:rPr>
                <w:rFonts w:ascii="Garamond" w:hAnsi="Garamond"/>
                <w:sz w:val="24"/>
                <w:szCs w:val="24"/>
              </w:rPr>
              <w:t>Ассоциаци</w:t>
            </w:r>
            <w:r w:rsidR="00A55313">
              <w:rPr>
                <w:rFonts w:ascii="Garamond" w:hAnsi="Garamond"/>
                <w:sz w:val="24"/>
                <w:szCs w:val="24"/>
              </w:rPr>
              <w:t>и «НП Совет рынка» М.С. Быстров.</w:t>
            </w:r>
          </w:p>
          <w:p w:rsidR="00407174" w:rsidRDefault="00AB250C" w:rsidP="00E753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E7531D">
              <w:rPr>
                <w:rFonts w:ascii="Garamond" w:hAnsi="Garamond"/>
                <w:sz w:val="24"/>
                <w:szCs w:val="24"/>
              </w:rPr>
              <w:t>н</w:t>
            </w:r>
            <w:r>
              <w:rPr>
                <w:rFonts w:ascii="Garamond" w:hAnsi="Garamond"/>
                <w:sz w:val="24"/>
                <w:szCs w:val="24"/>
              </w:rPr>
              <w:t>еобходимо определи</w:t>
            </w:r>
            <w:r w:rsidR="00462AE5">
              <w:rPr>
                <w:rFonts w:ascii="Garamond" w:hAnsi="Garamond"/>
                <w:sz w:val="24"/>
                <w:szCs w:val="24"/>
              </w:rPr>
              <w:t>ть</w:t>
            </w:r>
            <w:r>
              <w:rPr>
                <w:rFonts w:ascii="Garamond" w:hAnsi="Garamond"/>
                <w:sz w:val="24"/>
                <w:szCs w:val="24"/>
              </w:rPr>
              <w:t xml:space="preserve"> поряд</w:t>
            </w:r>
            <w:r w:rsidR="00462AE5">
              <w:rPr>
                <w:rFonts w:ascii="Garamond" w:hAnsi="Garamond"/>
                <w:sz w:val="24"/>
                <w:szCs w:val="24"/>
              </w:rPr>
              <w:t>о</w:t>
            </w:r>
            <w:r>
              <w:rPr>
                <w:rFonts w:ascii="Garamond" w:hAnsi="Garamond"/>
                <w:sz w:val="24"/>
                <w:szCs w:val="24"/>
              </w:rPr>
              <w:t>к заключения дополнительных соглашений к соглашениям о порядке исполнения обязательств</w:t>
            </w:r>
            <w:r w:rsidR="001E0922">
              <w:rPr>
                <w:rFonts w:ascii="Garamond" w:hAnsi="Garamond"/>
                <w:sz w:val="24"/>
                <w:szCs w:val="24"/>
              </w:rPr>
              <w:t>.</w:t>
            </w:r>
          </w:p>
          <w:p w:rsidR="00407174" w:rsidRDefault="00AB250C" w:rsidP="00E753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55313">
              <w:rPr>
                <w:rFonts w:ascii="Garamond" w:hAnsi="Garamond"/>
                <w:sz w:val="24"/>
                <w:szCs w:val="24"/>
              </w:rPr>
              <w:t xml:space="preserve">20 декабря 2022 года. </w:t>
            </w:r>
          </w:p>
        </w:tc>
      </w:tr>
    </w:tbl>
    <w:p w:rsidR="00407174" w:rsidRDefault="00407174" w:rsidP="00E7531D">
      <w:pPr>
        <w:spacing w:after="0" w:line="240" w:lineRule="auto"/>
        <w:rPr>
          <w:rFonts w:ascii="Garamond" w:hAnsi="Garamond"/>
        </w:rPr>
      </w:pPr>
    </w:p>
    <w:p w:rsidR="00407174" w:rsidRDefault="00AB250C" w:rsidP="00E7531D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407174" w:rsidRDefault="00407174" w:rsidP="00E7531D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6395"/>
        <w:gridCol w:w="7514"/>
      </w:tblGrid>
      <w:tr w:rsidR="00407174" w:rsidTr="00D5290E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7174" w:rsidRDefault="00AB250C" w:rsidP="00E7531D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407174" w:rsidRDefault="00AB250C" w:rsidP="00E7531D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74" w:rsidRDefault="00AB250C" w:rsidP="00E7531D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407174" w:rsidRDefault="00AB250C" w:rsidP="00E7531D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74" w:rsidRDefault="00AB250C" w:rsidP="00E7531D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407174" w:rsidRDefault="00AB250C" w:rsidP="00E7531D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407174" w:rsidTr="00D5290E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7174" w:rsidRDefault="00AB250C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18</w:t>
            </w:r>
            <w:r>
              <w:rPr>
                <w:rFonts w:ascii="Garamond" w:hAnsi="Garamond"/>
                <w:b/>
              </w:rPr>
              <w:t>´</w:t>
            </w:r>
            <w:r>
              <w:rPr>
                <w:rFonts w:ascii="Garamond" w:hAnsi="Garamond"/>
                <w:b/>
                <w:color w:val="000000"/>
              </w:rPr>
              <w:t>.18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74" w:rsidRDefault="00AB250C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..</w:t>
            </w:r>
          </w:p>
          <w:p w:rsidR="00407174" w:rsidRDefault="00AB250C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</w:t>
            </w:r>
            <w:r>
              <w:rPr>
                <w:rFonts w:ascii="Garamond" w:hAnsi="Garamond"/>
                <w:bCs/>
                <w:highlight w:val="yellow"/>
              </w:rPr>
              <w:t>е</w:t>
            </w:r>
            <w:r>
              <w:rPr>
                <w:rFonts w:ascii="Garamond" w:hAnsi="Garamond"/>
                <w:bCs/>
              </w:rPr>
              <w:t xml:space="preserve"> приложени</w:t>
            </w:r>
            <w:r w:rsidRPr="00ED620B">
              <w:rPr>
                <w:rFonts w:ascii="Garamond" w:hAnsi="Garamond"/>
                <w:bCs/>
                <w:highlight w:val="yellow"/>
              </w:rPr>
              <w:t>я</w:t>
            </w:r>
            <w:r>
              <w:rPr>
                <w:rFonts w:ascii="Garamond" w:hAnsi="Garamond"/>
                <w:bCs/>
              </w:rPr>
              <w:t xml:space="preserve"> 114.15а к настоящему Регламенту в порядке, предусмотренном </w:t>
            </w:r>
            <w:r>
              <w:rPr>
                <w:rFonts w:ascii="Garamond" w:hAnsi="Garamond"/>
                <w:bCs/>
                <w:i/>
                <w:highlight w:val="yellow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bCs/>
              </w:rPr>
              <w:t>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74" w:rsidRDefault="00AB250C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...</w:t>
            </w:r>
          </w:p>
          <w:p w:rsidR="00407174" w:rsidRDefault="00AB250C" w:rsidP="00ED620B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</w:t>
            </w:r>
            <w:r>
              <w:rPr>
                <w:rFonts w:ascii="Garamond" w:hAnsi="Garamond"/>
                <w:bCs/>
                <w:highlight w:val="yellow"/>
              </w:rPr>
              <w:t>ам</w:t>
            </w:r>
            <w:r>
              <w:rPr>
                <w:rFonts w:ascii="Garamond" w:hAnsi="Garamond"/>
                <w:bCs/>
              </w:rPr>
              <w:t xml:space="preserve"> приложени</w:t>
            </w:r>
            <w:r w:rsidR="00ED620B" w:rsidRPr="00ED620B">
              <w:rPr>
                <w:rFonts w:ascii="Garamond" w:hAnsi="Garamond"/>
                <w:bCs/>
                <w:highlight w:val="yellow"/>
              </w:rPr>
              <w:t>й</w:t>
            </w:r>
            <w:r>
              <w:rPr>
                <w:rFonts w:ascii="Garamond" w:hAnsi="Garamond"/>
                <w:bCs/>
              </w:rPr>
              <w:t xml:space="preserve"> 114.15а</w:t>
            </w:r>
            <w:r>
              <w:rPr>
                <w:rFonts w:ascii="Garamond" w:hAnsi="Garamond"/>
                <w:bCs/>
                <w:highlight w:val="yellow"/>
              </w:rPr>
              <w:t>,</w:t>
            </w:r>
            <w:r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  <w:highlight w:val="yellow"/>
              </w:rPr>
              <w:t xml:space="preserve">114.15б </w:t>
            </w:r>
            <w:r>
              <w:rPr>
                <w:rFonts w:ascii="Garamond" w:hAnsi="Garamond"/>
                <w:bCs/>
              </w:rPr>
              <w:t xml:space="preserve">к настоящему Регламенту в порядке, предусмотренном </w:t>
            </w:r>
            <w:r w:rsidRPr="00E7531D">
              <w:rPr>
                <w:rFonts w:ascii="Garamond" w:hAnsi="Garamond"/>
                <w:bCs/>
                <w:highlight w:val="yellow"/>
              </w:rPr>
              <w:t>пунктом</w:t>
            </w:r>
            <w:r w:rsidRPr="00E7531D">
              <w:rPr>
                <w:rFonts w:ascii="Garamond" w:hAnsi="Garamond"/>
                <w:color w:val="000000"/>
                <w:highlight w:val="yellow"/>
              </w:rPr>
              <w:t xml:space="preserve"> 18</w:t>
            </w:r>
            <w:r w:rsidRPr="00E7531D">
              <w:rPr>
                <w:rFonts w:ascii="Garamond" w:hAnsi="Garamond"/>
                <w:highlight w:val="yellow"/>
              </w:rPr>
              <w:t>´</w:t>
            </w:r>
            <w:r w:rsidRPr="00E7531D">
              <w:rPr>
                <w:rFonts w:ascii="Garamond" w:hAnsi="Garamond"/>
                <w:color w:val="000000"/>
                <w:highlight w:val="yellow"/>
              </w:rPr>
              <w:t>.18.1 настоящего Регламента</w:t>
            </w:r>
            <w:r>
              <w:rPr>
                <w:rFonts w:ascii="Garamond" w:hAnsi="Garamond"/>
                <w:bCs/>
              </w:rPr>
              <w:t>.</w:t>
            </w:r>
          </w:p>
        </w:tc>
      </w:tr>
      <w:tr w:rsidR="00407174" w:rsidTr="00D5290E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7174" w:rsidRDefault="00AB250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  <w:b/>
                <w:color w:val="000000"/>
              </w:rPr>
              <w:t>18</w:t>
            </w:r>
            <w:r>
              <w:rPr>
                <w:rFonts w:ascii="Garamond" w:hAnsi="Garamond"/>
                <w:b/>
              </w:rPr>
              <w:t>´</w:t>
            </w:r>
            <w:r>
              <w:rPr>
                <w:rFonts w:ascii="Garamond" w:hAnsi="Garamond"/>
                <w:b/>
                <w:color w:val="000000"/>
              </w:rPr>
              <w:t>.18.1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74" w:rsidRDefault="00AB250C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Добавить пункт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74" w:rsidRDefault="00AB250C" w:rsidP="001E0922">
            <w:pPr>
              <w:widowControl w:val="0"/>
              <w:tabs>
                <w:tab w:val="left" w:pos="953"/>
              </w:tabs>
              <w:spacing w:before="120" w:after="120" w:line="240" w:lineRule="auto"/>
              <w:ind w:left="38" w:firstLine="567"/>
              <w:jc w:val="both"/>
              <w:outlineLvl w:val="2"/>
              <w:rPr>
                <w:rFonts w:ascii="Garamond" w:hAnsi="Garamond"/>
                <w:bCs/>
              </w:rPr>
            </w:pPr>
            <w:r>
              <w:rPr>
                <w:rFonts w:ascii="Garamond" w:eastAsia="Times New Roman" w:hAnsi="Garamond"/>
                <w:highlight w:val="yellow"/>
              </w:rPr>
              <w:t>Продавцы</w:t>
            </w:r>
            <w:r>
              <w:rPr>
                <w:rFonts w:ascii="Garamond" w:hAnsi="Garamond"/>
                <w:highlight w:val="yellow"/>
              </w:rPr>
              <w:t xml:space="preserve"> и покупатели</w:t>
            </w:r>
            <w:r>
              <w:rPr>
                <w:rFonts w:ascii="Garamond" w:eastAsia="Times New Roman" w:hAnsi="Garamond"/>
                <w:highlight w:val="yellow"/>
              </w:rPr>
              <w:t xml:space="preserve">, заключившие соглашение о порядке исполнения обязательств </w:t>
            </w:r>
            <w:r>
              <w:rPr>
                <w:rFonts w:ascii="Garamond" w:hAnsi="Garamond"/>
                <w:highlight w:val="yellow"/>
              </w:rPr>
              <w:t>на условиях варианта 1 (Оплата векселями) приложения 2 к соглашению, в срок до 2</w:t>
            </w:r>
            <w:r w:rsidR="00462AE5">
              <w:rPr>
                <w:rFonts w:ascii="Garamond" w:hAnsi="Garamond"/>
                <w:highlight w:val="yellow"/>
              </w:rPr>
              <w:t>4</w:t>
            </w:r>
            <w:r>
              <w:rPr>
                <w:rFonts w:ascii="Garamond" w:hAnsi="Garamond"/>
                <w:highlight w:val="yellow"/>
              </w:rPr>
              <w:t xml:space="preserve">.02.2023 </w:t>
            </w:r>
            <w:r>
              <w:rPr>
                <w:rFonts w:ascii="Garamond" w:eastAsia="Times New Roman" w:hAnsi="Garamond"/>
                <w:highlight w:val="yellow"/>
              </w:rPr>
              <w:t xml:space="preserve">подписывают </w:t>
            </w:r>
            <w:r>
              <w:rPr>
                <w:rFonts w:ascii="Garamond" w:hAnsi="Garamond"/>
                <w:color w:val="000000"/>
                <w:highlight w:val="yellow"/>
              </w:rPr>
              <w:t>с применением электронной подписи</w:t>
            </w:r>
            <w:r>
              <w:rPr>
                <w:rFonts w:ascii="Garamond" w:eastAsia="Times New Roman" w:hAnsi="Garamond"/>
                <w:highlight w:val="yellow"/>
              </w:rPr>
              <w:t xml:space="preserve"> дополнительные соглашения к </w:t>
            </w:r>
            <w:r>
              <w:rPr>
                <w:rFonts w:ascii="Garamond" w:eastAsia="Times New Roman" w:hAnsi="Garamond"/>
                <w:highlight w:val="yellow"/>
                <w:lang w:val="en-US"/>
              </w:rPr>
              <w:t>c</w:t>
            </w:r>
            <w:r>
              <w:rPr>
                <w:rFonts w:ascii="Garamond" w:eastAsia="Times New Roman" w:hAnsi="Garamond"/>
                <w:highlight w:val="yellow"/>
              </w:rPr>
              <w:t xml:space="preserve">оглашениям о порядке исполнения обязательств по форме приложения 114.15а к настоящему Регламенту в порядке, предусмотренном п. </w:t>
            </w:r>
            <w:r>
              <w:rPr>
                <w:rFonts w:ascii="Garamond" w:hAnsi="Garamond"/>
                <w:bCs/>
                <w:highlight w:val="yellow"/>
              </w:rPr>
              <w:t>18´.26 настоящего Регламента.</w:t>
            </w:r>
          </w:p>
          <w:p w:rsidR="00407174" w:rsidRDefault="00462AE5" w:rsidP="001E0922">
            <w:pPr>
              <w:widowControl w:val="0"/>
              <w:tabs>
                <w:tab w:val="left" w:pos="953"/>
              </w:tabs>
              <w:spacing w:before="120" w:after="120" w:line="240" w:lineRule="auto"/>
              <w:ind w:left="38" w:firstLine="567"/>
              <w:jc w:val="both"/>
              <w:outlineLvl w:val="2"/>
              <w:rPr>
                <w:rFonts w:ascii="Garamond" w:hAnsi="Garamond" w:cs="Garamond"/>
                <w:bCs/>
                <w:highlight w:val="yellow"/>
              </w:rPr>
            </w:pPr>
            <w:r>
              <w:rPr>
                <w:rFonts w:ascii="Garamond" w:eastAsia="Times New Roman" w:hAnsi="Garamond"/>
                <w:highlight w:val="yellow"/>
              </w:rPr>
              <w:t xml:space="preserve">В целях фиксации на 2023 год </w:t>
            </w:r>
            <w:r>
              <w:rPr>
                <w:rFonts w:ascii="Garamond" w:eastAsiaTheme="minorHAnsi" w:hAnsi="Garamond"/>
                <w:highlight w:val="yellow"/>
              </w:rPr>
              <w:t>соотношения цены покупаемого векселя к его номиналу или доли расчетов денежными средствами через уполномоченную кредитную организаци</w:t>
            </w:r>
            <w:r w:rsidR="001E0922">
              <w:rPr>
                <w:rFonts w:ascii="Garamond" w:eastAsiaTheme="minorHAnsi" w:hAnsi="Garamond"/>
                <w:highlight w:val="yellow"/>
              </w:rPr>
              <w:t>ю</w:t>
            </w:r>
            <w:r>
              <w:rPr>
                <w:rFonts w:ascii="Garamond" w:eastAsiaTheme="minorHAnsi" w:hAnsi="Garamond"/>
                <w:highlight w:val="yellow"/>
              </w:rPr>
              <w:t xml:space="preserve"> </w:t>
            </w:r>
            <w:r>
              <w:rPr>
                <w:rFonts w:ascii="Garamond" w:eastAsia="Times New Roman" w:hAnsi="Garamond"/>
                <w:highlight w:val="yellow"/>
              </w:rPr>
              <w:t>п</w:t>
            </w:r>
            <w:r w:rsidR="00AB250C">
              <w:rPr>
                <w:rFonts w:ascii="Garamond" w:eastAsia="Times New Roman" w:hAnsi="Garamond"/>
                <w:highlight w:val="yellow"/>
              </w:rPr>
              <w:t xml:space="preserve">родавцы и покупатели, заключившие соглашение о порядке исполнения обязательств, </w:t>
            </w:r>
            <w:r w:rsidR="00AB250C">
              <w:rPr>
                <w:rFonts w:ascii="Garamond" w:eastAsiaTheme="minorHAnsi" w:hAnsi="Garamond"/>
                <w:highlight w:val="yellow"/>
              </w:rPr>
              <w:t>в срок до 2</w:t>
            </w:r>
            <w:r>
              <w:rPr>
                <w:rFonts w:ascii="Garamond" w:eastAsiaTheme="minorHAnsi" w:hAnsi="Garamond"/>
                <w:highlight w:val="yellow"/>
              </w:rPr>
              <w:t>4</w:t>
            </w:r>
            <w:r w:rsidR="00AB250C">
              <w:rPr>
                <w:rFonts w:ascii="Garamond" w:eastAsiaTheme="minorHAnsi" w:hAnsi="Garamond"/>
                <w:highlight w:val="yellow"/>
              </w:rPr>
              <w:t xml:space="preserve">.02.2023 </w:t>
            </w:r>
            <w:r w:rsidR="00AB250C">
              <w:rPr>
                <w:rFonts w:ascii="Garamond" w:eastAsia="Times New Roman" w:hAnsi="Garamond"/>
                <w:highlight w:val="yellow"/>
              </w:rPr>
              <w:t xml:space="preserve">подписывают </w:t>
            </w:r>
            <w:r w:rsidR="00AB250C">
              <w:rPr>
                <w:rFonts w:ascii="Garamond" w:hAnsi="Garamond"/>
                <w:color w:val="000000"/>
                <w:highlight w:val="yellow"/>
              </w:rPr>
              <w:t xml:space="preserve">с </w:t>
            </w:r>
            <w:r w:rsidR="00AB250C">
              <w:rPr>
                <w:rFonts w:ascii="Garamond" w:hAnsi="Garamond"/>
                <w:color w:val="000000"/>
                <w:highlight w:val="yellow"/>
              </w:rPr>
              <w:lastRenderedPageBreak/>
              <w:t>применением электронной подписи</w:t>
            </w:r>
            <w:r w:rsidR="00AB250C">
              <w:rPr>
                <w:rFonts w:ascii="Garamond" w:eastAsia="Times New Roman" w:hAnsi="Garamond"/>
                <w:highlight w:val="yellow"/>
              </w:rPr>
              <w:t xml:space="preserve"> дополнительные соглашения к </w:t>
            </w:r>
            <w:r w:rsidR="00AB250C">
              <w:rPr>
                <w:rFonts w:ascii="Garamond" w:eastAsia="Times New Roman" w:hAnsi="Garamond"/>
                <w:highlight w:val="yellow"/>
                <w:lang w:val="en-US"/>
              </w:rPr>
              <w:t>c</w:t>
            </w:r>
            <w:r w:rsidR="00AB250C">
              <w:rPr>
                <w:rFonts w:ascii="Garamond" w:eastAsia="Times New Roman" w:hAnsi="Garamond"/>
                <w:highlight w:val="yellow"/>
              </w:rPr>
              <w:t xml:space="preserve">оглашениям о порядке исполнения обязательств по форме приложения 114.15б к настоящему Регламенту в порядке, предусмотренном п. </w:t>
            </w:r>
            <w:r w:rsidR="00AB250C">
              <w:rPr>
                <w:rFonts w:ascii="Garamond" w:hAnsi="Garamond" w:cs="Garamond"/>
                <w:bCs/>
                <w:highlight w:val="yellow"/>
              </w:rPr>
              <w:t>18´</w:t>
            </w:r>
            <w:r w:rsidR="001E0922">
              <w:rPr>
                <w:rFonts w:ascii="Garamond" w:hAnsi="Garamond" w:cs="Garamond"/>
                <w:bCs/>
                <w:highlight w:val="yellow"/>
              </w:rPr>
              <w:t>.</w:t>
            </w:r>
            <w:r w:rsidR="00AB250C">
              <w:rPr>
                <w:rFonts w:ascii="Garamond" w:hAnsi="Garamond" w:cs="Garamond"/>
                <w:bCs/>
                <w:highlight w:val="yellow"/>
              </w:rPr>
              <w:t>26 настоящего Регламента.</w:t>
            </w:r>
          </w:p>
          <w:p w:rsidR="00407174" w:rsidRDefault="00AB250C" w:rsidP="001E0922">
            <w:pPr>
              <w:tabs>
                <w:tab w:val="left" w:pos="953"/>
              </w:tabs>
              <w:spacing w:before="60" w:after="0"/>
              <w:ind w:left="38"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Совет рынка передает ЦФР подписанные сторонами дополнительные соглашения к соглашениям о порядке исполнения обязательств</w:t>
            </w:r>
            <w:r w:rsidR="00462AE5" w:rsidRPr="00462AE5">
              <w:rPr>
                <w:rFonts w:ascii="Garamond" w:hAnsi="Garamond"/>
                <w:highlight w:val="yellow"/>
              </w:rPr>
              <w:t xml:space="preserve"> по формам приложений 114.15а, 114.15б к настоящему Регламенту</w:t>
            </w:r>
            <w:r>
              <w:rPr>
                <w:rFonts w:ascii="Garamond" w:hAnsi="Garamond"/>
                <w:highlight w:val="yellow"/>
              </w:rPr>
              <w:t xml:space="preserve"> и </w:t>
            </w:r>
            <w:r w:rsidR="001E0922">
              <w:rPr>
                <w:rFonts w:ascii="Garamond" w:hAnsi="Garamond"/>
                <w:highlight w:val="yellow"/>
              </w:rPr>
              <w:t>р</w:t>
            </w:r>
            <w:r>
              <w:rPr>
                <w:rFonts w:ascii="Garamond" w:hAnsi="Garamond"/>
                <w:highlight w:val="yellow"/>
              </w:rPr>
              <w:t>еестр заключенных участниками оптового рынка дополнительных соглашений в формате, согласованном с ЦФР</w:t>
            </w:r>
            <w:r w:rsidR="004670F6">
              <w:rPr>
                <w:rFonts w:ascii="Garamond" w:hAnsi="Garamond"/>
                <w:highlight w:val="yellow"/>
              </w:rPr>
              <w:t>, не позднее</w:t>
            </w:r>
            <w:r w:rsidR="00462AE5">
              <w:rPr>
                <w:rFonts w:ascii="Garamond" w:hAnsi="Garamond"/>
                <w:highlight w:val="yellow"/>
              </w:rPr>
              <w:t xml:space="preserve"> 27.02.2023</w:t>
            </w:r>
            <w:r>
              <w:rPr>
                <w:rFonts w:ascii="Garamond" w:hAnsi="Garamond"/>
                <w:highlight w:val="yellow"/>
              </w:rPr>
              <w:t>.</w:t>
            </w:r>
          </w:p>
          <w:p w:rsidR="00407174" w:rsidRDefault="00AB250C" w:rsidP="001E0922">
            <w:pPr>
              <w:tabs>
                <w:tab w:val="left" w:pos="953"/>
              </w:tabs>
              <w:spacing w:before="120" w:after="60"/>
              <w:ind w:left="38"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При этом дополнительные соглашения к соглашениям о порядке исполнения обязательств </w:t>
            </w:r>
            <w:r w:rsidR="00462AE5">
              <w:rPr>
                <w:rFonts w:ascii="Garamond" w:eastAsia="Times New Roman" w:hAnsi="Garamond"/>
                <w:highlight w:val="yellow"/>
              </w:rPr>
              <w:t>по форме приложения 114.15а</w:t>
            </w:r>
            <w:r w:rsidR="00462AE5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 xml:space="preserve">и </w:t>
            </w:r>
            <w:r w:rsidR="001E0922">
              <w:rPr>
                <w:rFonts w:ascii="Garamond" w:hAnsi="Garamond"/>
                <w:highlight w:val="yellow"/>
              </w:rPr>
              <w:t>р</w:t>
            </w:r>
            <w:r>
              <w:rPr>
                <w:rFonts w:ascii="Garamond" w:hAnsi="Garamond"/>
                <w:highlight w:val="yellow"/>
              </w:rPr>
              <w:t xml:space="preserve">еестр заключенных дополнительных соглашений </w:t>
            </w:r>
            <w:r w:rsidR="00462AE5">
              <w:rPr>
                <w:rFonts w:ascii="Garamond" w:hAnsi="Garamond"/>
                <w:highlight w:val="yellow"/>
              </w:rPr>
              <w:t xml:space="preserve">Совет рынка передает в ЦФР </w:t>
            </w:r>
            <w:r>
              <w:rPr>
                <w:rFonts w:ascii="Garamond" w:hAnsi="Garamond"/>
                <w:highlight w:val="yellow"/>
              </w:rPr>
              <w:t>при соблюдении одновременно следующих условий:</w:t>
            </w:r>
          </w:p>
          <w:p w:rsidR="00407174" w:rsidRDefault="00AB250C" w:rsidP="001E0922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0"/>
              <w:ind w:left="38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>
              <w:rPr>
                <w:szCs w:val="22"/>
                <w:highlight w:val="yellow"/>
                <w:lang w:val="ru-RU"/>
              </w:rPr>
              <w:t xml:space="preserve"> дополнительные соглашения полностью соответствуют по форме и содержанию дополнительным </w:t>
            </w:r>
            <w:r>
              <w:rPr>
                <w:color w:val="000000"/>
                <w:szCs w:val="22"/>
                <w:highlight w:val="yellow"/>
                <w:lang w:val="ru-RU"/>
              </w:rPr>
              <w:t>соглашениям</w:t>
            </w:r>
            <w:r>
              <w:rPr>
                <w:szCs w:val="22"/>
                <w:highlight w:val="yellow"/>
                <w:lang w:val="ru-RU"/>
              </w:rPr>
              <w:t xml:space="preserve">, предоставленным участникам </w:t>
            </w:r>
            <w:r>
              <w:rPr>
                <w:bCs/>
                <w:szCs w:val="22"/>
                <w:highlight w:val="yellow"/>
                <w:lang w:val="ru-RU"/>
              </w:rPr>
              <w:t xml:space="preserve">оптового рынка </w:t>
            </w:r>
            <w:r>
              <w:rPr>
                <w:szCs w:val="22"/>
                <w:highlight w:val="yellow"/>
                <w:lang w:val="ru-RU"/>
              </w:rPr>
              <w:t>для подписания в соответствии с настоящим пунктом</w:t>
            </w:r>
            <w:r>
              <w:rPr>
                <w:color w:val="000000"/>
                <w:szCs w:val="22"/>
                <w:highlight w:val="yellow"/>
                <w:lang w:val="ru-RU"/>
              </w:rPr>
              <w:t>;</w:t>
            </w:r>
          </w:p>
          <w:p w:rsidR="00407174" w:rsidRDefault="00AB250C" w:rsidP="001E0922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0"/>
              <w:ind w:left="38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>
              <w:rPr>
                <w:szCs w:val="22"/>
                <w:highlight w:val="yellow"/>
                <w:lang w:val="ru-RU"/>
              </w:rPr>
              <w:t xml:space="preserve"> дополнительные соглашения подписаны уполномоченными от имени участников оптового рынка лицами с применением электронной подписи;</w:t>
            </w:r>
          </w:p>
          <w:p w:rsidR="00407174" w:rsidRPr="00462AE5" w:rsidRDefault="00AB250C" w:rsidP="001E0922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0"/>
              <w:ind w:left="38" w:firstLine="567"/>
              <w:contextualSpacing w:val="0"/>
              <w:jc w:val="both"/>
              <w:rPr>
                <w:highlight w:val="yellow"/>
                <w:lang w:val="ru-RU"/>
              </w:rPr>
            </w:pPr>
            <w:r w:rsidRPr="00462AE5">
              <w:rPr>
                <w:szCs w:val="22"/>
                <w:highlight w:val="yellow"/>
                <w:lang w:val="ru-RU"/>
              </w:rPr>
              <w:t>дополнительные соглашения</w:t>
            </w:r>
            <w:r w:rsidR="00462AE5" w:rsidRPr="00462AE5">
              <w:rPr>
                <w:szCs w:val="22"/>
                <w:highlight w:val="yellow"/>
                <w:lang w:val="ru-RU"/>
              </w:rPr>
              <w:t xml:space="preserve"> подписаны</w:t>
            </w:r>
            <w:r w:rsidR="00462AE5" w:rsidRPr="00462AE5">
              <w:rPr>
                <w:highlight w:val="yellow"/>
                <w:lang w:val="ru-RU"/>
              </w:rPr>
              <w:t xml:space="preserve"> </w:t>
            </w:r>
            <w:r w:rsidRPr="00462AE5">
              <w:rPr>
                <w:highlight w:val="yellow"/>
                <w:lang w:val="ru-RU"/>
              </w:rPr>
              <w:t>ко всем соглашениям о порядке исполнения обязательств, заключенным с покупателем на условиях варианта 1 (Оплата векселями) приложения 2 к соглашению</w:t>
            </w:r>
            <w:r w:rsidR="00462AE5">
              <w:rPr>
                <w:highlight w:val="yellow"/>
                <w:lang w:val="ru-RU"/>
              </w:rPr>
              <w:t>.</w:t>
            </w:r>
          </w:p>
          <w:p w:rsidR="00462AE5" w:rsidRDefault="00462AE5" w:rsidP="001E0922">
            <w:pPr>
              <w:tabs>
                <w:tab w:val="left" w:pos="953"/>
              </w:tabs>
              <w:spacing w:before="120" w:after="60"/>
              <w:ind w:left="38"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Дополнительные соглашения к соглашениям о порядке исполнения обязательств </w:t>
            </w:r>
            <w:r>
              <w:rPr>
                <w:rFonts w:ascii="Garamond" w:eastAsia="Times New Roman" w:hAnsi="Garamond"/>
                <w:highlight w:val="yellow"/>
              </w:rPr>
              <w:t>по форме приложения 114.15б</w:t>
            </w:r>
            <w:r>
              <w:rPr>
                <w:rFonts w:ascii="Garamond" w:hAnsi="Garamond"/>
                <w:highlight w:val="yellow"/>
              </w:rPr>
              <w:t xml:space="preserve"> и </w:t>
            </w:r>
            <w:r w:rsidR="001E0922">
              <w:rPr>
                <w:rFonts w:ascii="Garamond" w:hAnsi="Garamond"/>
                <w:highlight w:val="yellow"/>
              </w:rPr>
              <w:t>р</w:t>
            </w:r>
            <w:r>
              <w:rPr>
                <w:rFonts w:ascii="Garamond" w:hAnsi="Garamond"/>
                <w:highlight w:val="yellow"/>
              </w:rPr>
              <w:t>еестр заключенных дополнительных соглашений Совет рынка передает в ЦФР при соблюдении одновременно следующих условий:</w:t>
            </w:r>
          </w:p>
          <w:p w:rsidR="00462AE5" w:rsidRDefault="00462AE5" w:rsidP="001E0922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0"/>
              <w:ind w:left="38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>
              <w:rPr>
                <w:szCs w:val="22"/>
                <w:highlight w:val="yellow"/>
                <w:lang w:val="ru-RU"/>
              </w:rPr>
              <w:t xml:space="preserve">дополнительные соглашения полностью соответствуют по форме и содержанию дополнительным </w:t>
            </w:r>
            <w:r>
              <w:rPr>
                <w:color w:val="000000"/>
                <w:szCs w:val="22"/>
                <w:highlight w:val="yellow"/>
                <w:lang w:val="ru-RU"/>
              </w:rPr>
              <w:t>соглашениям</w:t>
            </w:r>
            <w:r>
              <w:rPr>
                <w:szCs w:val="22"/>
                <w:highlight w:val="yellow"/>
                <w:lang w:val="ru-RU"/>
              </w:rPr>
              <w:t xml:space="preserve">, предоставленным участникам </w:t>
            </w:r>
            <w:r>
              <w:rPr>
                <w:bCs/>
                <w:szCs w:val="22"/>
                <w:highlight w:val="yellow"/>
                <w:lang w:val="ru-RU"/>
              </w:rPr>
              <w:t xml:space="preserve">оптового рынка </w:t>
            </w:r>
            <w:r>
              <w:rPr>
                <w:szCs w:val="22"/>
                <w:highlight w:val="yellow"/>
                <w:lang w:val="ru-RU"/>
              </w:rPr>
              <w:t>для подписания в соответствии с настоящим пунктом</w:t>
            </w:r>
            <w:r>
              <w:rPr>
                <w:color w:val="000000"/>
                <w:szCs w:val="22"/>
                <w:highlight w:val="yellow"/>
                <w:lang w:val="ru-RU"/>
              </w:rPr>
              <w:t>;</w:t>
            </w:r>
          </w:p>
          <w:p w:rsidR="00462AE5" w:rsidRDefault="00462AE5" w:rsidP="001E0922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0"/>
              <w:ind w:left="38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>
              <w:rPr>
                <w:szCs w:val="22"/>
                <w:highlight w:val="yellow"/>
                <w:lang w:val="ru-RU"/>
              </w:rPr>
              <w:t xml:space="preserve"> дополнительные соглашения подписаны уполномоченными от имени участников оптового рынка лицами с применением электронной подписи;</w:t>
            </w:r>
          </w:p>
          <w:p w:rsidR="00462AE5" w:rsidRPr="00462AE5" w:rsidRDefault="00462AE5" w:rsidP="001E0922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0"/>
              <w:ind w:left="38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332594">
              <w:rPr>
                <w:szCs w:val="22"/>
                <w:highlight w:val="yellow"/>
                <w:lang w:val="ru-RU"/>
              </w:rPr>
              <w:lastRenderedPageBreak/>
              <w:t>дополнительные соглашения подписаны</w:t>
            </w:r>
            <w:r w:rsidRPr="00462AE5">
              <w:rPr>
                <w:szCs w:val="22"/>
                <w:highlight w:val="yellow"/>
                <w:lang w:val="ru-RU"/>
              </w:rPr>
              <w:t xml:space="preserve"> ко всем соглашениям о порядке исполнения обязательств, заключенным с покупателем</w:t>
            </w:r>
            <w:r w:rsidR="001E0922">
              <w:rPr>
                <w:szCs w:val="22"/>
                <w:highlight w:val="yellow"/>
                <w:lang w:val="ru-RU"/>
              </w:rPr>
              <w:t>.</w:t>
            </w:r>
          </w:p>
          <w:p w:rsidR="00407174" w:rsidRDefault="00AB250C" w:rsidP="001E0922">
            <w:pPr>
              <w:tabs>
                <w:tab w:val="left" w:pos="953"/>
              </w:tabs>
              <w:spacing w:before="120" w:after="60"/>
              <w:ind w:left="38" w:firstLine="567"/>
              <w:jc w:val="both"/>
              <w:rPr>
                <w:rFonts w:ascii="Garamond" w:eastAsia="Times New Roman" w:hAnsi="Garamond"/>
                <w:color w:val="000000"/>
              </w:rPr>
            </w:pPr>
            <w:r>
              <w:rPr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ЦФР принимает к учету дополнительные соглашения к соглашениям о порядке исполнения обязательств</w:t>
            </w:r>
            <w:r w:rsidR="004670F6">
              <w:rPr>
                <w:rFonts w:ascii="Garamond" w:hAnsi="Garamond"/>
                <w:highlight w:val="yellow"/>
              </w:rPr>
              <w:t xml:space="preserve"> </w:t>
            </w:r>
            <w:r w:rsidR="00462AE5" w:rsidRPr="00332594">
              <w:rPr>
                <w:rFonts w:ascii="Garamond" w:hAnsi="Garamond"/>
                <w:highlight w:val="yellow"/>
              </w:rPr>
              <w:t>по формам приложений 114.15а, 114.15б к настоящему Регламенту</w:t>
            </w:r>
            <w:r w:rsidR="00462AE5">
              <w:rPr>
                <w:rFonts w:ascii="Garamond" w:hAnsi="Garamond"/>
                <w:highlight w:val="yellow"/>
              </w:rPr>
              <w:t xml:space="preserve"> </w:t>
            </w:r>
            <w:r w:rsidR="004670F6">
              <w:rPr>
                <w:rFonts w:ascii="Garamond" w:hAnsi="Garamond"/>
                <w:highlight w:val="yellow"/>
              </w:rPr>
              <w:t>не позднее</w:t>
            </w:r>
            <w:r w:rsidR="00462AE5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eastAsia="Times New Roman" w:hAnsi="Garamond"/>
                <w:highlight w:val="yellow"/>
              </w:rPr>
              <w:t>28.02.2023</w:t>
            </w:r>
            <w:r>
              <w:rPr>
                <w:rFonts w:ascii="Garamond" w:eastAsia="Times New Roman" w:hAnsi="Garamond"/>
              </w:rPr>
              <w:t>.</w:t>
            </w:r>
          </w:p>
        </w:tc>
      </w:tr>
      <w:tr w:rsidR="00407174" w:rsidTr="00D5290E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7174" w:rsidRDefault="00AB250C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18´.23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74" w:rsidRDefault="00AB250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ЦФР принимает к учету соглашения о порядке исполнения обязательств 11.03.2022.</w:t>
            </w:r>
          </w:p>
          <w:p w:rsidR="00407174" w:rsidRDefault="00AB250C" w:rsidP="00462AE5">
            <w:pPr>
              <w:pStyle w:val="a5"/>
              <w:spacing w:after="60"/>
              <w:ind w:firstLine="567"/>
              <w:rPr>
                <w:rFonts w:ascii="Garamond" w:eastAsia="Calibri" w:hAnsi="Garamond"/>
                <w:bCs/>
                <w:szCs w:val="22"/>
                <w:lang w:val="ru-RU"/>
              </w:rPr>
            </w:pPr>
            <w:r>
              <w:rPr>
                <w:rFonts w:ascii="Garamond" w:eastAsia="Calibri" w:hAnsi="Garamond"/>
                <w:bCs/>
                <w:szCs w:val="22"/>
                <w:lang w:val="ru-RU"/>
              </w:rPr>
              <w:t>Начиная с 20.05.2022 ЦФР:</w:t>
            </w:r>
          </w:p>
          <w:p w:rsidR="00407174" w:rsidRDefault="00AB250C" w:rsidP="00462AE5">
            <w:pPr>
              <w:pStyle w:val="a5"/>
              <w:numPr>
                <w:ilvl w:val="0"/>
                <w:numId w:val="12"/>
              </w:numPr>
              <w:spacing w:before="0" w:after="60"/>
              <w:ind w:left="0" w:firstLine="567"/>
              <w:rPr>
                <w:rFonts w:ascii="Garamond" w:eastAsia="Calibri" w:hAnsi="Garamond"/>
                <w:bCs/>
                <w:szCs w:val="22"/>
                <w:lang w:val="ru-RU"/>
              </w:rPr>
            </w:pPr>
            <w:r>
              <w:rPr>
                <w:rFonts w:ascii="Garamond" w:eastAsia="Calibri" w:hAnsi="Garamond"/>
                <w:bCs/>
                <w:szCs w:val="22"/>
                <w:lang w:val="ru-RU"/>
              </w:rPr>
              <w:t>в порядке и в сроки, установленные приложением 114.17 к настоящему Регламенту, в отношении соглашений о порядке исполнения обязательств, заключенных на условиях варианта 2 (Оплата денежными средствами с отсрочкой на 13 лет) приложения 2 к соглашению, формирует обязательства по оплате с измененными сроками исполнения, предусмотренными данными соглашениями;</w:t>
            </w:r>
          </w:p>
          <w:p w:rsidR="00407174" w:rsidRDefault="00AB250C" w:rsidP="00462AE5">
            <w:pPr>
              <w:pStyle w:val="a5"/>
              <w:numPr>
                <w:ilvl w:val="0"/>
                <w:numId w:val="12"/>
              </w:numPr>
              <w:spacing w:before="0" w:after="60"/>
              <w:ind w:left="0" w:firstLine="567"/>
              <w:rPr>
                <w:rFonts w:ascii="Garamond" w:eastAsia="Calibri" w:hAnsi="Garamond"/>
                <w:bCs/>
                <w:szCs w:val="22"/>
                <w:lang w:val="ru-RU"/>
              </w:rPr>
            </w:pPr>
            <w:r>
              <w:rPr>
                <w:rFonts w:ascii="Garamond" w:eastAsia="Calibri" w:hAnsi="Garamond"/>
                <w:bCs/>
                <w:szCs w:val="22"/>
                <w:lang w:val="ru-RU"/>
              </w:rPr>
              <w:t xml:space="preserve"> уведомляет покупателя и продавца об изменении дат платежа путем публикации отчета о состоянии обязательств в соответствии с разделом 9 настоящего Регламента.</w:t>
            </w:r>
          </w:p>
          <w:p w:rsidR="00407174" w:rsidRPr="00E7531D" w:rsidRDefault="00AB250C" w:rsidP="00E7531D">
            <w:pPr>
              <w:pStyle w:val="a5"/>
              <w:ind w:firstLine="567"/>
              <w:rPr>
                <w:rFonts w:ascii="Garamond" w:eastAsia="Calibri" w:hAnsi="Garamond"/>
                <w:bCs/>
                <w:szCs w:val="22"/>
                <w:lang w:val="ru-RU"/>
              </w:rPr>
            </w:pPr>
            <w:r>
              <w:rPr>
                <w:rFonts w:ascii="Garamond" w:eastAsia="Calibri" w:hAnsi="Garamond"/>
                <w:bCs/>
                <w:szCs w:val="22"/>
                <w:lang w:val="ru-RU"/>
              </w:rPr>
              <w:t>Ежемесячно, не позднее 20-го числа месяца, в котором ЦФР формирует обязательства по оплате с измененными сроками исполнения в соответствии с приложением 114.17 к настоящему Регламенту (в отношении периодов с 01.01.2022 по 30.04.2022 – не позднее 20.05.2022), ЦФР публикует покупателю и продавцу уведомление о величине обязательств, в отношении которых изменяется срок исполнения, по форме, установленной приложением 114.23 к настоящему Регламенту, в разделе с ограниченным в соответствии с Правилами ЭДО СЭД КО доступом на сайте КО.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74" w:rsidRDefault="00AB250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ЦФР принимает к учету соглашения о порядке исполнения обязательств 11.03.2022.</w:t>
            </w:r>
          </w:p>
          <w:p w:rsidR="00407174" w:rsidRDefault="00AB250C" w:rsidP="00462AE5">
            <w:pPr>
              <w:pStyle w:val="a5"/>
              <w:spacing w:after="60"/>
              <w:ind w:firstLine="567"/>
              <w:rPr>
                <w:rFonts w:ascii="Garamond" w:eastAsia="Calibri" w:hAnsi="Garamond"/>
                <w:bCs/>
                <w:szCs w:val="22"/>
                <w:lang w:val="ru-RU"/>
              </w:rPr>
            </w:pPr>
            <w:r>
              <w:rPr>
                <w:rFonts w:ascii="Garamond" w:eastAsia="Calibri" w:hAnsi="Garamond"/>
                <w:bCs/>
                <w:szCs w:val="22"/>
                <w:lang w:val="ru-RU"/>
              </w:rPr>
              <w:t>Начиная с 20.05.2022 ЦФР:</w:t>
            </w:r>
          </w:p>
          <w:p w:rsidR="00407174" w:rsidRDefault="00AB250C" w:rsidP="00462AE5">
            <w:pPr>
              <w:pStyle w:val="a5"/>
              <w:numPr>
                <w:ilvl w:val="0"/>
                <w:numId w:val="12"/>
              </w:numPr>
              <w:tabs>
                <w:tab w:val="left" w:pos="758"/>
              </w:tabs>
              <w:spacing w:before="0" w:after="60"/>
              <w:ind w:left="0" w:firstLine="567"/>
              <w:rPr>
                <w:rFonts w:ascii="Garamond" w:eastAsia="Calibri" w:hAnsi="Garamond"/>
                <w:bCs/>
                <w:szCs w:val="22"/>
                <w:lang w:val="ru-RU"/>
              </w:rPr>
            </w:pPr>
            <w:r>
              <w:rPr>
                <w:rFonts w:ascii="Garamond" w:eastAsia="Calibri" w:hAnsi="Garamond"/>
                <w:bCs/>
                <w:szCs w:val="22"/>
                <w:lang w:val="ru-RU"/>
              </w:rPr>
              <w:t>в порядке и в сроки, установленные приложением 114.17 к настоящему Регламенту, в отношении соглашений о порядке исполнения обязательств, заключенных на условиях варианта 2 (Оплата денежными средствами с отсрочкой на 13 лет) приложения 2 к соглашению, формирует обязательства по оплате с измененными сроками исполнения, предусмотренными данными соглашениями;</w:t>
            </w:r>
          </w:p>
          <w:p w:rsidR="00407174" w:rsidRDefault="00AB250C" w:rsidP="00462AE5">
            <w:pPr>
              <w:pStyle w:val="a5"/>
              <w:numPr>
                <w:ilvl w:val="0"/>
                <w:numId w:val="12"/>
              </w:numPr>
              <w:spacing w:before="0" w:after="60"/>
              <w:ind w:left="0" w:firstLine="567"/>
              <w:rPr>
                <w:rFonts w:ascii="Garamond" w:eastAsia="Calibri" w:hAnsi="Garamond"/>
                <w:bCs/>
                <w:szCs w:val="22"/>
                <w:lang w:val="ru-RU"/>
              </w:rPr>
            </w:pPr>
            <w:r>
              <w:rPr>
                <w:rFonts w:ascii="Garamond" w:eastAsia="Calibri" w:hAnsi="Garamond"/>
                <w:bCs/>
                <w:szCs w:val="22"/>
                <w:lang w:val="ru-RU"/>
              </w:rPr>
              <w:t xml:space="preserve"> уведомляет покупателя и продавца об изменении дат платежа путем публикации отчета о состоянии обязательств в соответствии с разделом 9 настоящего Регламента.</w:t>
            </w:r>
          </w:p>
          <w:p w:rsidR="00407174" w:rsidRPr="00E7531D" w:rsidRDefault="00AB250C" w:rsidP="00ED620B">
            <w:pPr>
              <w:pStyle w:val="a5"/>
              <w:ind w:firstLine="567"/>
              <w:rPr>
                <w:rFonts w:ascii="Garamond" w:eastAsia="Calibri" w:hAnsi="Garamond"/>
                <w:bCs/>
                <w:szCs w:val="22"/>
                <w:lang w:val="ru-RU"/>
              </w:rPr>
            </w:pPr>
            <w:r>
              <w:rPr>
                <w:rFonts w:ascii="Garamond" w:eastAsia="Calibri" w:hAnsi="Garamond"/>
                <w:bCs/>
                <w:szCs w:val="22"/>
                <w:lang w:val="ru-RU"/>
              </w:rPr>
              <w:t xml:space="preserve">Ежемесячно, не позднее 20-го числа месяца, в котором ЦФР формирует обязательства по оплате с измененными сроками исполнения в соответствии с приложением 114.17 к настоящему Регламенту (в отношении </w:t>
            </w:r>
            <w:r>
              <w:rPr>
                <w:rFonts w:ascii="Garamond" w:eastAsia="Calibri" w:hAnsi="Garamond"/>
                <w:bCs/>
                <w:szCs w:val="22"/>
                <w:highlight w:val="yellow"/>
                <w:lang w:val="ru-RU"/>
              </w:rPr>
              <w:t>расчетных</w:t>
            </w:r>
            <w:r>
              <w:rPr>
                <w:rFonts w:ascii="Garamond" w:eastAsia="Calibri" w:hAnsi="Garamond"/>
                <w:bCs/>
                <w:szCs w:val="22"/>
                <w:lang w:val="ru-RU"/>
              </w:rPr>
              <w:t xml:space="preserve"> периодов с 01.01.2022 по 30.04.2022 – не позднее 20.05.2022, </w:t>
            </w:r>
            <w:r>
              <w:rPr>
                <w:rFonts w:ascii="Garamond" w:eastAsia="Calibri" w:hAnsi="Garamond"/>
                <w:bCs/>
                <w:szCs w:val="22"/>
                <w:highlight w:val="yellow"/>
                <w:lang w:val="ru-RU"/>
              </w:rPr>
              <w:t xml:space="preserve">в отношении расчетного периода </w:t>
            </w:r>
            <w:r w:rsidR="00ED620B">
              <w:rPr>
                <w:rFonts w:ascii="Garamond" w:eastAsia="Calibri" w:hAnsi="Garamond"/>
                <w:bCs/>
                <w:szCs w:val="22"/>
                <w:highlight w:val="yellow"/>
                <w:lang w:val="ru-RU"/>
              </w:rPr>
              <w:t xml:space="preserve">– </w:t>
            </w:r>
            <w:r>
              <w:rPr>
                <w:rFonts w:ascii="Garamond" w:eastAsia="Calibri" w:hAnsi="Garamond"/>
                <w:bCs/>
                <w:szCs w:val="22"/>
                <w:highlight w:val="yellow"/>
                <w:lang w:val="ru-RU"/>
              </w:rPr>
              <w:t>январ</w:t>
            </w:r>
            <w:r w:rsidR="00ED620B">
              <w:rPr>
                <w:rFonts w:ascii="Garamond" w:eastAsia="Calibri" w:hAnsi="Garamond"/>
                <w:bCs/>
                <w:szCs w:val="22"/>
                <w:highlight w:val="yellow"/>
                <w:lang w:val="ru-RU"/>
              </w:rPr>
              <w:t>я</w:t>
            </w:r>
            <w:r>
              <w:rPr>
                <w:rFonts w:ascii="Garamond" w:eastAsia="Calibri" w:hAnsi="Garamond"/>
                <w:bCs/>
                <w:szCs w:val="22"/>
                <w:highlight w:val="yellow"/>
                <w:lang w:val="ru-RU"/>
              </w:rPr>
              <w:t xml:space="preserve"> 2023</w:t>
            </w:r>
            <w:r w:rsidR="00ED620B">
              <w:rPr>
                <w:rFonts w:ascii="Garamond" w:eastAsia="Calibri" w:hAnsi="Garamond"/>
                <w:bCs/>
                <w:szCs w:val="22"/>
                <w:highlight w:val="yellow"/>
                <w:lang w:val="ru-RU"/>
              </w:rPr>
              <w:t xml:space="preserve"> года</w:t>
            </w:r>
            <w:r>
              <w:rPr>
                <w:rFonts w:ascii="Garamond" w:eastAsia="Calibri" w:hAnsi="Garamond"/>
                <w:bCs/>
                <w:szCs w:val="22"/>
                <w:highlight w:val="yellow"/>
                <w:lang w:val="ru-RU"/>
              </w:rPr>
              <w:t xml:space="preserve"> –</w:t>
            </w:r>
            <w:r w:rsidR="00652B37">
              <w:rPr>
                <w:rFonts w:ascii="Garamond" w:eastAsia="Calibri" w:hAnsi="Garamond"/>
                <w:bCs/>
                <w:szCs w:val="22"/>
                <w:highlight w:val="yellow"/>
                <w:lang w:val="ru-RU"/>
              </w:rPr>
              <w:t xml:space="preserve"> не позднее</w:t>
            </w:r>
            <w:r>
              <w:rPr>
                <w:rFonts w:ascii="Garamond" w:eastAsia="Calibri" w:hAnsi="Garamond"/>
                <w:bCs/>
                <w:szCs w:val="22"/>
                <w:highlight w:val="yellow"/>
                <w:lang w:val="ru-RU"/>
              </w:rPr>
              <w:t xml:space="preserve"> 28.02.2023</w:t>
            </w:r>
            <w:r>
              <w:rPr>
                <w:rFonts w:ascii="Garamond" w:eastAsia="Calibri" w:hAnsi="Garamond"/>
                <w:bCs/>
                <w:szCs w:val="22"/>
                <w:lang w:val="ru-RU"/>
              </w:rPr>
              <w:t>), ЦФР публикует покупателю и продавцу уведомление о величине обязательств, в отношении которых изменяется срок исполнения, по форме, установленной приложением 114.23 к настоящему Регламенту, в разделе с ограниченным в соответствии с Правилами ЭДО СЭД КО доступом на сайте КО.</w:t>
            </w:r>
          </w:p>
        </w:tc>
      </w:tr>
      <w:tr w:rsidR="00407174" w:rsidTr="00D5290E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7174" w:rsidRDefault="00AB250C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bCs/>
              </w:rPr>
              <w:t>18´.24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74" w:rsidRDefault="00AB250C">
            <w:pPr>
              <w:widowControl w:val="0"/>
              <w:spacing w:before="120" w:after="120" w:line="240" w:lineRule="auto"/>
              <w:ind w:firstLine="764"/>
              <w:jc w:val="both"/>
              <w:outlineLvl w:val="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…</w:t>
            </w:r>
          </w:p>
          <w:p w:rsidR="00407174" w:rsidRDefault="00AB250C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По итогам третьего и четвертого кварталов 2022 года ЦФР фиксирует наступление событий, указанных в подп. 2 настоящего пункта, в случае если по информации, учтенной по итогам 30.12.2022 и 31.03.2023, у покупателя хотя бы перед одним </w:t>
            </w:r>
            <w:r>
              <w:rPr>
                <w:rFonts w:ascii="Garamond" w:hAnsi="Garamond"/>
                <w:bCs/>
              </w:rPr>
              <w:lastRenderedPageBreak/>
              <w:t xml:space="preserve">продавцом, заключившим с ним такое соглашение, по итогам 15.11.2022 и 15.02.2023 (соответственно) имеется задолженность по обязательствам по оплате электрической энергии и (или) мощности за расчетные периоды до окончания третьего и четвертого квартала 2022 года (соответственно) по любому из заключаемых в соответствии с </w:t>
            </w:r>
            <w:r w:rsidRPr="00ED620B">
              <w:rPr>
                <w:rFonts w:ascii="Garamond" w:hAnsi="Garamond"/>
                <w:bCs/>
                <w:i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bCs/>
              </w:rPr>
              <w:t xml:space="preserve"> 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 перед продавцом, заключившим такое соглашение на условиях варианта 1 (Оплата векселями) приложения 2 к соглашению, в отношении которой до последнего рабочего дня соответствующего квартала (включительно) не были заключены договоры уступки прав (цессии) в соответствии с разделом 14 настоящего Регламента.</w:t>
            </w:r>
          </w:p>
          <w:p w:rsidR="00407174" w:rsidRDefault="00AB250C">
            <w:pPr>
              <w:widowControl w:val="0"/>
              <w:spacing w:before="120" w:after="120" w:line="240" w:lineRule="auto"/>
              <w:ind w:left="764"/>
              <w:jc w:val="both"/>
              <w:outlineLvl w:val="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…</w:t>
            </w:r>
          </w:p>
          <w:p w:rsidR="00407174" w:rsidRDefault="00407174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74" w:rsidRDefault="00AB250C">
            <w:pPr>
              <w:widowControl w:val="0"/>
              <w:spacing w:before="120" w:after="120" w:line="240" w:lineRule="auto"/>
              <w:ind w:firstLine="746"/>
              <w:jc w:val="both"/>
              <w:outlineLvl w:val="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lastRenderedPageBreak/>
              <w:t>…</w:t>
            </w:r>
          </w:p>
          <w:p w:rsidR="00407174" w:rsidRDefault="00AB250C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По итогам третьего и четвертого кварталов 2022 года ЦФР фиксирует наступление событий, указанных в подп. 2 настоящего пункта, в случае если по информации, учтенной по итогам 30.12.2022 и 31.03.2023, у покупателя хотя бы перед одним продавцом, заключившим с ним такое соглашение, по итогам </w:t>
            </w:r>
            <w:r>
              <w:rPr>
                <w:rFonts w:ascii="Garamond" w:hAnsi="Garamond"/>
                <w:bCs/>
              </w:rPr>
              <w:lastRenderedPageBreak/>
              <w:t xml:space="preserve">15.11.2022 и 15.02.2023 (соответственно) имеется задолженность по обязательствам по оплате электрической энергии и (или) мощности за расчетные периоды до окончания третьего и четвертого квартала 2022 года (соответственно) по любому из заключаемых в соответствии с </w:t>
            </w:r>
            <w:r w:rsidRPr="00ED620B">
              <w:rPr>
                <w:rFonts w:ascii="Garamond" w:hAnsi="Garamond"/>
                <w:bCs/>
                <w:i/>
              </w:rPr>
              <w:t xml:space="preserve">Договором о присоединении к торговой системе оптового рынка </w:t>
            </w:r>
            <w:r>
              <w:rPr>
                <w:rFonts w:ascii="Garamond" w:hAnsi="Garamond"/>
                <w:bCs/>
              </w:rPr>
              <w:t>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 перед продавцом, заключившим такое соглашение на условиях варианта 1 (Оплата векселями) приложения 2 к соглашению, в отношении которой до последнего рабочего дня соответствующего квартала (включительно) не были заключены договоры уступки прав (цессии) в соответствии с разделом 14 настоящего Регламента.</w:t>
            </w:r>
          </w:p>
          <w:p w:rsidR="00407174" w:rsidRDefault="00AB250C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  <w:highlight w:val="yellow"/>
              </w:rPr>
              <w:t xml:space="preserve">По итогам первого, второго, третьего и четвертого кварталов 2023 года ЦФР фиксирует наступление событий, указанных в подп. 2 настоящего пункта, в случае если по информации, учтенной по итогам 30.06.2023, 29.09.2023, 29.12.2023 и 29.03.2024, у покупателя хотя бы перед одним продавцом, заключившим с ним такое соглашение, по итогам 15.05.2023, 15.08.2023, 15.11.2023 и 15.02.2024 (соответственно) имеется задолженность по обязательствам по оплате электрической энергии и (или) мощности за расчетные периоды до окончания соответствующего квартала 2023 года по любому из заключаемых в соответствии с </w:t>
            </w:r>
            <w:r w:rsidRPr="001E0922">
              <w:rPr>
                <w:rFonts w:ascii="Garamond" w:hAnsi="Garamond"/>
                <w:bCs/>
                <w:i/>
                <w:highlight w:val="yellow"/>
              </w:rPr>
              <w:t xml:space="preserve">Договором о присоединении к торговой системе оптового рынка </w:t>
            </w:r>
            <w:r>
              <w:rPr>
                <w:rFonts w:ascii="Garamond" w:hAnsi="Garamond"/>
                <w:bCs/>
                <w:highlight w:val="yellow"/>
              </w:rPr>
              <w:t>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 перед продавцом, заключившим такое соглашение на условиях варианта 1 (Оплата векселями) приложения 2 к соглашению, в отношении которой до последнего рабочего дня соответствующего квартала (включительно) не были заключены договоры уступки прав (цессии) в соответствии с разделом 14 настоящего Регламента.</w:t>
            </w:r>
          </w:p>
          <w:p w:rsidR="00407174" w:rsidRPr="00E7531D" w:rsidRDefault="00AB250C" w:rsidP="00E7531D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…</w:t>
            </w:r>
          </w:p>
        </w:tc>
      </w:tr>
      <w:tr w:rsidR="00407174" w:rsidTr="00D5290E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7174" w:rsidRDefault="00AB250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18´.26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74" w:rsidRDefault="00AB250C">
            <w:pPr>
              <w:pStyle w:val="a5"/>
              <w:ind w:firstLine="598"/>
              <w:rPr>
                <w:rFonts w:ascii="Garamond" w:hAnsi="Garamond"/>
                <w:b/>
                <w:color w:val="000000"/>
                <w:lang w:val="ru-RU"/>
              </w:rPr>
            </w:pPr>
            <w:r>
              <w:rPr>
                <w:rFonts w:ascii="Garamond" w:hAnsi="Garamond"/>
                <w:b/>
                <w:color w:val="000000"/>
                <w:lang w:val="ru-RU"/>
              </w:rPr>
              <w:t>Добавить пункт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74" w:rsidRDefault="00AB250C" w:rsidP="00E7531D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Совет рынка организует заключение участниками оптового рынка дополнительных соглашений к соглашениям о порядке исполнения обязательств</w:t>
            </w:r>
            <w:r>
              <w:rPr>
                <w:rFonts w:ascii="Garamond" w:hAnsi="Garamond"/>
                <w:bCs/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</w:rPr>
              <w:t>путем обеспечения совершения следующих действий:</w:t>
            </w:r>
          </w:p>
          <w:p w:rsidR="00407174" w:rsidRDefault="00AB250C" w:rsidP="00E7531D">
            <w:pPr>
              <w:pStyle w:val="a3"/>
              <w:spacing w:before="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>
              <w:rPr>
                <w:szCs w:val="22"/>
                <w:highlight w:val="yellow"/>
                <w:lang w:val="ru-RU"/>
              </w:rPr>
              <w:t xml:space="preserve">а) размещения </w:t>
            </w:r>
            <w:r w:rsidR="00462AE5">
              <w:rPr>
                <w:szCs w:val="22"/>
                <w:highlight w:val="yellow"/>
                <w:lang w:val="ru-RU"/>
              </w:rPr>
              <w:t xml:space="preserve">на официальном сайте Совета рынка </w:t>
            </w:r>
            <w:r>
              <w:rPr>
                <w:szCs w:val="22"/>
                <w:highlight w:val="yellow"/>
                <w:lang w:val="ru-RU"/>
              </w:rPr>
              <w:t xml:space="preserve">информационного сообщения о дате, времени и порядке подписания дополнительных </w:t>
            </w:r>
            <w:r>
              <w:rPr>
                <w:color w:val="000000"/>
                <w:szCs w:val="22"/>
                <w:highlight w:val="yellow"/>
                <w:lang w:val="ru-RU"/>
              </w:rPr>
              <w:t>соглашений</w:t>
            </w:r>
            <w:r>
              <w:rPr>
                <w:szCs w:val="22"/>
                <w:highlight w:val="yellow"/>
                <w:lang w:val="ru-RU"/>
              </w:rPr>
              <w:t>:</w:t>
            </w:r>
          </w:p>
          <w:p w:rsidR="00407174" w:rsidRDefault="00AB250C" w:rsidP="00E7531D">
            <w:pPr>
              <w:pStyle w:val="a3"/>
              <w:numPr>
                <w:ilvl w:val="0"/>
                <w:numId w:val="28"/>
              </w:numPr>
              <w:tabs>
                <w:tab w:val="left" w:pos="878"/>
              </w:tabs>
              <w:spacing w:before="0"/>
              <w:ind w:left="0" w:firstLine="567"/>
              <w:contextualSpacing w:val="0"/>
              <w:jc w:val="both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 xml:space="preserve">по форме приложения 114.15а </w:t>
            </w:r>
            <w:r w:rsidR="001E0922">
              <w:rPr>
                <w:highlight w:val="yellow"/>
                <w:lang w:val="ru-RU"/>
              </w:rPr>
              <w:t>–</w:t>
            </w:r>
            <w:r w:rsidR="006847C6">
              <w:rPr>
                <w:highlight w:val="yellow"/>
                <w:lang w:val="ru-RU"/>
              </w:rPr>
              <w:t xml:space="preserve"> </w:t>
            </w:r>
            <w:r>
              <w:rPr>
                <w:highlight w:val="yellow"/>
                <w:lang w:val="ru-RU"/>
              </w:rPr>
              <w:t>не позднее 1</w:t>
            </w:r>
            <w:r w:rsidR="00462AE5">
              <w:rPr>
                <w:highlight w:val="yellow"/>
                <w:lang w:val="ru-RU"/>
              </w:rPr>
              <w:t>3</w:t>
            </w:r>
            <w:r>
              <w:rPr>
                <w:highlight w:val="yellow"/>
                <w:lang w:val="ru-RU"/>
              </w:rPr>
              <w:t>.02.2023;</w:t>
            </w:r>
          </w:p>
          <w:p w:rsidR="00407174" w:rsidRDefault="00AB250C" w:rsidP="00E7531D">
            <w:pPr>
              <w:pStyle w:val="a3"/>
              <w:numPr>
                <w:ilvl w:val="0"/>
                <w:numId w:val="28"/>
              </w:numPr>
              <w:tabs>
                <w:tab w:val="left" w:pos="878"/>
              </w:tabs>
              <w:spacing w:before="0" w:after="0"/>
              <w:ind w:left="0" w:firstLine="567"/>
              <w:contextualSpacing w:val="0"/>
              <w:jc w:val="both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lastRenderedPageBreak/>
              <w:t xml:space="preserve">по форме приложения 114.15б </w:t>
            </w:r>
            <w:r w:rsidR="001E0922">
              <w:rPr>
                <w:highlight w:val="yellow"/>
                <w:lang w:val="ru-RU"/>
              </w:rPr>
              <w:t>–</w:t>
            </w:r>
            <w:r>
              <w:rPr>
                <w:highlight w:val="yellow"/>
                <w:lang w:val="ru-RU"/>
              </w:rPr>
              <w:t xml:space="preserve"> не позднее 1</w:t>
            </w:r>
            <w:r w:rsidR="00462AE5">
              <w:rPr>
                <w:highlight w:val="yellow"/>
                <w:lang w:val="ru-RU"/>
              </w:rPr>
              <w:t>3</w:t>
            </w:r>
            <w:r>
              <w:rPr>
                <w:highlight w:val="yellow"/>
                <w:lang w:val="ru-RU"/>
              </w:rPr>
              <w:t>.02.2023</w:t>
            </w:r>
            <w:r w:rsidR="001E0922">
              <w:rPr>
                <w:highlight w:val="yellow"/>
                <w:lang w:val="ru-RU"/>
              </w:rPr>
              <w:t>;</w:t>
            </w:r>
          </w:p>
          <w:p w:rsidR="00407174" w:rsidRDefault="00AB250C" w:rsidP="00E7531D">
            <w:pPr>
              <w:pStyle w:val="a3"/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>
              <w:rPr>
                <w:szCs w:val="22"/>
                <w:highlight w:val="yellow"/>
                <w:lang w:val="ru-RU"/>
              </w:rPr>
              <w:t xml:space="preserve">б) размещения в личных кабинетах участников </w:t>
            </w:r>
            <w:r w:rsidR="001E0922">
              <w:rPr>
                <w:szCs w:val="22"/>
                <w:highlight w:val="yellow"/>
                <w:lang w:val="ru-RU"/>
              </w:rPr>
              <w:t xml:space="preserve">оптового рынка </w:t>
            </w:r>
            <w:r>
              <w:rPr>
                <w:szCs w:val="22"/>
                <w:highlight w:val="yellow"/>
                <w:lang w:val="ru-RU"/>
              </w:rPr>
              <w:t xml:space="preserve">на официальном сайте КО дополнительных соглашений, доступных для ознакомления, в срок, указанный в </w:t>
            </w:r>
            <w:r w:rsidR="00462AE5">
              <w:rPr>
                <w:szCs w:val="22"/>
                <w:highlight w:val="yellow"/>
                <w:lang w:val="ru-RU"/>
              </w:rPr>
              <w:t>вышеуказанном информационном сообщении</w:t>
            </w:r>
            <w:r>
              <w:rPr>
                <w:szCs w:val="22"/>
                <w:highlight w:val="yellow"/>
                <w:lang w:val="ru-RU"/>
              </w:rPr>
              <w:t>;</w:t>
            </w:r>
          </w:p>
          <w:p w:rsidR="00407174" w:rsidRDefault="00AB250C" w:rsidP="00E7531D">
            <w:pPr>
              <w:pStyle w:val="a3"/>
              <w:spacing w:before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>
              <w:rPr>
                <w:szCs w:val="22"/>
                <w:highlight w:val="yellow"/>
                <w:lang w:val="ru-RU"/>
              </w:rPr>
              <w:t xml:space="preserve">в) размещения в личных кабинетах участников </w:t>
            </w:r>
            <w:r w:rsidR="001E0922">
              <w:rPr>
                <w:szCs w:val="22"/>
                <w:highlight w:val="yellow"/>
                <w:lang w:val="ru-RU"/>
              </w:rPr>
              <w:t xml:space="preserve">оптового рынка </w:t>
            </w:r>
            <w:r>
              <w:rPr>
                <w:szCs w:val="22"/>
                <w:highlight w:val="yellow"/>
                <w:lang w:val="ru-RU"/>
              </w:rPr>
              <w:t xml:space="preserve">на официальном сайте КО дополнительных соглашений, доступных для подписания с применением электронной подписи, для продавца в срок не позднее 1-го рабочего дня после дня размещения дополнительных соглашений, доступных для ознакомления, для покупателя </w:t>
            </w:r>
            <w:r w:rsidR="001E0922">
              <w:rPr>
                <w:szCs w:val="22"/>
                <w:highlight w:val="yellow"/>
                <w:lang w:val="ru-RU"/>
              </w:rPr>
              <w:t>–</w:t>
            </w:r>
            <w:r>
              <w:rPr>
                <w:szCs w:val="22"/>
                <w:highlight w:val="yellow"/>
                <w:lang w:val="ru-RU"/>
              </w:rPr>
              <w:t xml:space="preserve"> не позднее 1-го рабочего дня после подписания продавцами дополнительных соглашений:</w:t>
            </w:r>
          </w:p>
          <w:p w:rsidR="00407174" w:rsidRDefault="00E7531D" w:rsidP="00E7531D">
            <w:pPr>
              <w:widowControl w:val="0"/>
              <w:spacing w:after="60" w:line="240" w:lineRule="auto"/>
              <w:ind w:firstLine="567"/>
              <w:jc w:val="both"/>
              <w:outlineLvl w:val="2"/>
              <w:rPr>
                <w:rFonts w:ascii="Garamond" w:hAnsi="Garamond"/>
                <w:highlight w:val="yellow"/>
              </w:rPr>
            </w:pPr>
            <w:r>
              <w:rPr>
                <w:rFonts w:ascii="Garamond" w:eastAsia="Times New Roman" w:hAnsi="Garamond"/>
                <w:highlight w:val="yellow"/>
              </w:rPr>
              <w:t>–</w:t>
            </w:r>
            <w:r w:rsidR="00AB250C">
              <w:rPr>
                <w:rFonts w:ascii="Garamond" w:eastAsia="Times New Roman" w:hAnsi="Garamond"/>
                <w:highlight w:val="yellow"/>
              </w:rPr>
              <w:t xml:space="preserve"> по форме приложения 114.15а </w:t>
            </w:r>
            <w:r w:rsidR="00660231">
              <w:rPr>
                <w:rFonts w:ascii="Garamond" w:eastAsia="Times New Roman" w:hAnsi="Garamond"/>
                <w:highlight w:val="yellow"/>
              </w:rPr>
              <w:t xml:space="preserve">– </w:t>
            </w:r>
            <w:r w:rsidR="00AB250C">
              <w:rPr>
                <w:rFonts w:ascii="Garamond" w:hAnsi="Garamond"/>
                <w:highlight w:val="yellow"/>
              </w:rPr>
              <w:t>ко всем соглашениям о порядке исполнения обязательств, заключенным с покупателем на условиях варианта 1 (Оплата векселями) приложения 2 к соглашению;</w:t>
            </w:r>
          </w:p>
          <w:p w:rsidR="00407174" w:rsidRDefault="00E7531D" w:rsidP="00E7531D">
            <w:pPr>
              <w:pStyle w:val="a3"/>
              <w:spacing w:before="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–</w:t>
            </w:r>
            <w:r w:rsidR="00AB250C">
              <w:rPr>
                <w:highlight w:val="yellow"/>
                <w:lang w:val="ru-RU"/>
              </w:rPr>
              <w:t xml:space="preserve"> по форме приложения 114.15б </w:t>
            </w:r>
            <w:r w:rsidR="00660231">
              <w:rPr>
                <w:highlight w:val="yellow"/>
                <w:lang w:val="ru-RU"/>
              </w:rPr>
              <w:t xml:space="preserve">– </w:t>
            </w:r>
            <w:r w:rsidR="00AB250C">
              <w:rPr>
                <w:szCs w:val="22"/>
                <w:highlight w:val="yellow"/>
                <w:lang w:val="ru-RU"/>
              </w:rPr>
              <w:t>ко всем соглашениям о порядке исполнения обязательств, заключенным с покупателем;</w:t>
            </w:r>
          </w:p>
          <w:p w:rsidR="00407174" w:rsidRDefault="00AB250C" w:rsidP="00E7531D">
            <w:pPr>
              <w:pStyle w:val="a3"/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>
              <w:rPr>
                <w:szCs w:val="22"/>
                <w:highlight w:val="yellow"/>
                <w:lang w:val="ru-RU"/>
              </w:rPr>
              <w:t>г) проверки действительности электронной подписи и полномочий лиц, подписавших от имени участников оптового рынка дополнительные соглашения;</w:t>
            </w:r>
          </w:p>
          <w:p w:rsidR="00407174" w:rsidRDefault="00AB250C" w:rsidP="00E7531D">
            <w:pPr>
              <w:pStyle w:val="a3"/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д)</w:t>
            </w:r>
            <w:r>
              <w:rPr>
                <w:szCs w:val="22"/>
                <w:highlight w:val="yellow"/>
                <w:lang w:val="ru-RU"/>
              </w:rPr>
              <w:t xml:space="preserve"> проверки</w:t>
            </w:r>
            <w:r>
              <w:rPr>
                <w:bCs/>
                <w:szCs w:val="22"/>
                <w:highlight w:val="yellow"/>
                <w:lang w:val="ru-RU"/>
              </w:rPr>
              <w:t xml:space="preserve"> правильности оформления дополнительного соглашения</w:t>
            </w:r>
            <w:r>
              <w:rPr>
                <w:szCs w:val="22"/>
                <w:highlight w:val="yellow"/>
                <w:lang w:val="ru-RU"/>
              </w:rPr>
              <w:t>;</w:t>
            </w:r>
          </w:p>
          <w:p w:rsidR="00462AE5" w:rsidRDefault="00AB250C" w:rsidP="00E7531D">
            <w:pPr>
              <w:pStyle w:val="a3"/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>
              <w:rPr>
                <w:bCs/>
                <w:szCs w:val="22"/>
                <w:highlight w:val="yellow"/>
                <w:lang w:val="ru-RU"/>
              </w:rPr>
              <w:t>е) размещения в личных кабинетах участников на официальном сайте КО подписанных дополнительных соглашени</w:t>
            </w:r>
            <w:bookmarkStart w:id="0" w:name="_GoBack"/>
            <w:bookmarkEnd w:id="0"/>
            <w:r>
              <w:rPr>
                <w:bCs/>
                <w:szCs w:val="22"/>
                <w:highlight w:val="yellow"/>
                <w:lang w:val="ru-RU"/>
              </w:rPr>
              <w:t xml:space="preserve">й </w:t>
            </w:r>
            <w:r>
              <w:rPr>
                <w:szCs w:val="22"/>
                <w:highlight w:val="yellow"/>
                <w:lang w:val="ru-RU"/>
              </w:rPr>
              <w:t>в срок не позднее 5-го рабочего дня после подписания покупателями</w:t>
            </w:r>
            <w:r w:rsidR="00462AE5">
              <w:rPr>
                <w:szCs w:val="22"/>
                <w:highlight w:val="yellow"/>
                <w:lang w:val="ru-RU"/>
              </w:rPr>
              <w:t>;</w:t>
            </w:r>
          </w:p>
          <w:p w:rsidR="00407174" w:rsidRDefault="00462AE5" w:rsidP="00E7531D">
            <w:pPr>
              <w:pStyle w:val="a3"/>
              <w:spacing w:before="120" w:after="120"/>
              <w:ind w:left="0" w:firstLine="567"/>
              <w:contextualSpacing w:val="0"/>
              <w:jc w:val="both"/>
              <w:rPr>
                <w:color w:val="000000"/>
                <w:szCs w:val="22"/>
                <w:highlight w:val="yellow"/>
                <w:lang w:val="ru-RU"/>
              </w:rPr>
            </w:pPr>
            <w:r>
              <w:rPr>
                <w:szCs w:val="22"/>
                <w:highlight w:val="yellow"/>
                <w:lang w:val="ru-RU"/>
              </w:rPr>
              <w:t xml:space="preserve">ж) размещения на официальном сайте Совета рынка информационного сообщения о </w:t>
            </w:r>
            <w:r>
              <w:rPr>
                <w:color w:val="000000"/>
                <w:szCs w:val="22"/>
                <w:highlight w:val="yellow"/>
                <w:lang w:val="ru-RU"/>
              </w:rPr>
              <w:t xml:space="preserve">дате учета ЦФР </w:t>
            </w:r>
            <w:r>
              <w:rPr>
                <w:bCs/>
                <w:szCs w:val="22"/>
                <w:highlight w:val="yellow"/>
                <w:lang w:val="ru-RU"/>
              </w:rPr>
              <w:t xml:space="preserve">дополнительных соглашений </w:t>
            </w:r>
            <w:r>
              <w:rPr>
                <w:szCs w:val="22"/>
                <w:highlight w:val="yellow"/>
                <w:lang w:val="ru-RU"/>
              </w:rPr>
              <w:t>в срок не позднее 05.03.2023</w:t>
            </w:r>
            <w:r w:rsidR="00AB250C">
              <w:rPr>
                <w:bCs/>
                <w:szCs w:val="22"/>
                <w:highlight w:val="yellow"/>
                <w:lang w:val="ru-RU"/>
              </w:rPr>
              <w:t>.</w:t>
            </w:r>
          </w:p>
          <w:p w:rsidR="00407174" w:rsidRDefault="00AB250C" w:rsidP="00E7531D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Продавец должен обеспечить подписание дополнительных соглашений к соглашениям о порядке исполнения обязательств с применением электронной подписи своего уполномоченного представителя в течение 3 рабочих дней с</w:t>
            </w:r>
            <w:r w:rsidR="00462AE5">
              <w:rPr>
                <w:rFonts w:ascii="Garamond" w:hAnsi="Garamond"/>
                <w:color w:val="000000"/>
                <w:highlight w:val="yellow"/>
              </w:rPr>
              <w:t>о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462AE5">
              <w:rPr>
                <w:rFonts w:ascii="Garamond" w:hAnsi="Garamond"/>
                <w:color w:val="000000"/>
                <w:highlight w:val="yellow"/>
              </w:rPr>
              <w:t>дня</w:t>
            </w:r>
            <w:r>
              <w:rPr>
                <w:rFonts w:ascii="Garamond" w:hAnsi="Garamond"/>
                <w:highlight w:val="yellow"/>
              </w:rPr>
              <w:t>, определ</w:t>
            </w:r>
            <w:r w:rsidR="00462AE5">
              <w:rPr>
                <w:rFonts w:ascii="Garamond" w:hAnsi="Garamond"/>
                <w:highlight w:val="yellow"/>
              </w:rPr>
              <w:t>е</w:t>
            </w:r>
            <w:r>
              <w:rPr>
                <w:rFonts w:ascii="Garamond" w:hAnsi="Garamond"/>
                <w:highlight w:val="yellow"/>
              </w:rPr>
              <w:t>нно</w:t>
            </w:r>
            <w:r w:rsidR="00462AE5">
              <w:rPr>
                <w:rFonts w:ascii="Garamond" w:hAnsi="Garamond"/>
                <w:highlight w:val="yellow"/>
              </w:rPr>
              <w:t>го</w:t>
            </w:r>
            <w:r>
              <w:rPr>
                <w:rFonts w:ascii="Garamond" w:hAnsi="Garamond"/>
                <w:highlight w:val="yellow"/>
              </w:rPr>
              <w:t xml:space="preserve"> в </w:t>
            </w:r>
            <w:r w:rsidR="00462AE5">
              <w:rPr>
                <w:rFonts w:ascii="Garamond" w:hAnsi="Garamond"/>
                <w:highlight w:val="yellow"/>
              </w:rPr>
              <w:t xml:space="preserve">соответствии с </w:t>
            </w:r>
            <w:r>
              <w:rPr>
                <w:rFonts w:ascii="Garamond" w:hAnsi="Garamond"/>
                <w:highlight w:val="yellow"/>
              </w:rPr>
              <w:t>подпункт</w:t>
            </w:r>
            <w:r w:rsidR="00462AE5">
              <w:rPr>
                <w:rFonts w:ascii="Garamond" w:hAnsi="Garamond"/>
                <w:highlight w:val="yellow"/>
              </w:rPr>
              <w:t>ом</w:t>
            </w:r>
            <w:r>
              <w:rPr>
                <w:rFonts w:ascii="Garamond" w:hAnsi="Garamond"/>
                <w:highlight w:val="yellow"/>
              </w:rPr>
              <w:t xml:space="preserve"> «в» настоящего пункта.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Покупатель должен обеспечить их подписание с применением электронной подписи своего уполномоченного представителя в течение 2 рабочих дней после подписания продавцами.</w:t>
            </w:r>
          </w:p>
          <w:p w:rsidR="00407174" w:rsidRDefault="00AB250C" w:rsidP="00E7531D">
            <w:pPr>
              <w:spacing w:before="120" w:after="120"/>
              <w:ind w:firstLine="567"/>
              <w:jc w:val="both"/>
              <w:rPr>
                <w:rFonts w:ascii="Garamond" w:eastAsia="Times New Roman" w:hAnsi="Garamond"/>
                <w:color w:val="000000"/>
                <w:szCs w:val="20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lastRenderedPageBreak/>
              <w:t>Участник оптового рынка, являющийся стороной соглашения о порядке исполнения обязательств, обязуется по запросу другой стороны указанного соглашения в течение 10 рабочих дней направить ей копии документов, подтверждающих полномочия лиц, подписавших дополнительное соглашение к соглашению о порядке исполнения обязательств от имени участника оптового рынка, заверенные подписью уполномоченного лица такого участника оптового рынка. Права и обязанности по дополнительным соглашениям к соглашениям о порядке исполнения обязательств, подписанным покупателями и продавцами, возникают с даты учета ЦФР указанных соглашений.</w:t>
            </w:r>
          </w:p>
        </w:tc>
      </w:tr>
      <w:tr w:rsidR="00407174" w:rsidTr="00D5290E">
        <w:trPr>
          <w:trHeight w:val="128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7174" w:rsidRDefault="00AB250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Приложение 114.17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74" w:rsidRDefault="00AB250C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Методика формирования обязательств участников оптового рынка, заключивших соглашения о порядке исполнения обязательств на условиях варианта 2 приложения 2 к форме соглашения, предусмотренной приложением 114.15 к настоящему Регламенту</w:t>
            </w:r>
          </w:p>
          <w:p w:rsidR="00407174" w:rsidRDefault="00AB250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ЦФР на основании настоящей Методики формирует обязательства, в отношении которых изменяется срок исполнения обязательств в соответствии с соглашениями о порядке исполнения обязательств, заключенными на условиях варианта 2 приложения 2 к форме соглашения, предусмотренной приложением 114.15 к настоящему Регламенту.</w:t>
            </w:r>
          </w:p>
          <w:p w:rsidR="00407174" w:rsidRDefault="00AB250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ЦФР ежемесячно не позднее 20-го числа месяца, следующего за расчетным периодом (в отношении расчетных периодов с 01.01.2022 по 30.04.2022 не позднее 20.05.2022), определяет размер обязательств участника оптового рынка – покупателя перед участником оптового рынка – продавцом, заключившими Соглашение о порядке исполнения обязательств (далее – покупатель, продавец), по которым изменяется срок исполнения в соответствии с условиями Соглашения о порядке исполнения обязательств, в следующем порядке. </w:t>
            </w:r>
          </w:p>
          <w:p w:rsidR="00407174" w:rsidRDefault="00AB250C">
            <w:pPr>
              <w:pStyle w:val="12"/>
              <w:tabs>
                <w:tab w:val="left" w:pos="993"/>
              </w:tabs>
              <w:spacing w:before="120" w:after="120" w:line="259" w:lineRule="auto"/>
              <w:ind w:left="567"/>
              <w:contextualSpacing w:val="0"/>
              <w:jc w:val="both"/>
              <w:rPr>
                <w:rFonts w:ascii="Garamond" w:eastAsia="Calibri" w:hAnsi="Garamond"/>
                <w:bCs/>
              </w:rPr>
            </w:pPr>
            <w:r>
              <w:rPr>
                <w:rFonts w:ascii="Garamond" w:eastAsia="Calibri" w:hAnsi="Garamond"/>
                <w:bCs/>
              </w:rPr>
              <w:t>…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74" w:rsidRDefault="00AB250C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Методика формирования обязательств участников оптового рынка, заключивших соглашения о порядке исполнения обязательств на условиях варианта 2 приложения 2 к форме соглашения, предусмотренной приложением 114.15 к настоящему Регламенту</w:t>
            </w:r>
          </w:p>
          <w:p w:rsidR="00407174" w:rsidRDefault="00AB250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ЦФР на основании настоящей Методики формирует обязательства, в отношении которых изменяется срок исполнения обязательств в соответствии с соглашениями о порядке исполнения обязательств, заключенными на условиях варианта 2 приложения 2 к форме соглашения, предусмотренной приложением 114.15 к настоящему Регламенту.</w:t>
            </w:r>
          </w:p>
          <w:p w:rsidR="00407174" w:rsidRDefault="00AB250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ЦФР ежемесячно не позднее 20-го числа месяца, следующего за расчетным периодом (в отношении расчетных периодов с 01.01.2022 по 30.04.2022 не позднее 20.05.2022, </w:t>
            </w:r>
            <w:r>
              <w:rPr>
                <w:rFonts w:ascii="Garamond" w:hAnsi="Garamond"/>
                <w:bCs/>
                <w:highlight w:val="yellow"/>
              </w:rPr>
              <w:t xml:space="preserve">в отношении расчетного периода </w:t>
            </w:r>
            <w:r w:rsidR="000724E6">
              <w:rPr>
                <w:rFonts w:ascii="Garamond" w:hAnsi="Garamond"/>
                <w:bCs/>
                <w:highlight w:val="yellow"/>
              </w:rPr>
              <w:t xml:space="preserve">– </w:t>
            </w:r>
            <w:r>
              <w:rPr>
                <w:rFonts w:ascii="Garamond" w:hAnsi="Garamond"/>
                <w:bCs/>
                <w:highlight w:val="yellow"/>
              </w:rPr>
              <w:t>январ</w:t>
            </w:r>
            <w:r w:rsidR="000724E6">
              <w:rPr>
                <w:rFonts w:ascii="Garamond" w:hAnsi="Garamond"/>
                <w:bCs/>
                <w:highlight w:val="yellow"/>
              </w:rPr>
              <w:t>я</w:t>
            </w:r>
            <w:r>
              <w:rPr>
                <w:rFonts w:ascii="Garamond" w:hAnsi="Garamond"/>
                <w:bCs/>
                <w:highlight w:val="yellow"/>
              </w:rPr>
              <w:t xml:space="preserve"> 2023</w:t>
            </w:r>
            <w:r w:rsidR="000724E6">
              <w:rPr>
                <w:rFonts w:ascii="Garamond" w:hAnsi="Garamond"/>
                <w:bCs/>
                <w:highlight w:val="yellow"/>
              </w:rPr>
              <w:t xml:space="preserve"> года</w:t>
            </w:r>
            <w:r>
              <w:rPr>
                <w:rFonts w:ascii="Garamond" w:hAnsi="Garamond"/>
                <w:bCs/>
                <w:highlight w:val="yellow"/>
              </w:rPr>
              <w:t xml:space="preserve"> –</w:t>
            </w:r>
            <w:r w:rsidR="00652B37">
              <w:rPr>
                <w:rFonts w:ascii="Garamond" w:hAnsi="Garamond"/>
                <w:bCs/>
                <w:highlight w:val="yellow"/>
              </w:rPr>
              <w:t xml:space="preserve"> не позднее</w:t>
            </w:r>
            <w:r>
              <w:rPr>
                <w:rFonts w:ascii="Garamond" w:hAnsi="Garamond"/>
                <w:bCs/>
                <w:highlight w:val="yellow"/>
              </w:rPr>
              <w:t xml:space="preserve"> 28.02.2023</w:t>
            </w:r>
            <w:r>
              <w:rPr>
                <w:rFonts w:ascii="Garamond" w:hAnsi="Garamond"/>
                <w:bCs/>
              </w:rPr>
              <w:t xml:space="preserve">), определяет размер обязательств участника оптового рынка – покупателя перед участником оптового рынка – продавцом, заключившими Соглашение о порядке исполнения обязательств (далее – покупатель, продавец), по которым изменяется срок исполнения в соответствии с условиями Соглашения о порядке исполнения обязательств, в следующем порядке. </w:t>
            </w:r>
          </w:p>
          <w:p w:rsidR="00407174" w:rsidRDefault="00AB250C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bCs/>
              </w:rPr>
              <w:t>…</w:t>
            </w:r>
          </w:p>
        </w:tc>
      </w:tr>
    </w:tbl>
    <w:p w:rsidR="00407174" w:rsidRDefault="00407174">
      <w:pPr>
        <w:ind w:right="-286"/>
        <w:rPr>
          <w:rFonts w:ascii="Garamond" w:eastAsiaTheme="minorHAnsi" w:hAnsi="Garamond"/>
          <w:b/>
          <w:szCs w:val="28"/>
        </w:rPr>
      </w:pPr>
    </w:p>
    <w:p w:rsidR="00407174" w:rsidRDefault="00AB250C" w:rsidP="006847C6">
      <w:pPr>
        <w:spacing w:after="0" w:line="240" w:lineRule="auto"/>
        <w:contextualSpacing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E7531D" w:rsidRPr="00CE2028" w:rsidRDefault="00E7531D" w:rsidP="006847C6">
      <w:pPr>
        <w:spacing w:after="0" w:line="240" w:lineRule="auto"/>
        <w:contextualSpacing/>
        <w:rPr>
          <w:rFonts w:ascii="Garamond" w:eastAsia="SimSun" w:hAnsi="Garamond"/>
          <w:b/>
        </w:rPr>
      </w:pPr>
    </w:p>
    <w:p w:rsidR="00407174" w:rsidRDefault="000724E6" w:rsidP="006847C6">
      <w:pPr>
        <w:spacing w:after="0" w:line="240" w:lineRule="auto"/>
        <w:contextualSpacing/>
        <w:rPr>
          <w:rFonts w:ascii="Garamond" w:eastAsia="SimSun" w:hAnsi="Garamond"/>
          <w:b/>
          <w:sz w:val="24"/>
          <w:szCs w:val="24"/>
        </w:rPr>
      </w:pPr>
      <w:r>
        <w:rPr>
          <w:rFonts w:ascii="Garamond" w:eastAsia="SimSun" w:hAnsi="Garamond"/>
          <w:b/>
          <w:iCs/>
          <w:sz w:val="24"/>
          <w:szCs w:val="24"/>
        </w:rPr>
        <w:t>Действующая редакция</w:t>
      </w:r>
      <w:r>
        <w:rPr>
          <w:rFonts w:ascii="Garamond" w:eastAsia="SimSun" w:hAnsi="Garamond"/>
          <w:b/>
          <w:sz w:val="24"/>
          <w:szCs w:val="24"/>
        </w:rPr>
        <w:t xml:space="preserve"> п</w:t>
      </w:r>
      <w:r w:rsidR="00E7531D">
        <w:rPr>
          <w:rFonts w:ascii="Garamond" w:eastAsia="SimSun" w:hAnsi="Garamond"/>
          <w:b/>
          <w:sz w:val="24"/>
          <w:szCs w:val="24"/>
        </w:rPr>
        <w:t>риложени</w:t>
      </w:r>
      <w:r>
        <w:rPr>
          <w:rFonts w:ascii="Garamond" w:eastAsia="SimSun" w:hAnsi="Garamond"/>
          <w:b/>
          <w:sz w:val="24"/>
          <w:szCs w:val="24"/>
        </w:rPr>
        <w:t>я</w:t>
      </w:r>
      <w:r w:rsidR="00E7531D">
        <w:rPr>
          <w:rFonts w:ascii="Garamond" w:eastAsia="SimSun" w:hAnsi="Garamond"/>
          <w:b/>
          <w:sz w:val="24"/>
          <w:szCs w:val="24"/>
        </w:rPr>
        <w:t xml:space="preserve"> 2 к Правилам ЭДО СЭД КО</w:t>
      </w:r>
      <w:r>
        <w:rPr>
          <w:rFonts w:ascii="Garamond" w:eastAsia="SimSun" w:hAnsi="Garamond"/>
          <w:b/>
          <w:sz w:val="24"/>
          <w:szCs w:val="24"/>
        </w:rPr>
        <w:t>:</w:t>
      </w:r>
    </w:p>
    <w:p w:rsidR="00407174" w:rsidRDefault="00407174" w:rsidP="006847C6">
      <w:pPr>
        <w:spacing w:after="0" w:line="240" w:lineRule="auto"/>
        <w:contextualSpacing/>
        <w:rPr>
          <w:rFonts w:ascii="Garamond" w:eastAsia="SimSun" w:hAnsi="Garamond"/>
          <w:b/>
          <w:i/>
        </w:rPr>
      </w:pPr>
    </w:p>
    <w:tbl>
      <w:tblPr>
        <w:tblW w:w="15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984"/>
        <w:gridCol w:w="1276"/>
        <w:gridCol w:w="724"/>
        <w:gridCol w:w="834"/>
        <w:gridCol w:w="994"/>
        <w:gridCol w:w="1130"/>
        <w:gridCol w:w="1138"/>
        <w:gridCol w:w="708"/>
        <w:gridCol w:w="1985"/>
        <w:gridCol w:w="1260"/>
        <w:gridCol w:w="708"/>
        <w:gridCol w:w="1103"/>
        <w:gridCol w:w="739"/>
      </w:tblGrid>
      <w:tr w:rsidR="006847C6" w:rsidTr="00CE2028">
        <w:trPr>
          <w:trHeight w:val="1290"/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24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 xml:space="preserve">Формат </w:t>
            </w: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содержательной части</w:t>
            </w:r>
          </w:p>
        </w:tc>
        <w:tc>
          <w:tcPr>
            <w:tcW w:w="834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994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для отображения и изготовления бумажных копий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в архиве</w:t>
            </w:r>
          </w:p>
        </w:tc>
        <w:tc>
          <w:tcPr>
            <w:tcW w:w="1103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39" w:type="dxa"/>
            <w:shd w:val="clear" w:color="auto" w:fill="BFBFBF" w:themeFill="background1" w:themeFillShade="BF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575EF">
              <w:rPr>
                <w:rFonts w:ascii="Arial" w:hAnsi="Arial" w:cs="Arial"/>
                <w:color w:val="000000"/>
                <w:sz w:val="18"/>
                <w:szCs w:val="18"/>
              </w:rPr>
              <w:t>Примечания</w:t>
            </w:r>
          </w:p>
        </w:tc>
      </w:tr>
      <w:tr w:rsidR="006847C6" w:rsidTr="006847C6">
        <w:trPr>
          <w:trHeight w:val="46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SR_PART_AGRM_LIAB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Соглашение о порядке исполнения обязательств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16, </w:t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приложение 1</w:t>
            </w: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14</w:t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.</w:t>
            </w: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15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pdf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Совет рынка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WEB-интерфейс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1.3.6.1.4.1.18545.1.2.1.24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Adobe Reader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03" w:type="dxa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месяца</w:t>
            </w:r>
          </w:p>
        </w:tc>
        <w:tc>
          <w:tcPr>
            <w:tcW w:w="739" w:type="dxa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847C6" w:rsidTr="006847C6">
        <w:trPr>
          <w:trHeight w:val="46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PART_SR_AGRM_LIAB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Соглашение о порядке исполнения обязательств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16, </w:t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приложение 1</w:t>
            </w: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14</w:t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.</w:t>
            </w: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15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pdf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Совет рынка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WEB-интерфейс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1.3.6.1.4.1.18545.1.2.1.24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Adobe Reader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03" w:type="dxa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месяца</w:t>
            </w:r>
          </w:p>
        </w:tc>
        <w:tc>
          <w:tcPr>
            <w:tcW w:w="739" w:type="dxa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07174" w:rsidRDefault="00407174" w:rsidP="006847C6">
      <w:pPr>
        <w:spacing w:after="0" w:line="240" w:lineRule="auto"/>
        <w:rPr>
          <w:rFonts w:ascii="Garamond" w:hAnsi="Garamond"/>
        </w:rPr>
      </w:pPr>
    </w:p>
    <w:p w:rsidR="00407174" w:rsidRDefault="00AB250C" w:rsidP="006847C6">
      <w:pPr>
        <w:spacing w:after="0" w:line="240" w:lineRule="auto"/>
        <w:contextualSpacing/>
        <w:rPr>
          <w:rFonts w:ascii="Garamond" w:eastAsia="SimSun" w:hAnsi="Garamond"/>
          <w:b/>
          <w:i/>
          <w:sz w:val="24"/>
          <w:szCs w:val="24"/>
        </w:rPr>
      </w:pPr>
      <w:r>
        <w:rPr>
          <w:rFonts w:ascii="Garamond" w:eastAsia="SimSun" w:hAnsi="Garamond"/>
          <w:b/>
          <w:iCs/>
          <w:sz w:val="24"/>
          <w:szCs w:val="24"/>
        </w:rPr>
        <w:t>Предлагаемая редакция</w:t>
      </w:r>
      <w:r>
        <w:rPr>
          <w:rFonts w:ascii="Garamond" w:eastAsia="SimSun" w:hAnsi="Garamond"/>
          <w:b/>
          <w:iCs/>
          <w:sz w:val="24"/>
          <w:szCs w:val="24"/>
        </w:rPr>
        <w:tab/>
      </w:r>
      <w:r>
        <w:rPr>
          <w:rFonts w:ascii="Garamond" w:eastAsia="SimSun" w:hAnsi="Garamond"/>
          <w:b/>
          <w:iCs/>
          <w:sz w:val="24"/>
          <w:szCs w:val="24"/>
        </w:rPr>
        <w:tab/>
      </w:r>
      <w:r>
        <w:rPr>
          <w:rFonts w:ascii="Garamond" w:eastAsia="SimSun" w:hAnsi="Garamond"/>
          <w:b/>
          <w:iCs/>
          <w:sz w:val="24"/>
          <w:szCs w:val="24"/>
        </w:rPr>
        <w:tab/>
      </w:r>
      <w:r>
        <w:rPr>
          <w:rFonts w:ascii="Garamond" w:eastAsia="SimSun" w:hAnsi="Garamond"/>
          <w:b/>
          <w:iCs/>
          <w:sz w:val="24"/>
          <w:szCs w:val="24"/>
        </w:rPr>
        <w:tab/>
      </w:r>
      <w:r>
        <w:rPr>
          <w:rFonts w:ascii="Garamond" w:eastAsia="SimSun" w:hAnsi="Garamond"/>
          <w:b/>
          <w:iCs/>
          <w:sz w:val="24"/>
          <w:szCs w:val="24"/>
        </w:rPr>
        <w:tab/>
      </w:r>
      <w:r>
        <w:rPr>
          <w:rFonts w:ascii="Garamond" w:eastAsia="SimSun" w:hAnsi="Garamond"/>
          <w:b/>
          <w:iCs/>
          <w:sz w:val="24"/>
          <w:szCs w:val="24"/>
        </w:rPr>
        <w:tab/>
      </w:r>
      <w:r>
        <w:rPr>
          <w:rFonts w:ascii="Garamond" w:eastAsia="SimSun" w:hAnsi="Garamond"/>
          <w:b/>
          <w:iCs/>
          <w:sz w:val="24"/>
          <w:szCs w:val="24"/>
        </w:rPr>
        <w:tab/>
      </w:r>
      <w:r>
        <w:rPr>
          <w:rFonts w:ascii="Garamond" w:eastAsia="SimSun" w:hAnsi="Garamond"/>
          <w:b/>
          <w:iCs/>
          <w:sz w:val="24"/>
          <w:szCs w:val="24"/>
        </w:rPr>
        <w:tab/>
      </w:r>
      <w:r>
        <w:rPr>
          <w:rFonts w:ascii="Garamond" w:eastAsia="SimSun" w:hAnsi="Garamond"/>
          <w:b/>
          <w:iCs/>
          <w:sz w:val="24"/>
          <w:szCs w:val="24"/>
        </w:rPr>
        <w:tab/>
      </w:r>
      <w:r>
        <w:rPr>
          <w:rFonts w:ascii="Garamond" w:eastAsia="SimSun" w:hAnsi="Garamond"/>
          <w:b/>
          <w:iCs/>
          <w:sz w:val="24"/>
          <w:szCs w:val="24"/>
        </w:rPr>
        <w:tab/>
      </w:r>
      <w:r>
        <w:rPr>
          <w:rFonts w:ascii="Garamond" w:eastAsia="SimSun" w:hAnsi="Garamond"/>
          <w:b/>
          <w:iCs/>
          <w:sz w:val="24"/>
          <w:szCs w:val="24"/>
        </w:rPr>
        <w:tab/>
      </w:r>
      <w:r>
        <w:rPr>
          <w:rFonts w:ascii="Garamond" w:eastAsia="SimSun" w:hAnsi="Garamond"/>
          <w:b/>
          <w:sz w:val="24"/>
          <w:szCs w:val="24"/>
        </w:rPr>
        <w:t xml:space="preserve"> </w:t>
      </w:r>
    </w:p>
    <w:p w:rsidR="00407174" w:rsidRDefault="00407174" w:rsidP="006847C6">
      <w:pPr>
        <w:spacing w:after="0" w:line="240" w:lineRule="auto"/>
        <w:contextualSpacing/>
        <w:rPr>
          <w:rFonts w:ascii="Garamond" w:eastAsia="SimSun" w:hAnsi="Garamond"/>
          <w:b/>
          <w:i/>
        </w:rPr>
      </w:pPr>
    </w:p>
    <w:tbl>
      <w:tblPr>
        <w:tblW w:w="15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843"/>
        <w:gridCol w:w="724"/>
        <w:gridCol w:w="834"/>
        <w:gridCol w:w="994"/>
        <w:gridCol w:w="1130"/>
        <w:gridCol w:w="1137"/>
        <w:gridCol w:w="708"/>
        <w:gridCol w:w="1985"/>
        <w:gridCol w:w="1260"/>
        <w:gridCol w:w="708"/>
        <w:gridCol w:w="1103"/>
        <w:gridCol w:w="597"/>
      </w:tblGrid>
      <w:tr w:rsidR="006847C6" w:rsidTr="00CE2028">
        <w:trPr>
          <w:trHeight w:val="1290"/>
          <w:jc w:val="center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24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 xml:space="preserve">Формат </w:t>
            </w: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содержательной части</w:t>
            </w:r>
          </w:p>
        </w:tc>
        <w:tc>
          <w:tcPr>
            <w:tcW w:w="834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994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для отображения и изготовления бумажных копий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в архиве</w:t>
            </w:r>
          </w:p>
        </w:tc>
        <w:tc>
          <w:tcPr>
            <w:tcW w:w="1103" w:type="dxa"/>
            <w:shd w:val="clear" w:color="auto" w:fill="BFBFBF" w:themeFill="background1" w:themeFillShade="BF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597" w:type="dxa"/>
            <w:shd w:val="clear" w:color="auto" w:fill="BFBFBF" w:themeFill="background1" w:themeFillShade="BF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575EF">
              <w:rPr>
                <w:rFonts w:ascii="Arial" w:hAnsi="Arial" w:cs="Arial"/>
                <w:color w:val="000000"/>
                <w:sz w:val="18"/>
                <w:szCs w:val="18"/>
              </w:rPr>
              <w:t>Примечания</w:t>
            </w:r>
          </w:p>
        </w:tc>
      </w:tr>
      <w:tr w:rsidR="006847C6" w:rsidTr="006847C6">
        <w:trPr>
          <w:trHeight w:val="46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SR_PART_AGRM_LIAB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Соглашение о порядке исполнения обязательств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16, </w:t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приложени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 114.15</w:t>
            </w:r>
            <w:r w:rsidRPr="006847C6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приложения и дополнительные соглашения к нему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pdf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Совет рынка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WEB-интерфейс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1.3.6.1.4.1.18545.1.2.1.24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Adobe Reader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03" w:type="dxa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месяца</w:t>
            </w:r>
          </w:p>
        </w:tc>
        <w:tc>
          <w:tcPr>
            <w:tcW w:w="597" w:type="dxa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847C6" w:rsidTr="006847C6">
        <w:trPr>
          <w:trHeight w:val="46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PART_SR_AGRM_LIAB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Соглашение о порядке исполнения обязательств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16, </w:t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приложени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 114.15</w:t>
            </w:r>
            <w:r w:rsidRPr="006847C6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приложения и дополнительные соглашения к нему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pdf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Совет рынка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WEB-интерфейс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1.3.6.1.4.1.18545.1.2.1.24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Adobe Reader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03" w:type="dxa"/>
            <w:vAlign w:val="center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месяца</w:t>
            </w:r>
          </w:p>
        </w:tc>
        <w:tc>
          <w:tcPr>
            <w:tcW w:w="597" w:type="dxa"/>
          </w:tcPr>
          <w:p w:rsidR="006847C6" w:rsidRDefault="006847C6" w:rsidP="006847C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07174" w:rsidRDefault="00407174" w:rsidP="00CE2028">
      <w:pPr>
        <w:rPr>
          <w:rFonts w:ascii="Garamond" w:eastAsiaTheme="minorHAnsi" w:hAnsi="Garamond"/>
          <w:b/>
          <w:szCs w:val="28"/>
        </w:rPr>
      </w:pPr>
    </w:p>
    <w:sectPr w:rsidR="00407174" w:rsidSect="00CE2028">
      <w:pgSz w:w="16838" w:h="11906" w:orient="landscape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5B" w:rsidRDefault="0057485B">
      <w:pPr>
        <w:spacing w:after="0" w:line="240" w:lineRule="auto"/>
      </w:pPr>
      <w:r>
        <w:separator/>
      </w:r>
    </w:p>
  </w:endnote>
  <w:endnote w:type="continuationSeparator" w:id="0">
    <w:p w:rsidR="0057485B" w:rsidRDefault="0057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5B" w:rsidRDefault="0057485B">
      <w:pPr>
        <w:spacing w:after="0" w:line="240" w:lineRule="auto"/>
      </w:pPr>
      <w:r>
        <w:separator/>
      </w:r>
    </w:p>
  </w:footnote>
  <w:footnote w:type="continuationSeparator" w:id="0">
    <w:p w:rsidR="0057485B" w:rsidRDefault="00574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083"/>
    <w:multiLevelType w:val="hybridMultilevel"/>
    <w:tmpl w:val="72F6EA7E"/>
    <w:lvl w:ilvl="0" w:tplc="6E984F1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2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1FED6C5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80F7E27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A26489"/>
    <w:multiLevelType w:val="hybridMultilevel"/>
    <w:tmpl w:val="642C69B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3971659B"/>
    <w:multiLevelType w:val="hybridMultilevel"/>
    <w:tmpl w:val="09320BB8"/>
    <w:lvl w:ilvl="0" w:tplc="8ED62E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914ED4"/>
    <w:multiLevelType w:val="hybridMultilevel"/>
    <w:tmpl w:val="8DB27BE2"/>
    <w:lvl w:ilvl="0" w:tplc="8E0CF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B27BE4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51042A0"/>
    <w:multiLevelType w:val="hybridMultilevel"/>
    <w:tmpl w:val="66E4A8D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812DB"/>
    <w:multiLevelType w:val="hybridMultilevel"/>
    <w:tmpl w:val="14B4B6E8"/>
    <w:lvl w:ilvl="0" w:tplc="3124BE6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E346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3365AF2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C233C7"/>
    <w:multiLevelType w:val="hybridMultilevel"/>
    <w:tmpl w:val="178A76A8"/>
    <w:lvl w:ilvl="0" w:tplc="C6DC5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84124"/>
    <w:multiLevelType w:val="hybridMultilevel"/>
    <w:tmpl w:val="8A9041AC"/>
    <w:lvl w:ilvl="0" w:tplc="FFFFFFFF">
      <w:start w:val="1"/>
      <w:numFmt w:val="bullet"/>
      <w:lvlText w:val="−"/>
      <w:lvlJc w:val="left"/>
      <w:pPr>
        <w:ind w:left="14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1" w15:restartNumberingAfterBreak="0">
    <w:nsid w:val="6EFB545C"/>
    <w:multiLevelType w:val="multilevel"/>
    <w:tmpl w:val="1090A3FC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4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2" w15:restartNumberingAfterBreak="0">
    <w:nsid w:val="72556763"/>
    <w:multiLevelType w:val="hybridMultilevel"/>
    <w:tmpl w:val="6B1EEDC8"/>
    <w:lvl w:ilvl="0" w:tplc="A044BF1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A36C1C"/>
    <w:multiLevelType w:val="hybridMultilevel"/>
    <w:tmpl w:val="9A04FBC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 w15:restartNumberingAfterBreak="0">
    <w:nsid w:val="79435351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B27BAA"/>
    <w:multiLevelType w:val="hybridMultilevel"/>
    <w:tmpl w:val="6B1EEDC8"/>
    <w:lvl w:ilvl="0" w:tplc="A044BF1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4"/>
  </w:num>
  <w:num w:numId="3">
    <w:abstractNumId w:val="11"/>
  </w:num>
  <w:num w:numId="4">
    <w:abstractNumId w:val="17"/>
  </w:num>
  <w:num w:numId="5">
    <w:abstractNumId w:val="5"/>
  </w:num>
  <w:num w:numId="6">
    <w:abstractNumId w:val="3"/>
  </w:num>
  <w:num w:numId="7">
    <w:abstractNumId w:val="19"/>
  </w:num>
  <w:num w:numId="8">
    <w:abstractNumId w:val="16"/>
  </w:num>
  <w:num w:numId="9">
    <w:abstractNumId w:val="23"/>
  </w:num>
  <w:num w:numId="10">
    <w:abstractNumId w:val="15"/>
  </w:num>
  <w:num w:numId="11">
    <w:abstractNumId w:val="8"/>
  </w:num>
  <w:num w:numId="12">
    <w:abstractNumId w:val="1"/>
  </w:num>
  <w:num w:numId="13">
    <w:abstractNumId w:val="21"/>
  </w:num>
  <w:num w:numId="14">
    <w:abstractNumId w:val="10"/>
  </w:num>
  <w:num w:numId="15">
    <w:abstractNumId w:val="14"/>
  </w:num>
  <w:num w:numId="16">
    <w:abstractNumId w:val="6"/>
  </w:num>
  <w:num w:numId="17">
    <w:abstractNumId w:val="2"/>
  </w:num>
  <w:num w:numId="18">
    <w:abstractNumId w:val="7"/>
  </w:num>
  <w:num w:numId="19">
    <w:abstractNumId w:val="25"/>
  </w:num>
  <w:num w:numId="20">
    <w:abstractNumId w:val="0"/>
  </w:num>
  <w:num w:numId="21">
    <w:abstractNumId w:val="13"/>
  </w:num>
  <w:num w:numId="22">
    <w:abstractNumId w:val="12"/>
  </w:num>
  <w:num w:numId="23">
    <w:abstractNumId w:val="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2"/>
  </w:num>
  <w:num w:numId="27">
    <w:abstractNumId w:val="27"/>
  </w:num>
  <w:num w:numId="28">
    <w:abstractNumId w:val="2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74"/>
    <w:rsid w:val="00066E0C"/>
    <w:rsid w:val="000724E6"/>
    <w:rsid w:val="001E0922"/>
    <w:rsid w:val="0024566A"/>
    <w:rsid w:val="00263FD1"/>
    <w:rsid w:val="002D4216"/>
    <w:rsid w:val="0031287B"/>
    <w:rsid w:val="00407174"/>
    <w:rsid w:val="00462AE5"/>
    <w:rsid w:val="004670F6"/>
    <w:rsid w:val="0057485B"/>
    <w:rsid w:val="005C17CE"/>
    <w:rsid w:val="00652B37"/>
    <w:rsid w:val="00660231"/>
    <w:rsid w:val="006847C6"/>
    <w:rsid w:val="006C7DFC"/>
    <w:rsid w:val="006F7BDE"/>
    <w:rsid w:val="00756FC5"/>
    <w:rsid w:val="00935A81"/>
    <w:rsid w:val="00A55313"/>
    <w:rsid w:val="00A66CCD"/>
    <w:rsid w:val="00AB250C"/>
    <w:rsid w:val="00CE2028"/>
    <w:rsid w:val="00D5290E"/>
    <w:rsid w:val="00E6547B"/>
    <w:rsid w:val="00E718D4"/>
    <w:rsid w:val="00E7531D"/>
    <w:rsid w:val="00ED620B"/>
    <w:rsid w:val="00F5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AD0D"/>
  <w15:chartTrackingRefBased/>
  <w15:docId w15:val="{18750489-470E-4C71-B546-6C0E9449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1"/>
    <w:autoRedefine/>
    <w:qFormat/>
    <w:pPr>
      <w:widowControl w:val="0"/>
      <w:spacing w:before="120" w:after="120" w:line="240" w:lineRule="auto"/>
      <w:ind w:firstLine="567"/>
      <w:jc w:val="right"/>
      <w:outlineLvl w:val="2"/>
    </w:pPr>
    <w:rPr>
      <w:rFonts w:ascii="Garamond" w:eastAsia="Times New Roman" w:hAnsi="Garamond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link w:val="a4"/>
    <w:uiPriority w:val="34"/>
    <w:qFormat/>
    <w:pPr>
      <w:spacing w:before="180" w:after="60" w:line="240" w:lineRule="auto"/>
      <w:ind w:left="720"/>
      <w:contextualSpacing/>
    </w:pPr>
    <w:rPr>
      <w:rFonts w:ascii="Garamond" w:eastAsia="Times New Roman" w:hAnsi="Garamond"/>
      <w:szCs w:val="20"/>
      <w:lang w:val="en-GB"/>
    </w:rPr>
  </w:style>
  <w:style w:type="paragraph" w:styleId="a5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6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11">
    <w:name w:val="Обычный + 11 пт"/>
    <w:aliases w:val="По ширине"/>
    <w:basedOn w:val="a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31">
    <w:name w:val="Заголовок 3 Знак1"/>
    <w:aliases w:val="H3 Знак,Заголовок подпукта (1.1.1) Знак,Level 1 - 1 Знак,o Знак"/>
    <w:link w:val="3"/>
    <w:locked/>
    <w:rPr>
      <w:rFonts w:ascii="Garamond" w:eastAsia="Times New Roman" w:hAnsi="Garamond" w:cs="Times New Roman"/>
      <w:b/>
      <w:color w:val="000000"/>
    </w:rPr>
  </w:style>
  <w:style w:type="character" w:customStyle="1" w:styleId="a4">
    <w:name w:val="Абзац списка Знак"/>
    <w:link w:val="a3"/>
    <w:uiPriority w:val="34"/>
    <w:rPr>
      <w:rFonts w:ascii="Garamond" w:eastAsia="Times New Roman" w:hAnsi="Garamond" w:cs="Times New Roman"/>
      <w:szCs w:val="20"/>
      <w:lang w:val="en-GB"/>
    </w:rPr>
  </w:style>
  <w:style w:type="character" w:customStyle="1" w:styleId="a7">
    <w:name w:val="Основной текст_"/>
    <w:basedOn w:val="a0"/>
    <w:link w:val="1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pPr>
      <w:widowControl w:val="0"/>
      <w:spacing w:after="0" w:line="283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8">
    <w:name w:val="footnote text"/>
    <w:basedOn w:val="a"/>
    <w:link w:val="a9"/>
    <w:uiPriority w:val="99"/>
    <w:unhideWhenUsed/>
    <w:pPr>
      <w:spacing w:after="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Garamond" w:eastAsia="Times New Roman" w:hAnsi="Garamond" w:cs="Times New Roman"/>
      <w:sz w:val="20"/>
      <w:szCs w:val="20"/>
      <w:lang w:val="en-GB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1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3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22">
    <w:name w:val="Текст сноски Знак2"/>
    <w:semiHidden/>
    <w:locked/>
    <w:rPr>
      <w:rFonts w:ascii="Garamond" w:hAnsi="Garamond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55821-F2EF-4F9D-8BA8-29222BDB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герой</dc:creator>
  <cp:keywords/>
  <dc:description/>
  <cp:lastModifiedBy>Пряхина Ирина Игоревна</cp:lastModifiedBy>
  <cp:revision>14</cp:revision>
  <dcterms:created xsi:type="dcterms:W3CDTF">2022-12-13T10:04:00Z</dcterms:created>
  <dcterms:modified xsi:type="dcterms:W3CDTF">2022-12-19T13:10:00Z</dcterms:modified>
</cp:coreProperties>
</file>