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DF" w:rsidRPr="00E569AF" w:rsidRDefault="00F91C16" w:rsidP="002C5F92">
      <w:pPr>
        <w:autoSpaceDE w:val="0"/>
        <w:autoSpaceDN w:val="0"/>
        <w:adjustRightInd w:val="0"/>
        <w:jc w:val="both"/>
        <w:outlineLvl w:val="1"/>
        <w:rPr>
          <w:rFonts w:ascii="Garamond" w:hAnsi="Garamond"/>
          <w:b/>
          <w:sz w:val="28"/>
          <w:szCs w:val="28"/>
        </w:rPr>
      </w:pPr>
      <w:bookmarkStart w:id="0" w:name="_Toc84311510"/>
      <w:r>
        <w:rPr>
          <w:rFonts w:ascii="Garamond" w:hAnsi="Garamond"/>
          <w:b/>
          <w:sz w:val="28"/>
          <w:szCs w:val="28"/>
          <w:lang w:val="en-US"/>
        </w:rPr>
        <w:t>VIII</w:t>
      </w:r>
      <w:r w:rsidRPr="00F91C16">
        <w:rPr>
          <w:rFonts w:ascii="Garamond" w:hAnsi="Garamond"/>
          <w:b/>
          <w:sz w:val="28"/>
          <w:szCs w:val="28"/>
        </w:rPr>
        <w:t>.1</w:t>
      </w:r>
      <w:r w:rsidR="007A4216">
        <w:rPr>
          <w:rFonts w:ascii="Garamond" w:hAnsi="Garamond"/>
          <w:b/>
          <w:sz w:val="28"/>
          <w:szCs w:val="28"/>
        </w:rPr>
        <w:t>.</w:t>
      </w:r>
      <w:r w:rsidRPr="00F91C16">
        <w:rPr>
          <w:rFonts w:ascii="Garamond" w:hAnsi="Garamond"/>
          <w:b/>
          <w:sz w:val="28"/>
          <w:szCs w:val="28"/>
        </w:rPr>
        <w:t xml:space="preserve"> </w:t>
      </w:r>
      <w:r w:rsidR="003878DF" w:rsidRPr="00E569AF">
        <w:rPr>
          <w:rFonts w:ascii="Garamond" w:hAnsi="Garamond"/>
          <w:b/>
          <w:sz w:val="28"/>
          <w:szCs w:val="28"/>
        </w:rPr>
        <w:t xml:space="preserve">Изменения, связанные с </w:t>
      </w:r>
      <w:r w:rsidR="0036544C">
        <w:rPr>
          <w:rFonts w:ascii="Garamond" w:hAnsi="Garamond"/>
          <w:b/>
          <w:sz w:val="28"/>
          <w:szCs w:val="28"/>
        </w:rPr>
        <w:t>функционированием внезональных энергорайонов на территории неценовой зоны Дальнего Востока</w:t>
      </w:r>
    </w:p>
    <w:p w:rsidR="003878DF" w:rsidRPr="00087AC8" w:rsidRDefault="003878DF" w:rsidP="003878DF">
      <w:pPr>
        <w:ind w:right="-190"/>
        <w:jc w:val="right"/>
        <w:rPr>
          <w:rFonts w:ascii="Garamond" w:hAnsi="Garamond"/>
          <w:b/>
          <w:sz w:val="28"/>
          <w:szCs w:val="28"/>
        </w:rPr>
      </w:pPr>
      <w:r w:rsidRPr="00E569AF">
        <w:rPr>
          <w:rFonts w:ascii="Garamond" w:hAnsi="Garamond"/>
          <w:b/>
          <w:sz w:val="28"/>
          <w:szCs w:val="28"/>
        </w:rPr>
        <w:t>Приложение №</w:t>
      </w:r>
      <w:r w:rsidR="0097607E" w:rsidRPr="0036544C">
        <w:rPr>
          <w:rFonts w:ascii="Garamond" w:hAnsi="Garamond"/>
          <w:b/>
          <w:sz w:val="28"/>
          <w:szCs w:val="28"/>
        </w:rPr>
        <w:t xml:space="preserve"> </w:t>
      </w:r>
      <w:r w:rsidR="00F91C16">
        <w:rPr>
          <w:rFonts w:ascii="Garamond" w:hAnsi="Garamond"/>
          <w:b/>
          <w:sz w:val="28"/>
          <w:szCs w:val="28"/>
        </w:rPr>
        <w:t>8.</w:t>
      </w:r>
      <w:r w:rsidR="00F91C16" w:rsidRPr="007A4216">
        <w:rPr>
          <w:rFonts w:ascii="Garamond" w:hAnsi="Garamond"/>
          <w:b/>
          <w:sz w:val="28"/>
          <w:szCs w:val="28"/>
        </w:rPr>
        <w:t>1</w:t>
      </w:r>
      <w:r w:rsidR="000B2C08">
        <w:rPr>
          <w:rFonts w:ascii="Garamond" w:hAnsi="Garamond"/>
          <w:b/>
          <w:sz w:val="28"/>
          <w:szCs w:val="28"/>
        </w:rPr>
        <w:t>.1</w:t>
      </w:r>
    </w:p>
    <w:p w:rsidR="00E569AF" w:rsidRPr="00E569AF" w:rsidRDefault="00E569AF" w:rsidP="00E569AF">
      <w:pPr>
        <w:rPr>
          <w:rFonts w:ascii="Garamond" w:hAnsi="Garamond"/>
          <w:b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2"/>
      </w:tblGrid>
      <w:tr w:rsidR="00E569AF" w:rsidRPr="00E569AF" w:rsidTr="008765B0">
        <w:trPr>
          <w:trHeight w:val="826"/>
        </w:trPr>
        <w:tc>
          <w:tcPr>
            <w:tcW w:w="14922" w:type="dxa"/>
          </w:tcPr>
          <w:p w:rsidR="00E569AF" w:rsidRPr="00A93E94" w:rsidRDefault="00E569AF" w:rsidP="002C5F92">
            <w:pPr>
              <w:pStyle w:val="ConsPlusNormal"/>
              <w:widowControl w:val="0"/>
              <w:spacing w:before="120" w:after="120"/>
              <w:ind w:firstLine="0"/>
              <w:rPr>
                <w:rFonts w:ascii="Garamond" w:hAnsi="Garamond" w:cs="Gautami"/>
                <w:sz w:val="24"/>
                <w:szCs w:val="24"/>
              </w:rPr>
            </w:pPr>
            <w:r w:rsidRPr="00AF2359">
              <w:rPr>
                <w:rFonts w:ascii="Garamond" w:hAnsi="Garamond" w:cs="Gautami"/>
                <w:b/>
                <w:sz w:val="24"/>
                <w:szCs w:val="24"/>
              </w:rPr>
              <w:t xml:space="preserve">Инициатор: </w:t>
            </w:r>
            <w:r w:rsidR="003756AB" w:rsidRPr="003756AB">
              <w:rPr>
                <w:rFonts w:ascii="Garamond" w:hAnsi="Garamond" w:cs="Gautami"/>
                <w:sz w:val="24"/>
                <w:szCs w:val="24"/>
              </w:rPr>
              <w:t>Ассоциация «НП</w:t>
            </w:r>
            <w:r w:rsidR="003756AB">
              <w:rPr>
                <w:rFonts w:ascii="Garamond" w:hAnsi="Garamond" w:cs="Gautami"/>
                <w:sz w:val="24"/>
                <w:szCs w:val="24"/>
              </w:rPr>
              <w:t xml:space="preserve"> </w:t>
            </w:r>
            <w:r w:rsidR="00AF2359" w:rsidRPr="00A93E94">
              <w:rPr>
                <w:rFonts w:ascii="Garamond" w:hAnsi="Garamond" w:cs="Gautami"/>
                <w:sz w:val="24"/>
                <w:szCs w:val="24"/>
              </w:rPr>
              <w:t>Совет рынка»</w:t>
            </w:r>
            <w:r w:rsidR="002C5F92">
              <w:rPr>
                <w:rFonts w:ascii="Garamond" w:hAnsi="Garamond" w:cs="Gautami"/>
                <w:sz w:val="24"/>
                <w:szCs w:val="24"/>
              </w:rPr>
              <w:t>.</w:t>
            </w:r>
          </w:p>
          <w:p w:rsidR="00A73156" w:rsidRPr="00A73156" w:rsidRDefault="00E569AF" w:rsidP="00A73156">
            <w:pPr>
              <w:pStyle w:val="ConsPlusNormal"/>
              <w:tabs>
                <w:tab w:val="left" w:pos="360"/>
              </w:tabs>
              <w:spacing w:after="60"/>
              <w:ind w:firstLine="0"/>
              <w:jc w:val="both"/>
              <w:rPr>
                <w:rFonts w:ascii="Garamond" w:hAnsi="Garamond" w:cs="Gautami"/>
                <w:sz w:val="24"/>
                <w:szCs w:val="24"/>
              </w:rPr>
            </w:pPr>
            <w:r w:rsidRPr="00A73156">
              <w:rPr>
                <w:rFonts w:ascii="Garamond" w:hAnsi="Garamond" w:cs="Gautami"/>
                <w:b/>
                <w:sz w:val="24"/>
                <w:szCs w:val="24"/>
              </w:rPr>
              <w:t>Обоснование:</w:t>
            </w:r>
            <w:r w:rsidR="001E2B1E">
              <w:rPr>
                <w:rFonts w:ascii="Garamond" w:hAnsi="Garamond" w:cs="Gautami"/>
                <w:b/>
              </w:rPr>
              <w:t xml:space="preserve"> </w:t>
            </w:r>
            <w:r w:rsidR="007A4216">
              <w:rPr>
                <w:rFonts w:ascii="Garamond" w:hAnsi="Garamond" w:cs="Gautami"/>
                <w:sz w:val="24"/>
                <w:szCs w:val="24"/>
              </w:rPr>
              <w:t>в</w:t>
            </w:r>
            <w:r w:rsidR="00A73156" w:rsidRPr="00A73156">
              <w:rPr>
                <w:rFonts w:ascii="Garamond" w:hAnsi="Garamond" w:cs="Gautami"/>
                <w:sz w:val="24"/>
                <w:szCs w:val="24"/>
              </w:rPr>
              <w:t xml:space="preserve"> настоящее время энергопринимающее оборудование, подключенное к ПС «Хани», относится ко внезональному энергорайону, включенному в ГТП потребления гарантирующего поставщика ПАО «ДЭК» по Амурской области, в отношении которого покупка электроэнергии осуществляется во второй ценовой зоне. Решением органа исполнительной власти в области государственного регулирования тарифов Республики Саха (Якутия) территория, на которой расположена ПС «Хани», была отнесена к зоне деятельности гарантирующего поставщика ПАО «Якутскэнерго». Решением органов исполнительной власти в области государственного регулирования тарифо</w:t>
            </w:r>
            <w:r w:rsidR="00D42788">
              <w:rPr>
                <w:rFonts w:ascii="Garamond" w:hAnsi="Garamond" w:cs="Gautami"/>
                <w:sz w:val="24"/>
                <w:szCs w:val="24"/>
              </w:rPr>
              <w:t>в Якутии и Амурской области объе</w:t>
            </w:r>
            <w:r w:rsidR="00A73156" w:rsidRPr="00A73156">
              <w:rPr>
                <w:rFonts w:ascii="Garamond" w:hAnsi="Garamond" w:cs="Gautami"/>
                <w:sz w:val="24"/>
                <w:szCs w:val="24"/>
              </w:rPr>
              <w:t>мы электрической энергии, потребляемые потребителями, присоединенными к ПС «Хани», приобретаются ПАО «ДЭК» на оптовом рынке и продаются им на розничном рынке гарантирующему поставщику ПАО «Якутскэнерго». Данное решение действует до 1 января 2017 года, и с указанной даты ПАО «Якутскэнерго» сможет приобретать электроэнергию для поставки потребителям ПС «Хани» только на оптовом рынке, в связи с чем энергопринимающее оборудование, присоединенное к ПС «Хани», будет отнесено к ГТП потребления ПАО «Якутскэнерго».</w:t>
            </w:r>
          </w:p>
          <w:p w:rsidR="00A73156" w:rsidRPr="00A73156" w:rsidRDefault="00A73156" w:rsidP="00A73156">
            <w:pPr>
              <w:pStyle w:val="ConsPlusNormal"/>
              <w:tabs>
                <w:tab w:val="left" w:pos="360"/>
              </w:tabs>
              <w:spacing w:after="60"/>
              <w:ind w:firstLine="0"/>
              <w:jc w:val="both"/>
              <w:rPr>
                <w:rFonts w:ascii="Garamond" w:hAnsi="Garamond" w:cs="Gautami"/>
                <w:sz w:val="24"/>
                <w:szCs w:val="24"/>
              </w:rPr>
            </w:pPr>
            <w:r w:rsidRPr="00A73156">
              <w:rPr>
                <w:rFonts w:ascii="Garamond" w:hAnsi="Garamond" w:cs="Gautami"/>
                <w:sz w:val="24"/>
                <w:szCs w:val="24"/>
              </w:rPr>
              <w:t>Таким образом</w:t>
            </w:r>
            <w:r w:rsidR="007A4216">
              <w:rPr>
                <w:rFonts w:ascii="Garamond" w:hAnsi="Garamond" w:cs="Gautami"/>
                <w:sz w:val="24"/>
                <w:szCs w:val="24"/>
              </w:rPr>
              <w:t>,</w:t>
            </w:r>
            <w:r w:rsidRPr="00A73156">
              <w:rPr>
                <w:rFonts w:ascii="Garamond" w:hAnsi="Garamond" w:cs="Gautami"/>
                <w:sz w:val="24"/>
                <w:szCs w:val="24"/>
              </w:rPr>
              <w:t xml:space="preserve"> в связи с </w:t>
            </w:r>
            <w:r w:rsidR="006A4538" w:rsidRPr="00A73156">
              <w:rPr>
                <w:rFonts w:ascii="Garamond" w:hAnsi="Garamond" w:cs="Gautami"/>
                <w:sz w:val="24"/>
                <w:szCs w:val="24"/>
              </w:rPr>
              <w:t>указанными изменениями</w:t>
            </w:r>
            <w:r w:rsidRPr="00A73156">
              <w:rPr>
                <w:rFonts w:ascii="Garamond" w:hAnsi="Garamond" w:cs="Gautami"/>
                <w:sz w:val="24"/>
                <w:szCs w:val="24"/>
              </w:rPr>
              <w:t xml:space="preserve"> ГТП потребления участников оптового рынка образуется новый внезональный энергорайон на территории Республики Саха (Якутия), поставка электроэнергии в который будет осуществляться из второй ценовой зоны. Однако действующей редакцией регламентов оптового рынка определены особенности торговли электричес</w:t>
            </w:r>
            <w:r w:rsidR="007A4216">
              <w:rPr>
                <w:rFonts w:ascii="Garamond" w:hAnsi="Garamond" w:cs="Gautami"/>
                <w:sz w:val="24"/>
                <w:szCs w:val="24"/>
              </w:rPr>
              <w:t>кой энергией и коммерческого уче</w:t>
            </w:r>
            <w:r w:rsidRPr="00A73156">
              <w:rPr>
                <w:rFonts w:ascii="Garamond" w:hAnsi="Garamond" w:cs="Gautami"/>
                <w:sz w:val="24"/>
                <w:szCs w:val="24"/>
              </w:rPr>
              <w:t xml:space="preserve">та в отношении одного внезонального энергорайона на территории НЦЗ Дальнего Востока, функционирующего параллельно со второй ценовой зоной и отнесенного к ГТП потребления ПАО «ДЭК». </w:t>
            </w:r>
            <w:r w:rsidR="00AB6EBE">
              <w:rPr>
                <w:rFonts w:ascii="Garamond" w:hAnsi="Garamond" w:cs="Gautami"/>
                <w:sz w:val="24"/>
                <w:szCs w:val="24"/>
              </w:rPr>
              <w:t>Настоящие</w:t>
            </w:r>
            <w:r w:rsidRPr="00A73156">
              <w:rPr>
                <w:rFonts w:ascii="Garamond" w:hAnsi="Garamond" w:cs="Gautami"/>
                <w:sz w:val="24"/>
                <w:szCs w:val="24"/>
              </w:rPr>
              <w:t xml:space="preserve"> изменени</w:t>
            </w:r>
            <w:r w:rsidR="00AB6EBE">
              <w:rPr>
                <w:rFonts w:ascii="Garamond" w:hAnsi="Garamond" w:cs="Gautami"/>
                <w:sz w:val="24"/>
                <w:szCs w:val="24"/>
              </w:rPr>
              <w:t>я</w:t>
            </w:r>
            <w:r w:rsidRPr="00A73156">
              <w:rPr>
                <w:rFonts w:ascii="Garamond" w:hAnsi="Garamond" w:cs="Gautami"/>
                <w:sz w:val="24"/>
                <w:szCs w:val="24"/>
              </w:rPr>
              <w:t xml:space="preserve"> </w:t>
            </w:r>
            <w:r w:rsidR="00AB6EBE">
              <w:rPr>
                <w:rFonts w:ascii="Garamond" w:hAnsi="Garamond" w:cs="Gautami"/>
                <w:sz w:val="24"/>
                <w:szCs w:val="24"/>
              </w:rPr>
              <w:t>выносятся</w:t>
            </w:r>
            <w:r w:rsidRPr="00A73156">
              <w:rPr>
                <w:rFonts w:ascii="Garamond" w:hAnsi="Garamond" w:cs="Gautami"/>
                <w:sz w:val="24"/>
                <w:szCs w:val="24"/>
              </w:rPr>
              <w:t xml:space="preserve"> в це</w:t>
            </w:r>
            <w:r w:rsidR="007A4216">
              <w:rPr>
                <w:rFonts w:ascii="Garamond" w:hAnsi="Garamond" w:cs="Gautami"/>
                <w:sz w:val="24"/>
                <w:szCs w:val="24"/>
              </w:rPr>
              <w:t>лях определения фактических объе</w:t>
            </w:r>
            <w:r w:rsidRPr="00A73156">
              <w:rPr>
                <w:rFonts w:ascii="Garamond" w:hAnsi="Garamond" w:cs="Gautami"/>
                <w:sz w:val="24"/>
                <w:szCs w:val="24"/>
              </w:rPr>
              <w:t>мов потребления в отношении внезональных энергорайонов на территории НЦЗ Дальнего Востока, а также особенностей участия в торговле электрической энергией по внезональному энергорайону на территории Якутии.</w:t>
            </w:r>
          </w:p>
          <w:p w:rsidR="00E569AF" w:rsidRPr="001D3347" w:rsidRDefault="008E0082" w:rsidP="001D3347">
            <w:pPr>
              <w:pStyle w:val="afb"/>
              <w:rPr>
                <w:rFonts w:ascii="Garamond" w:hAnsi="Garamond" w:cs="Gautami"/>
                <w:sz w:val="24"/>
                <w:szCs w:val="24"/>
              </w:rPr>
            </w:pPr>
            <w:r w:rsidRPr="00026868">
              <w:rPr>
                <w:rFonts w:ascii="Garamond" w:hAnsi="Garamond" w:cs="Gautami"/>
                <w:b/>
                <w:sz w:val="24"/>
                <w:szCs w:val="24"/>
              </w:rPr>
              <w:t>Дата вступления в силу:</w:t>
            </w:r>
            <w:r w:rsidR="007169B8" w:rsidRPr="007169B8">
              <w:rPr>
                <w:rFonts w:ascii="Garamond" w:hAnsi="Garamond"/>
              </w:rPr>
              <w:t xml:space="preserve"> </w:t>
            </w:r>
            <w:r w:rsidR="001D3347" w:rsidRPr="001D3347">
              <w:rPr>
                <w:rFonts w:ascii="Garamond" w:hAnsi="Garamond" w:cs="Gautami"/>
                <w:sz w:val="24"/>
                <w:szCs w:val="24"/>
              </w:rPr>
              <w:t>22 ноября 2016 года и распространяют свое действие на отношения сторон по Договору о присоединении к торговой системе оптового рынка, возникшие с 10 ноября 2016 года</w:t>
            </w:r>
            <w:r w:rsidR="00D42788">
              <w:rPr>
                <w:rFonts w:ascii="Garamond" w:hAnsi="Garamond" w:cs="Gautami"/>
                <w:sz w:val="24"/>
                <w:szCs w:val="24"/>
              </w:rPr>
              <w:t>.</w:t>
            </w:r>
          </w:p>
        </w:tc>
      </w:tr>
    </w:tbl>
    <w:p w:rsidR="00A356AA" w:rsidRDefault="00A356AA" w:rsidP="00E569AF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  <w:bookmarkStart w:id="1" w:name="_Toc156127127"/>
      <w:bookmarkStart w:id="2" w:name="_Toc157593528"/>
    </w:p>
    <w:p w:rsidR="00331A82" w:rsidRPr="00061991" w:rsidRDefault="00331A82" w:rsidP="00331A82">
      <w:pPr>
        <w:jc w:val="both"/>
        <w:rPr>
          <w:rFonts w:ascii="Garamond" w:hAnsi="Garamond"/>
          <w:b/>
          <w:sz w:val="26"/>
          <w:szCs w:val="26"/>
        </w:rPr>
      </w:pPr>
      <w:r w:rsidRPr="00061991">
        <w:rPr>
          <w:rFonts w:ascii="Garamond" w:hAnsi="Garamond"/>
          <w:b/>
          <w:sz w:val="26"/>
          <w:szCs w:val="26"/>
        </w:rPr>
        <w:t>Предложения по изменениям и дополнениям в ПЕРЕЧЕНЬ ОПРЕДЕЛЕНИЙ И ПР</w:t>
      </w:r>
      <w:r w:rsidR="007A4216">
        <w:rPr>
          <w:rFonts w:ascii="Garamond" w:hAnsi="Garamond"/>
          <w:b/>
          <w:sz w:val="26"/>
          <w:szCs w:val="26"/>
        </w:rPr>
        <w:t>ИНЯТЫХ СОКРАЩЕНИЙ (Приложение № </w:t>
      </w:r>
      <w:r w:rsidRPr="00061991">
        <w:rPr>
          <w:rFonts w:ascii="Garamond" w:hAnsi="Garamond"/>
          <w:b/>
          <w:sz w:val="26"/>
          <w:szCs w:val="26"/>
        </w:rPr>
        <w:t>17 к Договору о присоединении к торговой системе оптового рынка)</w:t>
      </w:r>
    </w:p>
    <w:p w:rsidR="00331A82" w:rsidRPr="00061991" w:rsidRDefault="00331A82" w:rsidP="00331A82">
      <w:pPr>
        <w:jc w:val="both"/>
        <w:rPr>
          <w:rFonts w:ascii="Garamond" w:hAnsi="Garamond"/>
          <w:b/>
          <w:sz w:val="26"/>
          <w:szCs w:val="26"/>
        </w:rPr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4536"/>
        <w:gridCol w:w="8222"/>
      </w:tblGrid>
      <w:tr w:rsidR="00331A82" w:rsidRPr="00261846" w:rsidTr="00043ED3">
        <w:tc>
          <w:tcPr>
            <w:tcW w:w="2023" w:type="dxa"/>
            <w:vAlign w:val="center"/>
          </w:tcPr>
          <w:p w:rsidR="00331A82" w:rsidRPr="00261846" w:rsidRDefault="00331A82" w:rsidP="00043ED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61846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331A82" w:rsidRPr="00261846" w:rsidRDefault="00331A82" w:rsidP="00043ED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61846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4536" w:type="dxa"/>
          </w:tcPr>
          <w:p w:rsidR="00331A82" w:rsidRPr="00261846" w:rsidRDefault="00331A82" w:rsidP="00043ED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61846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331A82" w:rsidRPr="00261846" w:rsidRDefault="00331A82" w:rsidP="00043ED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61846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8222" w:type="dxa"/>
          </w:tcPr>
          <w:p w:rsidR="00331A82" w:rsidRPr="00261846" w:rsidRDefault="00331A82" w:rsidP="00043ED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61846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331A82" w:rsidRPr="00261846" w:rsidRDefault="00331A82" w:rsidP="00043ED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61846">
              <w:rPr>
                <w:rFonts w:ascii="Garamond" w:hAnsi="Garamond"/>
                <w:b/>
                <w:sz w:val="22"/>
                <w:szCs w:val="22"/>
              </w:rPr>
              <w:t>(изменения выделены цветом)</w:t>
            </w:r>
          </w:p>
        </w:tc>
      </w:tr>
      <w:tr w:rsidR="00331A82" w:rsidRPr="00A10FA0" w:rsidTr="00043ED3">
        <w:tc>
          <w:tcPr>
            <w:tcW w:w="2023" w:type="dxa"/>
            <w:vAlign w:val="center"/>
          </w:tcPr>
          <w:p w:rsidR="00331A82" w:rsidRPr="008571D2" w:rsidRDefault="00331A82" w:rsidP="00043ED3">
            <w:pPr>
              <w:jc w:val="center"/>
              <w:rPr>
                <w:rFonts w:ascii="Garamond" w:hAnsi="Garamond"/>
                <w:b/>
                <w:sz w:val="22"/>
                <w:szCs w:val="20"/>
                <w:lang w:eastAsia="en-US"/>
              </w:rPr>
            </w:pPr>
            <w:r w:rsidRPr="008571D2">
              <w:rPr>
                <w:rFonts w:ascii="Garamond" w:hAnsi="Garamond"/>
                <w:b/>
                <w:sz w:val="22"/>
                <w:szCs w:val="20"/>
                <w:lang w:eastAsia="en-US"/>
              </w:rPr>
              <w:t>В</w:t>
            </w:r>
          </w:p>
        </w:tc>
        <w:tc>
          <w:tcPr>
            <w:tcW w:w="4536" w:type="dxa"/>
          </w:tcPr>
          <w:p w:rsidR="00331A82" w:rsidRPr="007A4216" w:rsidRDefault="00331A82" w:rsidP="00043ED3">
            <w:pPr>
              <w:jc w:val="both"/>
              <w:rPr>
                <w:rFonts w:ascii="Garamond" w:hAnsi="Garamond"/>
                <w:sz w:val="22"/>
                <w:szCs w:val="20"/>
                <w:lang w:eastAsia="en-US"/>
              </w:rPr>
            </w:pPr>
          </w:p>
          <w:p w:rsidR="007A4216" w:rsidRPr="007A4216" w:rsidRDefault="007A4216" w:rsidP="00043ED3">
            <w:pPr>
              <w:jc w:val="both"/>
              <w:rPr>
                <w:rFonts w:ascii="Garamond" w:hAnsi="Garamond"/>
                <w:b/>
                <w:sz w:val="22"/>
                <w:szCs w:val="20"/>
                <w:lang w:eastAsia="en-US"/>
              </w:rPr>
            </w:pPr>
            <w:r w:rsidRPr="007A4216">
              <w:rPr>
                <w:rFonts w:ascii="Garamond" w:hAnsi="Garamond"/>
                <w:b/>
                <w:sz w:val="22"/>
                <w:szCs w:val="20"/>
                <w:lang w:eastAsia="en-US"/>
              </w:rPr>
              <w:t>Добавить определение</w:t>
            </w:r>
          </w:p>
        </w:tc>
        <w:tc>
          <w:tcPr>
            <w:tcW w:w="8222" w:type="dxa"/>
          </w:tcPr>
          <w:tbl>
            <w:tblPr>
              <w:tblW w:w="7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7"/>
              <w:gridCol w:w="5953"/>
            </w:tblGrid>
            <w:tr w:rsidR="00331A82" w:rsidRPr="008571D2" w:rsidTr="00043ED3"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31A82" w:rsidRPr="007A4216" w:rsidRDefault="00331A82" w:rsidP="00043ED3">
                  <w:pPr>
                    <w:pStyle w:val="5"/>
                    <w:widowControl w:val="0"/>
                    <w:numPr>
                      <w:ilvl w:val="0"/>
                      <w:numId w:val="0"/>
                    </w:numPr>
                    <w:jc w:val="left"/>
                    <w:rPr>
                      <w:rFonts w:ascii="Garamond" w:hAnsi="Garamond"/>
                      <w:b/>
                      <w:bCs/>
                      <w:szCs w:val="22"/>
                    </w:rPr>
                  </w:pPr>
                  <w:r w:rsidRPr="007A4216">
                    <w:rPr>
                      <w:rFonts w:ascii="Garamond" w:hAnsi="Garamond"/>
                      <w:b/>
                      <w:bCs/>
                      <w:szCs w:val="22"/>
                    </w:rPr>
                    <w:t>Внезональный энергорайон</w:t>
                  </w:r>
                </w:p>
              </w:tc>
              <w:tc>
                <w:tcPr>
                  <w:tcW w:w="59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3BB3" w:rsidRPr="00503BB3" w:rsidRDefault="00503BB3" w:rsidP="00503BB3">
                  <w:pPr>
                    <w:spacing w:before="120" w:after="120"/>
                    <w:ind w:firstLine="459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503BB3">
                    <w:rPr>
                      <w:rFonts w:ascii="Garamond" w:hAnsi="Garamond"/>
                      <w:b/>
                      <w:sz w:val="22"/>
                      <w:szCs w:val="22"/>
                    </w:rPr>
                    <w:t>Для второй неценовой зоны</w:t>
                  </w:r>
                  <w:r w:rsidRPr="00503BB3">
                    <w:rPr>
                      <w:rFonts w:ascii="Garamond" w:hAnsi="Garamond"/>
                      <w:sz w:val="22"/>
                      <w:szCs w:val="22"/>
                    </w:rPr>
                    <w:t>:</w:t>
                  </w:r>
                </w:p>
                <w:p w:rsidR="00503BB3" w:rsidRPr="00503BB3" w:rsidRDefault="00503BB3" w:rsidP="00D42788">
                  <w:pPr>
                    <w:spacing w:before="120" w:after="120"/>
                    <w:ind w:firstLine="33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503BB3">
                    <w:rPr>
                      <w:rFonts w:ascii="Garamond" w:hAnsi="Garamond"/>
                      <w:sz w:val="22"/>
                      <w:szCs w:val="22"/>
                    </w:rPr>
                    <w:t xml:space="preserve">совокупность расположенных во второй неценовой зоне объектов электроэнергетики, которые относятся к группе </w:t>
                  </w:r>
                  <w:r w:rsidRPr="00503BB3">
                    <w:rPr>
                      <w:rFonts w:ascii="Garamond" w:hAnsi="Garamond"/>
                      <w:sz w:val="22"/>
                      <w:szCs w:val="22"/>
                    </w:rPr>
                    <w:lastRenderedPageBreak/>
                    <w:t>точек поставке гарантирующего поставщика и в отношении которых поставка электрической энергии и осуществляется из второй ценовой зоны;</w:t>
                  </w:r>
                </w:p>
                <w:p w:rsidR="00503BB3" w:rsidRPr="00297CA2" w:rsidRDefault="00503BB3" w:rsidP="00503BB3">
                  <w:pPr>
                    <w:spacing w:before="120" w:after="120"/>
                    <w:ind w:firstLine="459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503BB3">
                    <w:rPr>
                      <w:rFonts w:ascii="Garamond" w:hAnsi="Garamond"/>
                      <w:b/>
                      <w:sz w:val="22"/>
                      <w:szCs w:val="22"/>
                    </w:rPr>
                    <w:t>Для второй ценовой зоны</w:t>
                  </w:r>
                  <w:r w:rsidRPr="00297CA2">
                    <w:rPr>
                      <w:rFonts w:ascii="Garamond" w:hAnsi="Garamond"/>
                      <w:sz w:val="22"/>
                      <w:szCs w:val="22"/>
                    </w:rPr>
                    <w:t>:</w:t>
                  </w:r>
                </w:p>
                <w:p w:rsidR="00331A82" w:rsidRPr="00503BB3" w:rsidRDefault="00503BB3" w:rsidP="00D42788">
                  <w:pPr>
                    <w:spacing w:before="120" w:after="120"/>
                    <w:jc w:val="both"/>
                    <w:rPr>
                      <w:rFonts w:ascii="Garamond" w:hAnsi="Garamond"/>
                      <w:sz w:val="22"/>
                      <w:szCs w:val="22"/>
                      <w:highlight w:val="yellow"/>
                    </w:rPr>
                  </w:pPr>
                  <w:r w:rsidRPr="00503BB3">
                    <w:rPr>
                      <w:rFonts w:ascii="Garamond" w:hAnsi="Garamond"/>
                      <w:sz w:val="22"/>
                      <w:szCs w:val="22"/>
                    </w:rPr>
                    <w:t>совокупность расположенных во второй ценовой зоне объектов электроэнергетики, которые относятся к группе точек поставке гарантирующего поставщика и в отношении которых поставка электрической энергии осуществляется из второй неценовой зоны.</w:t>
                  </w:r>
                </w:p>
              </w:tc>
            </w:tr>
          </w:tbl>
          <w:p w:rsidR="00331A82" w:rsidRPr="008571D2" w:rsidRDefault="00331A82" w:rsidP="00043ED3">
            <w:pPr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</w:tr>
      <w:tr w:rsidR="00331A82" w:rsidRPr="00A10FA0" w:rsidTr="00043ED3">
        <w:tc>
          <w:tcPr>
            <w:tcW w:w="2023" w:type="dxa"/>
            <w:vAlign w:val="center"/>
          </w:tcPr>
          <w:p w:rsidR="00331A82" w:rsidRPr="00061991" w:rsidRDefault="00331A82" w:rsidP="00043ED3">
            <w:pPr>
              <w:jc w:val="both"/>
              <w:rPr>
                <w:rFonts w:ascii="Garamond" w:hAnsi="Garamond"/>
                <w:b/>
                <w:sz w:val="22"/>
                <w:szCs w:val="20"/>
                <w:lang w:eastAsia="en-US"/>
              </w:rPr>
            </w:pPr>
            <w:r w:rsidRPr="00061991">
              <w:rPr>
                <w:rFonts w:ascii="Garamond" w:hAnsi="Garamond"/>
                <w:b/>
                <w:sz w:val="22"/>
                <w:szCs w:val="20"/>
                <w:lang w:eastAsia="en-US"/>
              </w:rPr>
              <w:lastRenderedPageBreak/>
              <w:t>ПЕРЕЧЕНЬ ПРИНЯТЫХ СОКРАЩЕНИЙ</w:t>
            </w:r>
          </w:p>
        </w:tc>
        <w:tc>
          <w:tcPr>
            <w:tcW w:w="4536" w:type="dxa"/>
          </w:tcPr>
          <w:p w:rsidR="00331A82" w:rsidRPr="00061991" w:rsidRDefault="007A4216" w:rsidP="00043ED3">
            <w:pPr>
              <w:jc w:val="both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7A4216">
              <w:rPr>
                <w:rFonts w:ascii="Garamond" w:hAnsi="Garamond"/>
                <w:b/>
                <w:sz w:val="22"/>
                <w:szCs w:val="20"/>
                <w:lang w:eastAsia="en-US"/>
              </w:rPr>
              <w:t>Добавить определение</w:t>
            </w:r>
          </w:p>
        </w:tc>
        <w:tc>
          <w:tcPr>
            <w:tcW w:w="8222" w:type="dxa"/>
          </w:tcPr>
          <w:tbl>
            <w:tblPr>
              <w:tblW w:w="8847" w:type="dxa"/>
              <w:tblLayout w:type="fixed"/>
              <w:tblLook w:val="0000" w:firstRow="0" w:lastRow="0" w:firstColumn="0" w:lastColumn="0" w:noHBand="0" w:noVBand="0"/>
            </w:tblPr>
            <w:tblGrid>
              <w:gridCol w:w="1877"/>
              <w:gridCol w:w="6970"/>
            </w:tblGrid>
            <w:tr w:rsidR="00331A82" w:rsidRPr="008571D2" w:rsidTr="00043ED3">
              <w:tc>
                <w:tcPr>
                  <w:tcW w:w="1877" w:type="dxa"/>
                </w:tcPr>
                <w:p w:rsidR="00331A82" w:rsidRPr="007A4216" w:rsidRDefault="00331A82" w:rsidP="00043ED3">
                  <w:pPr>
                    <w:pStyle w:val="5"/>
                    <w:widowControl w:val="0"/>
                    <w:numPr>
                      <w:ilvl w:val="0"/>
                      <w:numId w:val="0"/>
                    </w:numPr>
                    <w:jc w:val="left"/>
                    <w:rPr>
                      <w:rFonts w:ascii="Garamond" w:hAnsi="Garamond"/>
                      <w:b/>
                      <w:szCs w:val="22"/>
                    </w:rPr>
                  </w:pPr>
                  <w:r w:rsidRPr="007A4216">
                    <w:rPr>
                      <w:rFonts w:ascii="Garamond" w:hAnsi="Garamond"/>
                      <w:b/>
                      <w:szCs w:val="22"/>
                      <w:lang w:val="en-US"/>
                    </w:rPr>
                    <w:t>В</w:t>
                  </w:r>
                  <w:r w:rsidRPr="007A4216">
                    <w:rPr>
                      <w:rFonts w:ascii="Garamond" w:hAnsi="Garamond"/>
                      <w:b/>
                      <w:szCs w:val="22"/>
                    </w:rPr>
                    <w:t>Э</w:t>
                  </w:r>
                </w:p>
              </w:tc>
              <w:tc>
                <w:tcPr>
                  <w:tcW w:w="6970" w:type="dxa"/>
                </w:tcPr>
                <w:p w:rsidR="00331A82" w:rsidRPr="007A4216" w:rsidRDefault="00331A82" w:rsidP="00043ED3">
                  <w:pPr>
                    <w:pStyle w:val="5"/>
                    <w:widowControl w:val="0"/>
                    <w:numPr>
                      <w:ilvl w:val="0"/>
                      <w:numId w:val="0"/>
                    </w:numPr>
                    <w:ind w:hanging="4"/>
                    <w:rPr>
                      <w:rFonts w:ascii="Garamond" w:hAnsi="Garamond"/>
                      <w:szCs w:val="22"/>
                    </w:rPr>
                  </w:pPr>
                  <w:r w:rsidRPr="007A4216">
                    <w:rPr>
                      <w:rFonts w:ascii="Garamond" w:hAnsi="Garamond"/>
                      <w:szCs w:val="22"/>
                    </w:rPr>
                    <w:t>Внезональный энергорайон</w:t>
                  </w:r>
                </w:p>
              </w:tc>
            </w:tr>
          </w:tbl>
          <w:p w:rsidR="00331A82" w:rsidRPr="008571D2" w:rsidRDefault="00331A82" w:rsidP="00043ED3">
            <w:pPr>
              <w:pStyle w:val="5"/>
              <w:widowControl w:val="0"/>
              <w:numPr>
                <w:ilvl w:val="0"/>
                <w:numId w:val="0"/>
              </w:numPr>
              <w:jc w:val="left"/>
              <w:rPr>
                <w:rFonts w:ascii="Garamond" w:hAnsi="Garamond"/>
                <w:b/>
                <w:bCs/>
                <w:szCs w:val="22"/>
              </w:rPr>
            </w:pPr>
          </w:p>
        </w:tc>
      </w:tr>
    </w:tbl>
    <w:p w:rsidR="001D3347" w:rsidRDefault="001D3347" w:rsidP="00A9633A">
      <w:pPr>
        <w:widowControl w:val="0"/>
        <w:rPr>
          <w:rFonts w:ascii="Garamond" w:hAnsi="Garamond"/>
        </w:rPr>
      </w:pPr>
    </w:p>
    <w:p w:rsidR="00A9633A" w:rsidRPr="00061991" w:rsidRDefault="00A9633A" w:rsidP="007475B5">
      <w:pPr>
        <w:rPr>
          <w:rFonts w:ascii="Garamond" w:hAnsi="Garamond"/>
          <w:b/>
          <w:sz w:val="26"/>
          <w:szCs w:val="26"/>
        </w:rPr>
      </w:pPr>
      <w:r w:rsidRPr="00061991">
        <w:rPr>
          <w:rFonts w:ascii="Garamond" w:hAnsi="Garamond"/>
          <w:b/>
          <w:sz w:val="26"/>
          <w:szCs w:val="26"/>
        </w:rPr>
        <w:t>Предложения по изменениям и дополнениям в ПОЛОЖЕНИЕ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</w:t>
      </w:r>
    </w:p>
    <w:p w:rsidR="00A9633A" w:rsidRPr="002B5432" w:rsidRDefault="00A9633A" w:rsidP="00A9633A">
      <w:pPr>
        <w:widowControl w:val="0"/>
        <w:rPr>
          <w:rFonts w:ascii="Garamond" w:hAnsi="Garamond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662"/>
        <w:gridCol w:w="7558"/>
      </w:tblGrid>
      <w:tr w:rsidR="00A9633A" w:rsidRPr="002B5432" w:rsidTr="007475B5">
        <w:tc>
          <w:tcPr>
            <w:tcW w:w="900" w:type="dxa"/>
            <w:vAlign w:val="center"/>
          </w:tcPr>
          <w:p w:rsidR="00A9633A" w:rsidRPr="002B5432" w:rsidRDefault="00A9633A" w:rsidP="00CB602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A9633A" w:rsidRPr="002B5432" w:rsidRDefault="00A9633A" w:rsidP="00CB602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62" w:type="dxa"/>
          </w:tcPr>
          <w:p w:rsidR="00A9633A" w:rsidRPr="008C14FB" w:rsidRDefault="00A9633A" w:rsidP="00CB6026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A9633A" w:rsidRPr="002B5432" w:rsidRDefault="00A9633A" w:rsidP="00CB6026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58" w:type="dxa"/>
          </w:tcPr>
          <w:p w:rsidR="00A9633A" w:rsidRPr="002B5432" w:rsidRDefault="00A9633A" w:rsidP="00CB602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A9633A" w:rsidRPr="002B5432" w:rsidRDefault="00A9633A" w:rsidP="00CB6026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6B7CE6" w:rsidRPr="002B5432" w:rsidTr="007475B5">
        <w:tc>
          <w:tcPr>
            <w:tcW w:w="900" w:type="dxa"/>
            <w:vAlign w:val="center"/>
          </w:tcPr>
          <w:p w:rsidR="006B7CE6" w:rsidRPr="00E72DE8" w:rsidRDefault="006B7CE6" w:rsidP="00043ED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2.6.4.1</w:t>
            </w:r>
          </w:p>
        </w:tc>
        <w:tc>
          <w:tcPr>
            <w:tcW w:w="6662" w:type="dxa"/>
          </w:tcPr>
          <w:p w:rsidR="006B7CE6" w:rsidRPr="00DE4DA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E4DAF">
              <w:rPr>
                <w:rFonts w:ascii="Garamond" w:hAnsi="Garamond" w:cs="Arial"/>
                <w:sz w:val="22"/>
                <w:szCs w:val="22"/>
              </w:rPr>
              <w:t xml:space="preserve">В срок 15 (пятнадцать) рабочих дней со дня получения документов СО проводит согласование ГТП </w:t>
            </w:r>
            <w:r>
              <w:rPr>
                <w:rFonts w:ascii="Garamond" w:hAnsi="Garamond" w:cs="Arial"/>
                <w:sz w:val="22"/>
                <w:szCs w:val="22"/>
              </w:rPr>
              <w:t>заявител</w:t>
            </w:r>
            <w:r w:rsidRPr="00DE4DAF">
              <w:rPr>
                <w:rFonts w:ascii="Garamond" w:hAnsi="Garamond" w:cs="Arial"/>
                <w:sz w:val="22"/>
                <w:szCs w:val="22"/>
              </w:rPr>
              <w:t xml:space="preserve">я, при наличии заявления на регистрацию ГЕМ оформляет акт регистрации ГЕМ, а также при необходимости </w:t>
            </w:r>
            <w:r w:rsidRPr="00DE4DAF">
              <w:rPr>
                <w:rFonts w:ascii="Garamond" w:hAnsi="Garamond"/>
                <w:sz w:val="22"/>
                <w:szCs w:val="22"/>
              </w:rPr>
              <w:t>приложение к Акту согласования ГТП по форме 8.1А приложения 1 к настоящему Положению</w:t>
            </w:r>
            <w:r w:rsidRPr="00DE4DAF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6B7CE6" w:rsidRDefault="006B7CE6" w:rsidP="00043ED3">
            <w:pPr>
              <w:tabs>
                <w:tab w:val="left" w:pos="1320"/>
                <w:tab w:val="num" w:pos="180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DE4DAF">
              <w:rPr>
                <w:rFonts w:ascii="Garamond" w:hAnsi="Garamond" w:cs="Arial"/>
                <w:sz w:val="22"/>
                <w:szCs w:val="22"/>
              </w:rPr>
              <w:t xml:space="preserve">СО подписывает от своего имени 3 (три) экземпляра акта о согласовании ГТП (приложения </w:t>
            </w:r>
            <w:r w:rsidRPr="00DE4DAF">
              <w:rPr>
                <w:rFonts w:ascii="Garamond" w:hAnsi="Garamond"/>
                <w:sz w:val="22"/>
                <w:szCs w:val="22"/>
              </w:rPr>
              <w:t>к Акту согласования ГТП по форме 8.1А приложения 1 к настоящему Положению</w:t>
            </w:r>
            <w:r w:rsidRPr="00DE4DAF">
              <w:rPr>
                <w:rFonts w:ascii="Garamond" w:hAnsi="Garamond" w:cs="Arial"/>
                <w:sz w:val="22"/>
                <w:szCs w:val="22"/>
              </w:rPr>
              <w:t xml:space="preserve"> (при его наличии), акт регистрации ГЕМ (при его наличии) и</w:t>
            </w:r>
            <w:r w:rsidRPr="00DE4DAF">
              <w:rPr>
                <w:rFonts w:ascii="Garamond" w:hAnsi="Garamond" w:cs="Garamond"/>
                <w:sz w:val="22"/>
                <w:szCs w:val="22"/>
              </w:rPr>
              <w:t xml:space="preserve"> направляет их КО</w:t>
            </w:r>
            <w:r w:rsidRPr="00DE4DAF">
              <w:rPr>
                <w:rFonts w:ascii="Garamond" w:hAnsi="Garamond" w:cs="Arial"/>
                <w:sz w:val="22"/>
                <w:szCs w:val="22"/>
              </w:rPr>
              <w:t xml:space="preserve">. В случае отсутствия необходимости оформления приложения </w:t>
            </w:r>
            <w:r w:rsidRPr="00DE4DAF">
              <w:rPr>
                <w:rFonts w:ascii="Garamond" w:hAnsi="Garamond"/>
                <w:sz w:val="22"/>
                <w:szCs w:val="22"/>
              </w:rPr>
              <w:t xml:space="preserve">к Акту согласования ГТП по форме 8.1А приложения 1 к настоящему Положению </w:t>
            </w:r>
            <w:r w:rsidRPr="00DE4DAF">
              <w:rPr>
                <w:rFonts w:ascii="Garamond" w:hAnsi="Garamond" w:cs="Arial"/>
                <w:sz w:val="22"/>
                <w:szCs w:val="22"/>
              </w:rPr>
              <w:t xml:space="preserve">для гарантирующих поставщиков, в отношении которых ранее был переоформлен Акт согласования ГТП в предусмотренном п. 4.4 настоящего Положения порядке, СО направляет в КО в указанные сроки соответствующее уведомление. </w:t>
            </w:r>
            <w:r w:rsidRPr="00DE4DAF">
              <w:rPr>
                <w:rFonts w:ascii="Garamond" w:hAnsi="Garamond"/>
                <w:sz w:val="22"/>
                <w:szCs w:val="22"/>
              </w:rPr>
              <w:t>Дополнительно к вышеуказанным документам СО может быть</w:t>
            </w:r>
            <w:r>
              <w:rPr>
                <w:rFonts w:ascii="Garamond" w:hAnsi="Garamond"/>
                <w:sz w:val="22"/>
                <w:szCs w:val="22"/>
              </w:rPr>
              <w:t xml:space="preserve"> приложен фрагмент 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расчетной схемы, включающий узлы расчетной модели, к которым отнесены ГТП заявителя.</w:t>
            </w:r>
          </w:p>
          <w:p w:rsidR="006B7CE6" w:rsidRPr="0055442F" w:rsidRDefault="006B7CE6" w:rsidP="00043ED3">
            <w:pPr>
              <w:tabs>
                <w:tab w:val="left" w:pos="1320"/>
                <w:tab w:val="num" w:pos="180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В процессе проведении процедуры согласования ГТП СО определяет тип ГТП потребления:</w:t>
            </w:r>
          </w:p>
          <w:p w:rsidR="006B7CE6" w:rsidRPr="0055442F" w:rsidRDefault="006B7CE6" w:rsidP="00043ED3">
            <w:pPr>
              <w:widowControl w:val="0"/>
              <w:numPr>
                <w:ilvl w:val="0"/>
                <w:numId w:val="45"/>
              </w:numPr>
              <w:tabs>
                <w:tab w:val="clear" w:pos="1080"/>
                <w:tab w:val="left" w:pos="960"/>
              </w:tabs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ГТП потребления типа «Система»;</w:t>
            </w:r>
          </w:p>
          <w:p w:rsidR="006B7CE6" w:rsidRPr="0055442F" w:rsidRDefault="006B7CE6" w:rsidP="00043ED3">
            <w:pPr>
              <w:widowControl w:val="0"/>
              <w:numPr>
                <w:ilvl w:val="0"/>
                <w:numId w:val="45"/>
              </w:numPr>
              <w:tabs>
                <w:tab w:val="clear" w:pos="1080"/>
                <w:tab w:val="left" w:pos="960"/>
              </w:tabs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ГТП потребления типа «Нагрузка».</w:t>
            </w:r>
          </w:p>
          <w:p w:rsidR="006B7CE6" w:rsidRPr="0055442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Группа точек поставки потребления типа «Нагрузка» соответствует потреблению энергопотребляющего оборудования </w:t>
            </w:r>
            <w:r>
              <w:rPr>
                <w:rFonts w:ascii="Garamond" w:hAnsi="Garamond"/>
                <w:sz w:val="22"/>
                <w:szCs w:val="22"/>
              </w:rPr>
              <w:t>участник</w:t>
            </w:r>
            <w:r w:rsidRPr="0055442F">
              <w:rPr>
                <w:rFonts w:ascii="Garamond" w:hAnsi="Garamond"/>
                <w:sz w:val="22"/>
                <w:szCs w:val="22"/>
              </w:rPr>
              <w:t>а оптового рынка, отнесенная СО к узлам расчетной модели в соответствии с определенными фиксированными коэффициентами.</w:t>
            </w:r>
          </w:p>
          <w:p w:rsidR="006B7CE6" w:rsidRPr="0055442F" w:rsidRDefault="006B7CE6" w:rsidP="00043ED3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Группа точек поставки потребления типа «Система», соответствует совокупному потреблению энергопотребляющего оборудования </w:t>
            </w:r>
            <w:r>
              <w:rPr>
                <w:rFonts w:ascii="Garamond" w:hAnsi="Garamond"/>
                <w:sz w:val="22"/>
                <w:szCs w:val="22"/>
              </w:rPr>
              <w:t>участник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а оптового рынка, а также объектов электросетевого хозяйства, отнесенная СО к совокупности узлов расчетной модели в соответствии с коэффициентами отнесения, которые определяются на основе данных о прогнозном диспетчерском графике в соответствии с </w:t>
            </w:r>
            <w:r w:rsidRPr="0055442F">
              <w:rPr>
                <w:rFonts w:ascii="Garamond" w:hAnsi="Garamond"/>
                <w:i/>
                <w:iCs/>
                <w:sz w:val="22"/>
                <w:szCs w:val="22"/>
              </w:rPr>
              <w:t>Регламентом актуализации расчетной модели</w:t>
            </w:r>
            <w:r w:rsidRPr="0055442F">
              <w:rPr>
                <w:rFonts w:ascii="Garamond" w:hAnsi="Garamond"/>
                <w:sz w:val="22"/>
                <w:szCs w:val="22"/>
              </w:rPr>
              <w:t>.</w:t>
            </w:r>
          </w:p>
          <w:p w:rsidR="006B7CE6" w:rsidRPr="0055442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5442F">
              <w:rPr>
                <w:rFonts w:ascii="Garamond" w:hAnsi="Garamond" w:cs="Arial"/>
                <w:sz w:val="22"/>
                <w:szCs w:val="22"/>
              </w:rPr>
              <w:t xml:space="preserve">В случае отсутствия возможности осуществить согласование заявленной ГТП СО направляет в адрес КО мотивированный отказ от согласования ГТП </w:t>
            </w:r>
            <w:r>
              <w:rPr>
                <w:rFonts w:ascii="Garamond" w:hAnsi="Garamond" w:cs="Arial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 w:cs="Arial"/>
                <w:sz w:val="22"/>
                <w:szCs w:val="22"/>
              </w:rPr>
              <w:t xml:space="preserve">я. КО в срок не позднее 2 (двух) рабочих дней направляет копию письма СО заявителю. Процедура согласования прекращается. </w:t>
            </w:r>
          </w:p>
          <w:p w:rsidR="006B7CE6" w:rsidRDefault="006B7CE6" w:rsidP="00043ED3">
            <w:pPr>
              <w:tabs>
                <w:tab w:val="left" w:pos="1320"/>
              </w:tabs>
              <w:ind w:firstLine="600"/>
              <w:jc w:val="both"/>
              <w:rPr>
                <w:rFonts w:ascii="Garamond" w:hAnsi="Garamond"/>
              </w:rPr>
            </w:pPr>
            <w:r w:rsidRPr="00324F8F">
              <w:rPr>
                <w:rFonts w:ascii="Garamond" w:hAnsi="Garamond"/>
                <w:sz w:val="22"/>
                <w:szCs w:val="22"/>
              </w:rPr>
              <w:t xml:space="preserve">При проведении процедуры согласования ГТП СО вправе запросить у Коммерческого </w:t>
            </w:r>
            <w:r w:rsidRPr="007A77D3">
              <w:rPr>
                <w:rFonts w:ascii="Garamond" w:hAnsi="Garamond"/>
                <w:sz w:val="22"/>
                <w:szCs w:val="22"/>
              </w:rPr>
              <w:t>оператора:</w:t>
            </w:r>
          </w:p>
          <w:p w:rsidR="006B7CE6" w:rsidRPr="007A77D3" w:rsidRDefault="006B7CE6" w:rsidP="00043ED3">
            <w:pPr>
              <w:pStyle w:val="24"/>
              <w:numPr>
                <w:ilvl w:val="0"/>
                <w:numId w:val="46"/>
              </w:numPr>
              <w:tabs>
                <w:tab w:val="left" w:pos="960"/>
              </w:tabs>
              <w:ind w:left="0" w:firstLine="600"/>
              <w:jc w:val="both"/>
              <w:rPr>
                <w:rFonts w:ascii="Garamond" w:hAnsi="Garamond"/>
              </w:rPr>
            </w:pPr>
            <w:r w:rsidRPr="007A77D3">
              <w:rPr>
                <w:rFonts w:ascii="Garamond" w:hAnsi="Garamond" w:cs="Arial"/>
                <w:sz w:val="22"/>
                <w:szCs w:val="22"/>
              </w:rPr>
              <w:t xml:space="preserve">акты разграничения балансовой принадлежности и эксплуатационной ответственности (при их наличии), представленные </w:t>
            </w:r>
            <w:r>
              <w:rPr>
                <w:rFonts w:ascii="Garamond" w:hAnsi="Garamond" w:cs="Arial"/>
                <w:sz w:val="22"/>
                <w:szCs w:val="22"/>
              </w:rPr>
              <w:t>заявител</w:t>
            </w:r>
            <w:r w:rsidRPr="007A77D3">
              <w:rPr>
                <w:rFonts w:ascii="Garamond" w:hAnsi="Garamond" w:cs="Arial"/>
                <w:sz w:val="22"/>
                <w:szCs w:val="22"/>
              </w:rPr>
              <w:t>ем;</w:t>
            </w:r>
          </w:p>
          <w:p w:rsidR="006B7CE6" w:rsidRPr="00324F8F" w:rsidRDefault="006B7CE6" w:rsidP="00043ED3">
            <w:pPr>
              <w:pStyle w:val="24"/>
              <w:numPr>
                <w:ilvl w:val="0"/>
                <w:numId w:val="46"/>
              </w:numPr>
              <w:tabs>
                <w:tab w:val="left" w:pos="960"/>
              </w:tabs>
              <w:ind w:left="0" w:firstLine="600"/>
              <w:jc w:val="both"/>
              <w:rPr>
                <w:rFonts w:ascii="Garamond" w:hAnsi="Garamond"/>
              </w:rPr>
            </w:pPr>
            <w:r w:rsidRPr="007A77D3">
              <w:rPr>
                <w:rFonts w:ascii="Garamond" w:hAnsi="Garamond"/>
                <w:sz w:val="22"/>
                <w:szCs w:val="22"/>
              </w:rPr>
              <w:t xml:space="preserve">дополнительную (уточняющую) информацию по документам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7A77D3">
              <w:rPr>
                <w:rFonts w:ascii="Garamond" w:hAnsi="Garamond"/>
                <w:sz w:val="22"/>
                <w:szCs w:val="22"/>
              </w:rPr>
              <w:t>я, указав подробный перечень запрашиваемой информации</w:t>
            </w:r>
            <w:r w:rsidRPr="00324F8F">
              <w:rPr>
                <w:rFonts w:ascii="Garamond" w:hAnsi="Garamond"/>
                <w:sz w:val="22"/>
                <w:szCs w:val="22"/>
              </w:rPr>
              <w:t xml:space="preserve"> и причину запроса данной информации. </w:t>
            </w:r>
          </w:p>
          <w:p w:rsidR="006B7CE6" w:rsidRPr="0055442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КО не позднее следующего рабочего дня с момента подготовки дополнительной информации (при наличии в комплекте документов) </w:t>
            </w:r>
            <w:r w:rsidRPr="0055442F">
              <w:rPr>
                <w:rFonts w:ascii="Garamond" w:hAnsi="Garamond"/>
                <w:sz w:val="22"/>
                <w:szCs w:val="22"/>
              </w:rPr>
              <w:lastRenderedPageBreak/>
              <w:t>направляет ее СО.</w:t>
            </w:r>
          </w:p>
          <w:p w:rsidR="006B7CE6" w:rsidRPr="0055442F" w:rsidRDefault="006B7CE6" w:rsidP="00043ED3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В случае если представленных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ем в КО документов недостаточно для подготовки дополнительной информации для СО, КО в течение 3 (трех) рабочих дней с даты получения запроса от СО направляет соответствующий запрос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>ю с указанием срока предоставления запрашиваемой информации, который не может быть более 90 (девяноста) календарны</w:t>
            </w:r>
            <w:r>
              <w:rPr>
                <w:rFonts w:ascii="Garamond" w:hAnsi="Garamond"/>
                <w:sz w:val="22"/>
                <w:szCs w:val="22"/>
              </w:rPr>
              <w:t>х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дней с даты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442F">
              <w:rPr>
                <w:rFonts w:ascii="Garamond" w:hAnsi="Garamond"/>
                <w:sz w:val="22"/>
                <w:szCs w:val="22"/>
              </w:rPr>
              <w:t>направления запроса.</w:t>
            </w:r>
          </w:p>
          <w:p w:rsidR="006B7CE6" w:rsidRPr="0055442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При этом процедура согласования ГТП приостанавливается до момента получения КО от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>я запрошенной дополнительной информации.</w:t>
            </w:r>
          </w:p>
          <w:p w:rsidR="006B7CE6" w:rsidRPr="0055442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Полученные от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>я дополнительные документы КО направляет в СО после проведения в отношении предоставленных документов проверки в сроки, установленные п.</w:t>
            </w:r>
            <w:r w:rsidRPr="0055442F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55442F">
              <w:rPr>
                <w:rFonts w:ascii="Garamond" w:hAnsi="Garamond"/>
                <w:sz w:val="22"/>
                <w:szCs w:val="22"/>
              </w:rPr>
              <w:t>2.6.4 Положения.</w:t>
            </w:r>
          </w:p>
          <w:p w:rsidR="006B7CE6" w:rsidRPr="008C14FB" w:rsidRDefault="006B7CE6" w:rsidP="007475B5">
            <w:pPr>
              <w:widowControl w:val="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В случае непредоставления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ем </w:t>
            </w:r>
            <w:r w:rsidRPr="0055442F">
              <w:rPr>
                <w:rFonts w:ascii="Garamond" w:hAnsi="Garamond" w:cs="Garamond"/>
                <w:sz w:val="22"/>
                <w:szCs w:val="22"/>
              </w:rPr>
              <w:t>запрашиваемой КО информации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в указанный в запросе КО срок процедура согласования ГТП прекращается.</w:t>
            </w:r>
          </w:p>
        </w:tc>
        <w:tc>
          <w:tcPr>
            <w:tcW w:w="7558" w:type="dxa"/>
          </w:tcPr>
          <w:p w:rsidR="006B7CE6" w:rsidRPr="00DE4DA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E4DAF">
              <w:rPr>
                <w:rFonts w:ascii="Garamond" w:hAnsi="Garamond" w:cs="Arial"/>
                <w:sz w:val="22"/>
                <w:szCs w:val="22"/>
              </w:rPr>
              <w:lastRenderedPageBreak/>
              <w:t xml:space="preserve">В срок 15 (пятнадцать) рабочих дней со дня получения документов СО проводит согласование ГТП </w:t>
            </w:r>
            <w:r>
              <w:rPr>
                <w:rFonts w:ascii="Garamond" w:hAnsi="Garamond" w:cs="Arial"/>
                <w:sz w:val="22"/>
                <w:szCs w:val="22"/>
              </w:rPr>
              <w:t>заявител</w:t>
            </w:r>
            <w:r w:rsidRPr="00DE4DAF">
              <w:rPr>
                <w:rFonts w:ascii="Garamond" w:hAnsi="Garamond" w:cs="Arial"/>
                <w:sz w:val="22"/>
                <w:szCs w:val="22"/>
              </w:rPr>
              <w:t xml:space="preserve">я, при наличии заявления на регистрацию ГЕМ оформляет акт регистрации ГЕМ, а также при необходимости </w:t>
            </w:r>
            <w:r w:rsidRPr="00DE4DAF">
              <w:rPr>
                <w:rFonts w:ascii="Garamond" w:hAnsi="Garamond"/>
                <w:sz w:val="22"/>
                <w:szCs w:val="22"/>
              </w:rPr>
              <w:t>приложение к Акту согласования ГТП по форме 8.1А приложения 1 к настоящему Положению</w:t>
            </w:r>
            <w:r w:rsidRPr="00DE4DAF">
              <w:rPr>
                <w:rFonts w:ascii="Garamond" w:hAnsi="Garamond" w:cs="Arial"/>
                <w:sz w:val="22"/>
                <w:szCs w:val="22"/>
              </w:rPr>
              <w:t>.</w:t>
            </w:r>
          </w:p>
          <w:p w:rsidR="006B7CE6" w:rsidRDefault="006B7CE6" w:rsidP="00043ED3">
            <w:pPr>
              <w:tabs>
                <w:tab w:val="left" w:pos="1320"/>
                <w:tab w:val="num" w:pos="180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DE4DAF">
              <w:rPr>
                <w:rFonts w:ascii="Garamond" w:hAnsi="Garamond" w:cs="Arial"/>
                <w:sz w:val="22"/>
                <w:szCs w:val="22"/>
              </w:rPr>
              <w:t xml:space="preserve">СО подписывает от своего имени 3 (три) экземпляра акта о согласовании ГТП (приложения </w:t>
            </w:r>
            <w:r w:rsidRPr="00DE4DAF">
              <w:rPr>
                <w:rFonts w:ascii="Garamond" w:hAnsi="Garamond"/>
                <w:sz w:val="22"/>
                <w:szCs w:val="22"/>
              </w:rPr>
              <w:t>к Акту согласования ГТП по форме 8.1А приложения 1 к настоящему Положению</w:t>
            </w:r>
            <w:r w:rsidRPr="00DE4DAF">
              <w:rPr>
                <w:rFonts w:ascii="Garamond" w:hAnsi="Garamond" w:cs="Arial"/>
                <w:sz w:val="22"/>
                <w:szCs w:val="22"/>
              </w:rPr>
              <w:t xml:space="preserve"> (при его наличии), акт регистрации ГЕМ (при его наличии) и</w:t>
            </w:r>
            <w:r w:rsidRPr="00DE4DAF">
              <w:rPr>
                <w:rFonts w:ascii="Garamond" w:hAnsi="Garamond" w:cs="Garamond"/>
                <w:sz w:val="22"/>
                <w:szCs w:val="22"/>
              </w:rPr>
              <w:t xml:space="preserve"> направляет их КО</w:t>
            </w:r>
            <w:r w:rsidRPr="00DE4DAF">
              <w:rPr>
                <w:rFonts w:ascii="Garamond" w:hAnsi="Garamond" w:cs="Arial"/>
                <w:sz w:val="22"/>
                <w:szCs w:val="22"/>
              </w:rPr>
              <w:t xml:space="preserve">. В случае отсутствия необходимости оформления приложения </w:t>
            </w:r>
            <w:r w:rsidRPr="00DE4DAF">
              <w:rPr>
                <w:rFonts w:ascii="Garamond" w:hAnsi="Garamond"/>
                <w:sz w:val="22"/>
                <w:szCs w:val="22"/>
              </w:rPr>
              <w:t xml:space="preserve">к Акту согласования ГТП по форме 8.1А приложения 1 к настоящему Положению </w:t>
            </w:r>
            <w:r w:rsidRPr="00DE4DAF">
              <w:rPr>
                <w:rFonts w:ascii="Garamond" w:hAnsi="Garamond" w:cs="Arial"/>
                <w:sz w:val="22"/>
                <w:szCs w:val="22"/>
              </w:rPr>
              <w:t xml:space="preserve">для гарантирующих поставщиков, в отношении которых ранее был переоформлен Акт согласования ГТП в предусмотренном п. 4.4 настоящего Положения порядке, СО направляет в КО в указанные сроки соответствующее уведомление. </w:t>
            </w:r>
            <w:r w:rsidRPr="00DE4DAF">
              <w:rPr>
                <w:rFonts w:ascii="Garamond" w:hAnsi="Garamond"/>
                <w:sz w:val="22"/>
                <w:szCs w:val="22"/>
              </w:rPr>
              <w:t>Дополнительно к вышеуказанным документам СО может быть</w:t>
            </w:r>
            <w:r>
              <w:rPr>
                <w:rFonts w:ascii="Garamond" w:hAnsi="Garamond"/>
                <w:sz w:val="22"/>
                <w:szCs w:val="22"/>
              </w:rPr>
              <w:t xml:space="preserve"> приложен фрагмент расчетной схемы, включающий узлы расчетной модели, к которым отнесены ГТП заявителя.</w:t>
            </w:r>
          </w:p>
          <w:p w:rsidR="006B7CE6" w:rsidRPr="0055442F" w:rsidRDefault="006B7CE6" w:rsidP="00043ED3">
            <w:pPr>
              <w:tabs>
                <w:tab w:val="left" w:pos="1320"/>
                <w:tab w:val="num" w:pos="180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lastRenderedPageBreak/>
              <w:t>В процессе проведении процедуры согласования ГТП СО определяет тип ГТП потребления:</w:t>
            </w:r>
          </w:p>
          <w:p w:rsidR="006B7CE6" w:rsidRPr="0055442F" w:rsidRDefault="006B7CE6" w:rsidP="00043ED3">
            <w:pPr>
              <w:widowControl w:val="0"/>
              <w:numPr>
                <w:ilvl w:val="0"/>
                <w:numId w:val="45"/>
              </w:numPr>
              <w:tabs>
                <w:tab w:val="clear" w:pos="1080"/>
                <w:tab w:val="left" w:pos="960"/>
              </w:tabs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ГТП потребления типа «Система»;</w:t>
            </w:r>
          </w:p>
          <w:p w:rsidR="006B7CE6" w:rsidRPr="0055442F" w:rsidRDefault="006B7CE6" w:rsidP="00043ED3">
            <w:pPr>
              <w:widowControl w:val="0"/>
              <w:numPr>
                <w:ilvl w:val="0"/>
                <w:numId w:val="45"/>
              </w:numPr>
              <w:tabs>
                <w:tab w:val="clear" w:pos="1080"/>
                <w:tab w:val="left" w:pos="960"/>
              </w:tabs>
              <w:spacing w:before="120" w:after="120"/>
              <w:ind w:left="0"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ГТП потребления типа «Нагрузка».</w:t>
            </w:r>
          </w:p>
          <w:p w:rsidR="006B7CE6" w:rsidRPr="0055442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Группа точек поставки потребления типа «Нагрузка» соответствует потреблению энергопотребляющего оборудования </w:t>
            </w:r>
            <w:r>
              <w:rPr>
                <w:rFonts w:ascii="Garamond" w:hAnsi="Garamond"/>
                <w:sz w:val="22"/>
                <w:szCs w:val="22"/>
              </w:rPr>
              <w:t>участник</w:t>
            </w:r>
            <w:r w:rsidRPr="0055442F">
              <w:rPr>
                <w:rFonts w:ascii="Garamond" w:hAnsi="Garamond"/>
                <w:sz w:val="22"/>
                <w:szCs w:val="22"/>
              </w:rPr>
              <w:t>а оптового рынка, отнесенная СО к узлам расчетной модели в соответствии с определенными фиксированными коэффициентами.</w:t>
            </w:r>
          </w:p>
          <w:p w:rsidR="006B7CE6" w:rsidRDefault="006B7CE6" w:rsidP="007475B5">
            <w:pPr>
              <w:widowControl w:val="0"/>
              <w:ind w:firstLine="61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Группа точек поставки потребления типа «Система», соответствует совокупному потреблению энергопотребляющего оборудования </w:t>
            </w:r>
            <w:r>
              <w:rPr>
                <w:rFonts w:ascii="Garamond" w:hAnsi="Garamond"/>
                <w:sz w:val="22"/>
                <w:szCs w:val="22"/>
              </w:rPr>
              <w:t>участник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а оптового рынка, а также объектов электросетевого хозяйства, отнесенная СО к совокупности узлов расчетной модели в соответствии с коэффициентами отнесения, которые определяются на основе данных о прогнозном диспетчерском графике в соответствии с </w:t>
            </w:r>
            <w:r w:rsidRPr="0055442F">
              <w:rPr>
                <w:rFonts w:ascii="Garamond" w:hAnsi="Garamond"/>
                <w:i/>
                <w:iCs/>
                <w:sz w:val="22"/>
                <w:szCs w:val="22"/>
              </w:rPr>
              <w:t>Регламентом актуализации расчетной модели</w:t>
            </w:r>
            <w:r w:rsidRPr="0055442F">
              <w:rPr>
                <w:rFonts w:ascii="Garamond" w:hAnsi="Garamond"/>
                <w:sz w:val="22"/>
                <w:szCs w:val="22"/>
              </w:rPr>
              <w:t>.</w:t>
            </w:r>
          </w:p>
          <w:p w:rsidR="006B7CE6" w:rsidRDefault="006B7CE6" w:rsidP="00043ED3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В случаях</w:t>
            </w:r>
            <w:r w:rsidR="007475B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214DDA">
              <w:rPr>
                <w:rFonts w:ascii="Garamond" w:hAnsi="Garamond"/>
                <w:sz w:val="22"/>
                <w:szCs w:val="22"/>
                <w:highlight w:val="yellow"/>
              </w:rPr>
              <w:t>предусмотрен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ных п. 2.2</w:t>
            </w:r>
            <w:r w:rsidRPr="00214DDA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214DDA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Регламент</w:t>
            </w:r>
            <w:r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а</w:t>
            </w:r>
            <w:r w:rsidRPr="00214DDA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 xml:space="preserve"> функционирования участников оптового рынка на территории неценовых зон</w:t>
            </w:r>
            <w:r w:rsidRPr="00214DDA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(Приложение № 14 к </w:t>
            </w:r>
            <w:r w:rsidRPr="00214DDA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214DDA">
              <w:rPr>
                <w:rFonts w:ascii="Garamond" w:hAnsi="Garamond"/>
                <w:bCs/>
                <w:sz w:val="22"/>
                <w:szCs w:val="22"/>
                <w:highlight w:val="yellow"/>
              </w:rPr>
              <w:t>)</w:t>
            </w:r>
            <w:r w:rsidR="007475B5">
              <w:rPr>
                <w:rFonts w:ascii="Garamond" w:hAnsi="Garamond"/>
                <w:bCs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СО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при</w:t>
            </w:r>
            <w:r w:rsidRPr="00214DDA">
              <w:rPr>
                <w:rFonts w:ascii="Garamond" w:hAnsi="Garamond"/>
                <w:sz w:val="22"/>
                <w:szCs w:val="22"/>
                <w:highlight w:val="yellow"/>
              </w:rPr>
              <w:t xml:space="preserve"> проведени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214DDA">
              <w:rPr>
                <w:rFonts w:ascii="Garamond" w:hAnsi="Garamond"/>
                <w:sz w:val="22"/>
                <w:szCs w:val="22"/>
                <w:highlight w:val="yellow"/>
              </w:rPr>
              <w:t xml:space="preserve"> процедуры согласования ГТП потребления участников, являющихся гарантирующими </w:t>
            </w:r>
            <w:r w:rsidRPr="00E13554">
              <w:rPr>
                <w:rFonts w:ascii="Garamond" w:hAnsi="Garamond"/>
                <w:sz w:val="22"/>
                <w:szCs w:val="22"/>
                <w:highlight w:val="yellow"/>
              </w:rPr>
              <w:t>поставщиками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, осуществляет отнесение ГТП к узлам расчетной модели с учетом формирования  </w:t>
            </w:r>
            <w:r w:rsidRPr="006461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внезональн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ого</w:t>
            </w:r>
            <w:r w:rsidRPr="0064613B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энергорайон</w:t>
            </w:r>
            <w:r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а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  <w:p w:rsidR="006B7CE6" w:rsidRPr="0055442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5442F">
              <w:rPr>
                <w:rFonts w:ascii="Garamond" w:hAnsi="Garamond" w:cs="Arial"/>
                <w:sz w:val="22"/>
                <w:szCs w:val="22"/>
              </w:rPr>
              <w:t xml:space="preserve">В случае отсутствия возможности осуществить согласование заявленной ГТП СО направляет в адрес КО мотивированный отказ от согласования ГТП </w:t>
            </w:r>
            <w:r>
              <w:rPr>
                <w:rFonts w:ascii="Garamond" w:hAnsi="Garamond" w:cs="Arial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 w:cs="Arial"/>
                <w:sz w:val="22"/>
                <w:szCs w:val="22"/>
              </w:rPr>
              <w:t xml:space="preserve">я. КО в срок не позднее 2 (двух) рабочих дней направляет копию письма СО заявителю. Процедура согласования прекращается. </w:t>
            </w:r>
          </w:p>
          <w:p w:rsidR="006B7CE6" w:rsidRDefault="006B7CE6" w:rsidP="00043ED3">
            <w:pPr>
              <w:tabs>
                <w:tab w:val="left" w:pos="1320"/>
              </w:tabs>
              <w:ind w:firstLine="600"/>
              <w:jc w:val="both"/>
              <w:rPr>
                <w:rFonts w:ascii="Garamond" w:hAnsi="Garamond"/>
              </w:rPr>
            </w:pPr>
            <w:r w:rsidRPr="00324F8F">
              <w:rPr>
                <w:rFonts w:ascii="Garamond" w:hAnsi="Garamond"/>
                <w:sz w:val="22"/>
                <w:szCs w:val="22"/>
              </w:rPr>
              <w:t xml:space="preserve">При проведении процедуры согласования ГТП СО вправе запросить у Коммерческого </w:t>
            </w:r>
            <w:r w:rsidRPr="007A77D3">
              <w:rPr>
                <w:rFonts w:ascii="Garamond" w:hAnsi="Garamond"/>
                <w:sz w:val="22"/>
                <w:szCs w:val="22"/>
              </w:rPr>
              <w:t>оператора:</w:t>
            </w:r>
          </w:p>
          <w:p w:rsidR="006B7CE6" w:rsidRPr="007A77D3" w:rsidRDefault="006B7CE6" w:rsidP="00043ED3">
            <w:pPr>
              <w:pStyle w:val="24"/>
              <w:numPr>
                <w:ilvl w:val="0"/>
                <w:numId w:val="46"/>
              </w:numPr>
              <w:tabs>
                <w:tab w:val="left" w:pos="960"/>
              </w:tabs>
              <w:ind w:left="0" w:firstLine="600"/>
              <w:jc w:val="both"/>
              <w:rPr>
                <w:rFonts w:ascii="Garamond" w:hAnsi="Garamond"/>
              </w:rPr>
            </w:pPr>
            <w:r w:rsidRPr="007A77D3">
              <w:rPr>
                <w:rFonts w:ascii="Garamond" w:hAnsi="Garamond" w:cs="Arial"/>
                <w:sz w:val="22"/>
                <w:szCs w:val="22"/>
              </w:rPr>
              <w:t xml:space="preserve">акты разграничения балансовой принадлежности и эксплуатационной ответственности (при их наличии), представленные </w:t>
            </w:r>
            <w:r>
              <w:rPr>
                <w:rFonts w:ascii="Garamond" w:hAnsi="Garamond" w:cs="Arial"/>
                <w:sz w:val="22"/>
                <w:szCs w:val="22"/>
              </w:rPr>
              <w:t>заявител</w:t>
            </w:r>
            <w:r w:rsidRPr="007A77D3">
              <w:rPr>
                <w:rFonts w:ascii="Garamond" w:hAnsi="Garamond" w:cs="Arial"/>
                <w:sz w:val="22"/>
                <w:szCs w:val="22"/>
              </w:rPr>
              <w:t>ем;</w:t>
            </w:r>
          </w:p>
          <w:p w:rsidR="006B7CE6" w:rsidRPr="00324F8F" w:rsidRDefault="006B7CE6" w:rsidP="00043ED3">
            <w:pPr>
              <w:pStyle w:val="24"/>
              <w:numPr>
                <w:ilvl w:val="0"/>
                <w:numId w:val="46"/>
              </w:numPr>
              <w:tabs>
                <w:tab w:val="left" w:pos="960"/>
              </w:tabs>
              <w:ind w:left="0" w:firstLine="600"/>
              <w:jc w:val="both"/>
              <w:rPr>
                <w:rFonts w:ascii="Garamond" w:hAnsi="Garamond"/>
              </w:rPr>
            </w:pPr>
            <w:r w:rsidRPr="007A77D3">
              <w:rPr>
                <w:rFonts w:ascii="Garamond" w:hAnsi="Garamond"/>
                <w:sz w:val="22"/>
                <w:szCs w:val="22"/>
              </w:rPr>
              <w:t xml:space="preserve">дополнительную (уточняющую) информацию по документам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7A77D3">
              <w:rPr>
                <w:rFonts w:ascii="Garamond" w:hAnsi="Garamond"/>
                <w:sz w:val="22"/>
                <w:szCs w:val="22"/>
              </w:rPr>
              <w:t>я, указав подробный перечень запрашиваемой информации</w:t>
            </w:r>
            <w:r w:rsidRPr="00324F8F">
              <w:rPr>
                <w:rFonts w:ascii="Garamond" w:hAnsi="Garamond"/>
                <w:sz w:val="22"/>
                <w:szCs w:val="22"/>
              </w:rPr>
              <w:t xml:space="preserve"> и причину запроса данной информации. </w:t>
            </w:r>
          </w:p>
          <w:p w:rsidR="006B7CE6" w:rsidRPr="0055442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КО не позднее следующего рабочего дня с момента подготовки </w:t>
            </w:r>
            <w:r w:rsidRPr="0055442F">
              <w:rPr>
                <w:rFonts w:ascii="Garamond" w:hAnsi="Garamond"/>
                <w:sz w:val="22"/>
                <w:szCs w:val="22"/>
              </w:rPr>
              <w:lastRenderedPageBreak/>
              <w:t>дополнительной информации (при наличии в комплекте документов) направляет ее СО.</w:t>
            </w:r>
          </w:p>
          <w:p w:rsidR="006B7CE6" w:rsidRPr="0055442F" w:rsidRDefault="006B7CE6" w:rsidP="00043ED3">
            <w:pPr>
              <w:tabs>
                <w:tab w:val="left" w:pos="709"/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В случае если представленных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ем в КО документов недостаточно для подготовки дополнительной информации для СО, КО в течение 3 (трех) рабочих дней с даты получения запроса от СО направляет соответствующий запрос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>ю с указанием срока предоставления запрашиваемой информации, который не может быть более 90 (девяноста) календарны</w:t>
            </w:r>
            <w:r>
              <w:rPr>
                <w:rFonts w:ascii="Garamond" w:hAnsi="Garamond"/>
                <w:sz w:val="22"/>
                <w:szCs w:val="22"/>
              </w:rPr>
              <w:t>х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дней с даты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442F">
              <w:rPr>
                <w:rFonts w:ascii="Garamond" w:hAnsi="Garamond"/>
                <w:sz w:val="22"/>
                <w:szCs w:val="22"/>
              </w:rPr>
              <w:t>направления запроса.</w:t>
            </w:r>
          </w:p>
          <w:p w:rsidR="006B7CE6" w:rsidRPr="0055442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При этом процедура согласования ГТП приостанавливается до момента получения КО от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>я запрошенной дополнительной информации.</w:t>
            </w:r>
          </w:p>
          <w:p w:rsidR="006B7CE6" w:rsidRPr="0055442F" w:rsidRDefault="006B7CE6" w:rsidP="00043ED3">
            <w:pPr>
              <w:tabs>
                <w:tab w:val="left" w:pos="13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Полученные от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>я дополнительные документы КО направляет в СО после проведения в отношении предоставленных документов проверки в сроки, установленные п.</w:t>
            </w:r>
            <w:r w:rsidRPr="0055442F">
              <w:rPr>
                <w:rFonts w:ascii="Garamond" w:hAnsi="Garamond"/>
                <w:sz w:val="22"/>
                <w:szCs w:val="22"/>
                <w:lang w:val="en-US"/>
              </w:rPr>
              <w:t> </w:t>
            </w:r>
            <w:r w:rsidRPr="0055442F">
              <w:rPr>
                <w:rFonts w:ascii="Garamond" w:hAnsi="Garamond"/>
                <w:sz w:val="22"/>
                <w:szCs w:val="22"/>
              </w:rPr>
              <w:t>2.6.4 Положения.</w:t>
            </w:r>
          </w:p>
          <w:p w:rsidR="006B7CE6" w:rsidRPr="003726B7" w:rsidRDefault="006B7CE6" w:rsidP="00D42788">
            <w:pPr>
              <w:widowControl w:val="0"/>
              <w:tabs>
                <w:tab w:val="left" w:pos="7342"/>
              </w:tabs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В случае непредоставления </w:t>
            </w:r>
            <w:r>
              <w:rPr>
                <w:rFonts w:ascii="Garamond" w:hAnsi="Garamond"/>
                <w:sz w:val="22"/>
                <w:szCs w:val="22"/>
              </w:rPr>
              <w:t>заявител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ем </w:t>
            </w:r>
            <w:r w:rsidRPr="0055442F">
              <w:rPr>
                <w:rFonts w:ascii="Garamond" w:hAnsi="Garamond" w:cs="Garamond"/>
                <w:sz w:val="22"/>
                <w:szCs w:val="22"/>
              </w:rPr>
              <w:t>запрашиваемой КО информации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в указанный в запросе КО срок процедура согласования ГТП прекращается.</w:t>
            </w:r>
          </w:p>
        </w:tc>
      </w:tr>
      <w:tr w:rsidR="006B7CE6" w:rsidRPr="002B5432" w:rsidTr="007475B5">
        <w:tc>
          <w:tcPr>
            <w:tcW w:w="900" w:type="dxa"/>
            <w:vAlign w:val="center"/>
          </w:tcPr>
          <w:p w:rsidR="006B7CE6" w:rsidRPr="002B5432" w:rsidRDefault="006B7CE6" w:rsidP="00043ED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4.1.6</w:t>
            </w:r>
          </w:p>
        </w:tc>
        <w:tc>
          <w:tcPr>
            <w:tcW w:w="6662" w:type="dxa"/>
          </w:tcPr>
          <w:p w:rsidR="006B7CE6" w:rsidRPr="009313EF" w:rsidRDefault="006B7CE6" w:rsidP="00043ED3">
            <w:pPr>
              <w:pStyle w:val="40"/>
              <w:widowControl w:val="0"/>
              <w:numPr>
                <w:ilvl w:val="0"/>
                <w:numId w:val="0"/>
              </w:numPr>
              <w:suppressAutoHyphens/>
              <w:ind w:left="34" w:firstLine="425"/>
              <w:rPr>
                <w:rFonts w:ascii="Garamond" w:hAnsi="Garamond"/>
              </w:rPr>
            </w:pPr>
            <w:r w:rsidRPr="009313EF">
              <w:rPr>
                <w:rFonts w:ascii="Garamond" w:hAnsi="Garamond"/>
              </w:rPr>
              <w:t>В случае изменения номера зоны свободного перетока, к которой относится ранее зарегистрированная ГЕМ и (или) условная ГТП, по основаниям, предусмотренным Порядком определения зон свободного перетока электрической энергии (мощности), утвержденным Приказом Минэнерго России от 6 апреля 2009 г. № 99 (далее – Порядок определения зон свободного перетока), изменение регистрационной информации по соответствующей ГЕМ и (или) условной ГТП генерации путем переоформления акта регистрации ГЕМ или акта о согласовании условной ГТП не производится.</w:t>
            </w:r>
          </w:p>
          <w:p w:rsidR="006B7CE6" w:rsidRPr="009313EF" w:rsidRDefault="006B7CE6" w:rsidP="00043ED3">
            <w:pPr>
              <w:pStyle w:val="40"/>
              <w:widowControl w:val="0"/>
              <w:numPr>
                <w:ilvl w:val="0"/>
                <w:numId w:val="0"/>
              </w:numPr>
              <w:suppressAutoHyphens/>
              <w:ind w:left="34" w:firstLine="425"/>
              <w:rPr>
                <w:rFonts w:ascii="Garamond" w:hAnsi="Garamond"/>
              </w:rPr>
            </w:pPr>
            <w:r w:rsidRPr="009313EF">
              <w:rPr>
                <w:rFonts w:ascii="Garamond" w:hAnsi="Garamond"/>
              </w:rPr>
              <w:t>При этом для целей применения в торговой системе оптового рынка актуальной регистрационной информации по таким ГЕМ и условным ГТП используются данные об отнесении узлов расчетной модели, к которым привязана соответствующая ГЕМ и (или) условная ГТП к зонам свободного перетока, публикуемые СО в соответствии с Порядком определения зон свободного перетока и Регламентом определения и актуализации параметров зон свободного перетока ЕЭС (Приложение № 19.1 к Договору о присоединении к торговой системе оптового рынка).</w:t>
            </w:r>
          </w:p>
          <w:p w:rsidR="006B7CE6" w:rsidRPr="008C14FB" w:rsidRDefault="006B7CE6" w:rsidP="00043ED3">
            <w:pPr>
              <w:pStyle w:val="40"/>
              <w:widowControl w:val="0"/>
              <w:numPr>
                <w:ilvl w:val="0"/>
                <w:numId w:val="0"/>
              </w:numPr>
              <w:suppressAutoHyphens/>
              <w:ind w:left="34" w:firstLine="425"/>
              <w:rPr>
                <w:rFonts w:ascii="Garamond" w:hAnsi="Garamond" w:cs="Garamond"/>
                <w:b/>
                <w:bCs/>
                <w:szCs w:val="22"/>
              </w:rPr>
            </w:pPr>
            <w:r w:rsidRPr="009313EF">
              <w:rPr>
                <w:rFonts w:ascii="Garamond" w:hAnsi="Garamond"/>
              </w:rPr>
              <w:t xml:space="preserve">В случае изменения </w:t>
            </w:r>
            <w:r w:rsidRPr="003E4519">
              <w:rPr>
                <w:rFonts w:ascii="Garamond" w:hAnsi="Garamond"/>
                <w:highlight w:val="yellow"/>
              </w:rPr>
              <w:t>наименования ГТП либо изменения</w:t>
            </w:r>
            <w:r w:rsidRPr="009313EF">
              <w:rPr>
                <w:rFonts w:ascii="Garamond" w:hAnsi="Garamond"/>
              </w:rPr>
              <w:t xml:space="preserve"> </w:t>
            </w:r>
            <w:r w:rsidRPr="009313EF">
              <w:rPr>
                <w:rFonts w:ascii="Garamond" w:hAnsi="Garamond"/>
              </w:rPr>
              <w:lastRenderedPageBreak/>
              <w:t>наименования субъекта оптового рынка КО в срок до 10 (десяти) рабочих дней после внесения соответствующих изменений в регистрационную информацию Реестра субъектов оптового рынка оформляет приложение (-я) к акту (-ам) о согласовании ГТП (по форме 8А приложения 1 к настоящему Положению в 3 экземплярах). В отношении ГТП генерации КО направляет указанное (-ые) приложение (-ия) СО для подписания и оформления приложения (-ий) к акту (-ам) о регистрации ГЕМ (далее – Акты). Подписанные со стороны КО и СО акты вступают в силу с 1 (первого) числа следующего месяца при условии их подписания всеми сторонами до 20 (двадцатого) числа текущего месяца (включительно) или с 1 (первого) числа второго месяца, следующего за текущим, при условии их подписания всеми сторонами после 20 (двадцатого) числа текущего месяца.</w:t>
            </w:r>
          </w:p>
        </w:tc>
        <w:tc>
          <w:tcPr>
            <w:tcW w:w="7558" w:type="dxa"/>
          </w:tcPr>
          <w:p w:rsidR="006B7CE6" w:rsidRPr="009313EF" w:rsidRDefault="006B7CE6" w:rsidP="00043ED3">
            <w:pPr>
              <w:pStyle w:val="40"/>
              <w:widowControl w:val="0"/>
              <w:numPr>
                <w:ilvl w:val="0"/>
                <w:numId w:val="0"/>
              </w:numPr>
              <w:suppressAutoHyphens/>
              <w:ind w:left="34" w:firstLine="425"/>
              <w:rPr>
                <w:rFonts w:ascii="Garamond" w:hAnsi="Garamond"/>
              </w:rPr>
            </w:pPr>
            <w:r w:rsidRPr="009313EF">
              <w:rPr>
                <w:rFonts w:ascii="Garamond" w:hAnsi="Garamond"/>
              </w:rPr>
              <w:lastRenderedPageBreak/>
              <w:t>В случае изменения номера зоны свободного перетока, к которой относится ранее зарегистрированная ГЕМ и (или) условная ГТП, по основаниям, предусмотренным Порядком определения зон свободного перетока электрической энергии (мощности), утвержденным Приказом Минэнерго России от 6 апреля 2009 г. № 99 (далее – Порядок определения зон свободного перетока), изменение регистрационной информации по соответствующей ГЕМ и (или) условной ГТП генерации путем переоформления акта регистрации ГЕМ или акта о согласовании условной ГТП не производится.</w:t>
            </w:r>
          </w:p>
          <w:p w:rsidR="006B7CE6" w:rsidRPr="009313EF" w:rsidRDefault="006B7CE6" w:rsidP="00043ED3">
            <w:pPr>
              <w:pStyle w:val="40"/>
              <w:widowControl w:val="0"/>
              <w:numPr>
                <w:ilvl w:val="0"/>
                <w:numId w:val="0"/>
              </w:numPr>
              <w:suppressAutoHyphens/>
              <w:ind w:left="34" w:firstLine="425"/>
              <w:rPr>
                <w:rFonts w:ascii="Garamond" w:hAnsi="Garamond"/>
              </w:rPr>
            </w:pPr>
            <w:r w:rsidRPr="009313EF">
              <w:rPr>
                <w:rFonts w:ascii="Garamond" w:hAnsi="Garamond"/>
              </w:rPr>
              <w:t>При этом для целей применения в торговой системе оптового рынка актуальной регистрационной информации по таким ГЕМ и условным ГТП используются данные об отнесении узлов расчетной модели, к которым привязана соответствующая ГЕМ и (или) условная ГТП к зонам свободного перетока, публикуемые СО в соответствии с Порядком определения зон свободного перетока и Регламентом определения и актуализации параметров зон свободного перетока ЕЭС (Приложение № 19.1 к Договору о присоединении к торговой системе оптового рынка).</w:t>
            </w:r>
          </w:p>
          <w:p w:rsidR="006B7CE6" w:rsidRPr="00061991" w:rsidRDefault="006B7CE6" w:rsidP="00043ED3">
            <w:pPr>
              <w:pStyle w:val="40"/>
              <w:widowControl w:val="0"/>
              <w:numPr>
                <w:ilvl w:val="0"/>
                <w:numId w:val="0"/>
              </w:numPr>
              <w:suppressAutoHyphens/>
              <w:ind w:left="34" w:firstLine="425"/>
              <w:rPr>
                <w:rFonts w:ascii="Garamond" w:hAnsi="Garamond"/>
              </w:rPr>
            </w:pPr>
            <w:r w:rsidRPr="00061991">
              <w:rPr>
                <w:rFonts w:ascii="Garamond" w:hAnsi="Garamond"/>
                <w:highlight w:val="yellow"/>
              </w:rPr>
              <w:t xml:space="preserve">В случае </w:t>
            </w:r>
            <w:r>
              <w:rPr>
                <w:rFonts w:ascii="Garamond" w:hAnsi="Garamond"/>
                <w:highlight w:val="yellow"/>
              </w:rPr>
              <w:t xml:space="preserve">наличия необходимости формирования </w:t>
            </w:r>
            <w:r w:rsidRPr="00061991">
              <w:rPr>
                <w:rFonts w:ascii="Garamond" w:hAnsi="Garamond"/>
                <w:highlight w:val="yellow"/>
              </w:rPr>
              <w:t xml:space="preserve">внезонального энергорайона для ГТП потребления участников оптового рынка, являющихся </w:t>
            </w:r>
            <w:r w:rsidRPr="00061991">
              <w:rPr>
                <w:rFonts w:ascii="Garamond" w:hAnsi="Garamond"/>
                <w:highlight w:val="yellow"/>
              </w:rPr>
              <w:lastRenderedPageBreak/>
              <w:t>гарантирующими поставщиками, Системный оператор направляет в КО приложение к Акту о согласовании групп точек поставки субъекта оптового рынка и отнесени</w:t>
            </w:r>
            <w:r w:rsidR="009F57C0">
              <w:rPr>
                <w:rFonts w:ascii="Garamond" w:hAnsi="Garamond"/>
                <w:highlight w:val="yellow"/>
              </w:rPr>
              <w:t>и</w:t>
            </w:r>
            <w:r w:rsidRPr="00061991">
              <w:rPr>
                <w:rFonts w:ascii="Garamond" w:hAnsi="Garamond"/>
                <w:highlight w:val="yellow"/>
              </w:rPr>
              <w:t xml:space="preserve"> их к узлам расчетной модели по форме 8.1А</w:t>
            </w:r>
            <w:r w:rsidRPr="00061991">
              <w:rPr>
                <w:highlight w:val="yellow"/>
              </w:rPr>
              <w:t xml:space="preserve"> </w:t>
            </w:r>
            <w:r w:rsidRPr="00061991">
              <w:rPr>
                <w:rFonts w:ascii="Garamond" w:hAnsi="Garamond"/>
                <w:highlight w:val="yellow"/>
              </w:rPr>
              <w:t>приложения 1 к настоящему Положению. При получении от СО приложения к Акту о согласовании групп точек поставки субъекта оптового рынка и отнесени</w:t>
            </w:r>
            <w:r w:rsidR="009F57C0">
              <w:rPr>
                <w:rFonts w:ascii="Garamond" w:hAnsi="Garamond"/>
                <w:highlight w:val="yellow"/>
              </w:rPr>
              <w:t>и</w:t>
            </w:r>
            <w:r w:rsidRPr="00061991">
              <w:rPr>
                <w:rFonts w:ascii="Garamond" w:hAnsi="Garamond"/>
                <w:highlight w:val="yellow"/>
              </w:rPr>
              <w:t xml:space="preserve"> их к узлам расчетной модели по форме 8.1А приложения 1 к настоящему Положению КО выполняет действия, предусмотренные п. 4.2.9 настоящего Положения.</w:t>
            </w:r>
          </w:p>
          <w:p w:rsidR="006B7CE6" w:rsidRPr="002B5432" w:rsidRDefault="006B7CE6" w:rsidP="00043ED3">
            <w:pPr>
              <w:pStyle w:val="40"/>
              <w:widowControl w:val="0"/>
              <w:numPr>
                <w:ilvl w:val="0"/>
                <w:numId w:val="0"/>
              </w:numPr>
              <w:suppressAutoHyphens/>
              <w:ind w:left="34" w:firstLine="425"/>
              <w:rPr>
                <w:rFonts w:ascii="Garamond" w:hAnsi="Garamond"/>
                <w:b/>
                <w:szCs w:val="22"/>
              </w:rPr>
            </w:pPr>
            <w:r w:rsidRPr="009313EF">
              <w:rPr>
                <w:rFonts w:ascii="Garamond" w:hAnsi="Garamond"/>
              </w:rPr>
              <w:t>В случае изменения наименования субъекта оптового рынка КО в срок до 10 (десяти) рабочих дней после внесения соответствующих изменений в регистрационную информацию Реестра субъектов оптового рынка оформляет приложение (-я) к акту (-ам) о согласовании ГТП (по форме 8А приложения 1 к настоящему Положению в 3 экземплярах). В отношении ГТП генерации КО направляет указанное (-ые) приложение (-ия) СО для подписания и оформления приложения (-ий) к акту (-ам) о регистрации ГЕМ (далее – Акты). Подписанные со стороны КО и СО акты вступают в силу с 1 (первого) числа следующего месяца при условии их подписания всеми сторонами до 20 (двадцатого) числа текущего месяца (включительно) или с 1 (первого) числа второго месяца, следующего за текущим, при условии их подписания всеми сторонами после 20 (двадцатого) числа текущего месяца</w:t>
            </w:r>
            <w:r>
              <w:rPr>
                <w:rFonts w:ascii="Garamond" w:hAnsi="Garamond"/>
              </w:rPr>
              <w:t>.</w:t>
            </w:r>
          </w:p>
        </w:tc>
      </w:tr>
      <w:tr w:rsidR="006B7CE6" w:rsidRPr="002B5432" w:rsidTr="007475B5">
        <w:tc>
          <w:tcPr>
            <w:tcW w:w="900" w:type="dxa"/>
            <w:vAlign w:val="center"/>
          </w:tcPr>
          <w:p w:rsidR="006B7CE6" w:rsidRDefault="006B7CE6" w:rsidP="00043ED3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4.2.9</w:t>
            </w:r>
          </w:p>
        </w:tc>
        <w:tc>
          <w:tcPr>
            <w:tcW w:w="6662" w:type="dxa"/>
          </w:tcPr>
          <w:p w:rsidR="006B7CE6" w:rsidRPr="0055442F" w:rsidRDefault="006B7CE6" w:rsidP="00043ED3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>При получении от СО приложения (-ий</w:t>
            </w:r>
            <w:r w:rsidRPr="006D5000">
              <w:rPr>
                <w:rFonts w:ascii="Garamond" w:hAnsi="Garamond"/>
                <w:sz w:val="22"/>
                <w:szCs w:val="22"/>
              </w:rPr>
              <w:t>) к Акту о согласовании групп точек поставки субъекта оптового рынка и отнесения их к узлам расчетной модели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по форме 8А приложения 1 к настоящему Положению (8.1А </w:t>
            </w:r>
            <w:r w:rsidRPr="0055442F">
              <w:rPr>
                <w:rFonts w:ascii="Garamond" w:hAnsi="Garamond"/>
                <w:color w:val="000000"/>
                <w:sz w:val="22"/>
                <w:szCs w:val="22"/>
              </w:rPr>
              <w:t>для гарантирующего поставщика, в отношении ГТП которого ранее был переоформлен Акт согласования ГТП в предусмотренном п. 4.4 настоящего Положения порядке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), составленного (-ых) им в соответствии с пп. </w:t>
            </w:r>
            <w:r w:rsidRPr="00391657">
              <w:rPr>
                <w:rFonts w:ascii="Garamond" w:hAnsi="Garamond"/>
                <w:sz w:val="22"/>
                <w:szCs w:val="22"/>
                <w:highlight w:val="yellow"/>
              </w:rPr>
              <w:t>4.1.7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–4.1.9 настоящего Положения или п. 6.1.7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>Регламента внесения изменений в расчетную модель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>электроэнергетической системы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(Приложение № 2 к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), приложения к </w:t>
            </w:r>
            <w:r w:rsidRPr="006D5000">
              <w:rPr>
                <w:rFonts w:ascii="Garamond" w:hAnsi="Garamond"/>
                <w:sz w:val="22"/>
                <w:szCs w:val="22"/>
              </w:rPr>
              <w:t>Акту о согласовании групп точек поставки субъекта оптового рынка и отнесения их к узлам расчетной модели по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форме 8А приложения 1 к настоящему Положению (8.1А </w:t>
            </w:r>
            <w:r w:rsidRPr="0055442F">
              <w:rPr>
                <w:rFonts w:ascii="Garamond" w:hAnsi="Garamond"/>
                <w:color w:val="000000"/>
                <w:sz w:val="22"/>
                <w:szCs w:val="22"/>
              </w:rPr>
              <w:t>для гарантирующего поставщика, в отношении ГТП которого ранее был переоформлен Акт согласования ГТП в предусмотренном п. 4.4 настоящего Положения порядке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), приложения к Акту регистрации ГЕМ по форме Г-1А приложения 4 к </w:t>
            </w:r>
            <w:r w:rsidRPr="006D5000">
              <w:rPr>
                <w:rFonts w:ascii="Garamond" w:hAnsi="Garamond"/>
                <w:sz w:val="22"/>
                <w:szCs w:val="22"/>
              </w:rPr>
              <w:t>Порядку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5442F">
              <w:rPr>
                <w:rFonts w:ascii="Garamond" w:hAnsi="Garamond"/>
                <w:sz w:val="22"/>
                <w:szCs w:val="22"/>
              </w:rPr>
              <w:t>регистрации ГЕМ (приложение 1 к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 xml:space="preserve"> Регламенту проведения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lastRenderedPageBreak/>
              <w:t xml:space="preserve">конкурентных отборов мощности 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5442F">
              <w:rPr>
                <w:rFonts w:ascii="Garamond" w:hAnsi="Garamond"/>
                <w:sz w:val="22"/>
                <w:szCs w:val="22"/>
              </w:rPr>
              <w:t>) (для ГТП генерации):</w:t>
            </w:r>
          </w:p>
          <w:p w:rsidR="006B7CE6" w:rsidRPr="00932F44" w:rsidRDefault="006B7CE6" w:rsidP="00043ED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− КО в течение 3 (трех) рабочих дней с момента получения от СО подписанного приложения к </w:t>
            </w:r>
            <w:r w:rsidRPr="00932F44">
              <w:rPr>
                <w:rFonts w:ascii="Garamond" w:hAnsi="Garamond"/>
                <w:sz w:val="22"/>
                <w:szCs w:val="22"/>
              </w:rPr>
              <w:t>Акту о согласовании групп точек поставки субъекта оптового рынка и отнесения их к узлам расчетной модели, приложения к Акту регистрации ГЕМ (для ГТП генерации) подписывает их;</w:t>
            </w:r>
          </w:p>
          <w:p w:rsidR="006B7CE6" w:rsidRPr="00932F44" w:rsidRDefault="006B7CE6" w:rsidP="00043ED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32F44">
              <w:rPr>
                <w:rFonts w:ascii="Garamond" w:hAnsi="Garamond"/>
                <w:sz w:val="22"/>
                <w:szCs w:val="22"/>
              </w:rPr>
              <w:t>− приложение к Акту о согласовании групп точек поставки субъекта оптового рынка и отнесени</w:t>
            </w:r>
            <w:r w:rsidRPr="009F57C0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932F44">
              <w:rPr>
                <w:rFonts w:ascii="Garamond" w:hAnsi="Garamond"/>
                <w:sz w:val="22"/>
                <w:szCs w:val="22"/>
              </w:rPr>
              <w:t xml:space="preserve"> их к узлам расчетной модели, приложение к Акту регистрации ГЕМ (для ГТП генерации) считаются </w:t>
            </w:r>
            <w:r w:rsidRPr="00391657">
              <w:rPr>
                <w:rFonts w:ascii="Garamond" w:hAnsi="Garamond"/>
                <w:sz w:val="22"/>
                <w:szCs w:val="22"/>
                <w:highlight w:val="yellow"/>
              </w:rPr>
              <w:t>утвержденным</w:t>
            </w:r>
            <w:r w:rsidRPr="00932F44">
              <w:rPr>
                <w:rFonts w:ascii="Garamond" w:hAnsi="Garamond"/>
                <w:sz w:val="22"/>
                <w:szCs w:val="22"/>
              </w:rPr>
              <w:t xml:space="preserve"> при наличии подписей Системного оператора и Коммерческого оператора;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6B7CE6" w:rsidRPr="00932F44" w:rsidRDefault="006B7CE6" w:rsidP="00043ED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32F44">
              <w:rPr>
                <w:rFonts w:ascii="Garamond" w:hAnsi="Garamond"/>
                <w:sz w:val="22"/>
                <w:szCs w:val="22"/>
              </w:rPr>
              <w:t xml:space="preserve"> − КО в течение 3 (трех) рабочих дней после </w:t>
            </w:r>
            <w:r w:rsidRPr="00391657">
              <w:rPr>
                <w:rFonts w:ascii="Garamond" w:hAnsi="Garamond"/>
                <w:sz w:val="22"/>
                <w:szCs w:val="22"/>
                <w:highlight w:val="yellow"/>
              </w:rPr>
              <w:t>утверждения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32F44">
              <w:rPr>
                <w:rFonts w:ascii="Garamond" w:hAnsi="Garamond"/>
                <w:sz w:val="22"/>
                <w:szCs w:val="22"/>
              </w:rPr>
              <w:t>приложения к Акту о согласовании групп точек поставки субъекта оптового рынка и отнесени</w:t>
            </w:r>
            <w:r w:rsidRPr="009F57C0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Pr="00932F44">
              <w:rPr>
                <w:rFonts w:ascii="Garamond" w:hAnsi="Garamond"/>
                <w:sz w:val="22"/>
                <w:szCs w:val="22"/>
              </w:rPr>
              <w:t xml:space="preserve"> их к узлам расчетной модели, приложения к Акту регистрации ГЕМ (для ГТП генерации) направляет в письменном виде уведомление субъекту оптового рынка с указанием даты (срока) вступления в силу изменений </w:t>
            </w:r>
            <w:r w:rsidRPr="00391657">
              <w:rPr>
                <w:rFonts w:ascii="Garamond" w:hAnsi="Garamond"/>
                <w:sz w:val="22"/>
                <w:szCs w:val="22"/>
                <w:highlight w:val="yellow"/>
              </w:rPr>
              <w:t>в части отнесения ГТП к узлам расчетной модели, указанных в приложении к Акту о согласовании групп точек поставки субъекта оптового рынка и отнесения их к узлам расчетной модели и приложении к Акту регистрации ГЕМ (для ГТП генерации);</w:t>
            </w:r>
          </w:p>
          <w:p w:rsidR="006B7CE6" w:rsidRPr="003E4519" w:rsidRDefault="006B7CE6" w:rsidP="00043ED3">
            <w:pPr>
              <w:tabs>
                <w:tab w:val="left" w:pos="7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32F44">
              <w:rPr>
                <w:rFonts w:ascii="Garamond" w:hAnsi="Garamond"/>
                <w:sz w:val="22"/>
                <w:szCs w:val="22"/>
              </w:rPr>
              <w:t>−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внесение изменений в торговую систему оптового рынка </w:t>
            </w:r>
            <w:r w:rsidRPr="003E4519">
              <w:rPr>
                <w:rFonts w:ascii="Garamond" w:hAnsi="Garamond"/>
                <w:sz w:val="22"/>
                <w:szCs w:val="22"/>
              </w:rPr>
              <w:t>производится КО в соответствии с датой, указанной в уведомлении;</w:t>
            </w:r>
          </w:p>
          <w:p w:rsidR="006B7CE6" w:rsidRPr="007475B5" w:rsidRDefault="006B7CE6" w:rsidP="007475B5">
            <w:pPr>
              <w:tabs>
                <w:tab w:val="left" w:pos="7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7475B5">
              <w:rPr>
                <w:rFonts w:ascii="Garamond" w:hAnsi="Garamond"/>
                <w:sz w:val="22"/>
                <w:szCs w:val="22"/>
              </w:rPr>
              <w:t>– субъект оптового рынка после получения указанного в данном пункте уведомления от КО обязан выполнить действия по внесению изменений в ранее зарегистрированную ГТП в соответствии с п. 4.2.1 настоящего Положения.</w:t>
            </w:r>
          </w:p>
        </w:tc>
        <w:tc>
          <w:tcPr>
            <w:tcW w:w="7558" w:type="dxa"/>
          </w:tcPr>
          <w:p w:rsidR="006B7CE6" w:rsidRPr="0055442F" w:rsidRDefault="006B7CE6" w:rsidP="00043ED3">
            <w:pPr>
              <w:tabs>
                <w:tab w:val="left" w:pos="120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lastRenderedPageBreak/>
              <w:t>При получении от СО приложения (-ий</w:t>
            </w:r>
            <w:r w:rsidRPr="006D5000">
              <w:rPr>
                <w:rFonts w:ascii="Garamond" w:hAnsi="Garamond"/>
                <w:sz w:val="22"/>
                <w:szCs w:val="22"/>
              </w:rPr>
              <w:t>) к Акту о согласовании групп точек поставки субъекта оптового рынка и отнесения их к узлам расчетной модели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по форме 8А приложения 1 к настоящему Положению (8.1А </w:t>
            </w:r>
            <w:r w:rsidRPr="0055442F">
              <w:rPr>
                <w:rFonts w:ascii="Garamond" w:hAnsi="Garamond"/>
                <w:color w:val="000000"/>
                <w:sz w:val="22"/>
                <w:szCs w:val="22"/>
              </w:rPr>
              <w:t>для гарантирующего поставщика, в отношении ГТП которого ранее был переоформлен Акт согласования ГТП в предусмотренном п. 4.4 настоящего Положения порядке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), составленного (-ых) им в соответствии с пп. </w:t>
            </w:r>
            <w:r w:rsidRPr="00391657">
              <w:rPr>
                <w:rFonts w:ascii="Garamond" w:hAnsi="Garamond"/>
                <w:sz w:val="22"/>
                <w:szCs w:val="22"/>
                <w:highlight w:val="yellow"/>
              </w:rPr>
              <w:t>4.1.6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–4.1.9 настоящего Положения или п. 6.1.7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>Регламента внесения изменений в расчетную модель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>электроэнергетической системы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(Приложение № 2 к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), приложения к </w:t>
            </w:r>
            <w:r w:rsidRPr="006D5000">
              <w:rPr>
                <w:rFonts w:ascii="Garamond" w:hAnsi="Garamond"/>
                <w:sz w:val="22"/>
                <w:szCs w:val="22"/>
              </w:rPr>
              <w:t>Акту о согласовании групп точек поставки субъекта оптового рынка и отнесения их к узлам расчетной модели по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 форме 8А приложения 1 к настоящему Положению (8.1А </w:t>
            </w:r>
            <w:r w:rsidRPr="0055442F">
              <w:rPr>
                <w:rFonts w:ascii="Garamond" w:hAnsi="Garamond"/>
                <w:color w:val="000000"/>
                <w:sz w:val="22"/>
                <w:szCs w:val="22"/>
              </w:rPr>
              <w:t>для гарантирующего поставщика, в отношении ГТП которого ранее был переоформлен Акт согласования ГТП в предусмотренном п. 4.4 настоящего Положения порядке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), приложения к Акту регистрации ГЕМ по форме Г-1А приложения 4 к </w:t>
            </w:r>
            <w:r w:rsidRPr="006D5000">
              <w:rPr>
                <w:rFonts w:ascii="Garamond" w:hAnsi="Garamond"/>
                <w:sz w:val="22"/>
                <w:szCs w:val="22"/>
              </w:rPr>
              <w:t>Порядку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55442F">
              <w:rPr>
                <w:rFonts w:ascii="Garamond" w:hAnsi="Garamond"/>
                <w:sz w:val="22"/>
                <w:szCs w:val="22"/>
              </w:rPr>
              <w:t>регистрации ГЕМ (приложение 1 к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 xml:space="preserve"> Регламенту проведения конкурентных отборов мощности </w:t>
            </w:r>
            <w:r w:rsidRPr="0055442F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t xml:space="preserve">Договору о присоединении к торговой системе оптового </w:t>
            </w:r>
            <w:r w:rsidRPr="0055442F">
              <w:rPr>
                <w:rFonts w:ascii="Garamond" w:hAnsi="Garamond"/>
                <w:i/>
                <w:sz w:val="22"/>
                <w:szCs w:val="22"/>
              </w:rPr>
              <w:lastRenderedPageBreak/>
              <w:t>рынка</w:t>
            </w:r>
            <w:r w:rsidRPr="0055442F">
              <w:rPr>
                <w:rFonts w:ascii="Garamond" w:hAnsi="Garamond"/>
                <w:sz w:val="22"/>
                <w:szCs w:val="22"/>
              </w:rPr>
              <w:t>) (для ГТП генерации):</w:t>
            </w:r>
          </w:p>
          <w:p w:rsidR="006B7CE6" w:rsidRPr="00932F44" w:rsidRDefault="006B7CE6" w:rsidP="00043ED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55442F">
              <w:rPr>
                <w:rFonts w:ascii="Garamond" w:hAnsi="Garamond"/>
                <w:sz w:val="22"/>
                <w:szCs w:val="22"/>
              </w:rPr>
              <w:t xml:space="preserve">− КО в течение 3 (трех) рабочих дней с момента получения от СО подписанного приложения к </w:t>
            </w:r>
            <w:r w:rsidRPr="00932F44">
              <w:rPr>
                <w:rFonts w:ascii="Garamond" w:hAnsi="Garamond"/>
                <w:sz w:val="22"/>
                <w:szCs w:val="22"/>
              </w:rPr>
              <w:t>Акту о согласовании групп точек поставки субъекта оптового рынка и отнесения их к узлам расчетной модели, приложения к Акту регистрации ГЕМ (для ГТП генерации) подписывает их;</w:t>
            </w:r>
          </w:p>
          <w:p w:rsidR="006B7CE6" w:rsidRPr="00932F44" w:rsidRDefault="006B7CE6" w:rsidP="00043ED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32F44">
              <w:rPr>
                <w:rFonts w:ascii="Garamond" w:hAnsi="Garamond"/>
                <w:sz w:val="22"/>
                <w:szCs w:val="22"/>
              </w:rPr>
              <w:t>− приложение к Акту о согласовании групп точек поставки субъекта оптового рынка и отнесени</w:t>
            </w:r>
            <w:r w:rsidR="009F57C0" w:rsidRPr="009F57C0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932F44">
              <w:rPr>
                <w:rFonts w:ascii="Garamond" w:hAnsi="Garamond"/>
                <w:sz w:val="22"/>
                <w:szCs w:val="22"/>
              </w:rPr>
              <w:t xml:space="preserve"> их к узлам расчетной модели, приложение к Акту регистрации ГЕМ (для ГТП генерации) считаются </w:t>
            </w:r>
            <w:r w:rsidRPr="00391657">
              <w:rPr>
                <w:rFonts w:ascii="Garamond" w:hAnsi="Garamond"/>
                <w:sz w:val="22"/>
                <w:szCs w:val="22"/>
                <w:highlight w:val="yellow"/>
              </w:rPr>
              <w:t>согласованными</w:t>
            </w:r>
            <w:r w:rsidRPr="00932F44">
              <w:rPr>
                <w:rFonts w:ascii="Garamond" w:hAnsi="Garamond"/>
                <w:sz w:val="22"/>
                <w:szCs w:val="22"/>
              </w:rPr>
              <w:t xml:space="preserve"> при наличии подписей Системного оператора и Коммерческого оператора;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6B7CE6" w:rsidRPr="00932F44" w:rsidRDefault="006B7CE6" w:rsidP="00043ED3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32F44">
              <w:rPr>
                <w:rFonts w:ascii="Garamond" w:hAnsi="Garamond"/>
                <w:sz w:val="22"/>
                <w:szCs w:val="22"/>
              </w:rPr>
              <w:t xml:space="preserve"> − КО в течение 3 (трех) рабочих дней после </w:t>
            </w:r>
            <w:r w:rsidRPr="00391657">
              <w:rPr>
                <w:rFonts w:ascii="Garamond" w:hAnsi="Garamond"/>
                <w:sz w:val="22"/>
                <w:szCs w:val="22"/>
                <w:highlight w:val="yellow"/>
              </w:rPr>
              <w:t>согласования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32F44">
              <w:rPr>
                <w:rFonts w:ascii="Garamond" w:hAnsi="Garamond"/>
                <w:sz w:val="22"/>
                <w:szCs w:val="22"/>
              </w:rPr>
              <w:t xml:space="preserve">приложения к Акту о согласовании групп точек поставки субъекта </w:t>
            </w:r>
            <w:r w:rsidRPr="009F57C0">
              <w:rPr>
                <w:rFonts w:ascii="Garamond" w:hAnsi="Garamond"/>
                <w:sz w:val="22"/>
                <w:szCs w:val="22"/>
              </w:rPr>
              <w:t>оптового рынка и отнесени</w:t>
            </w:r>
            <w:r w:rsidR="009F57C0" w:rsidRPr="009F57C0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9F57C0">
              <w:rPr>
                <w:rFonts w:ascii="Garamond" w:hAnsi="Garamond"/>
                <w:sz w:val="22"/>
                <w:szCs w:val="22"/>
              </w:rPr>
              <w:t xml:space="preserve"> их к узлам расчетной модели, приложения к Акту регистрации ГЕМ (для ГТП генерации) направляет в письменном виде уведомле</w:t>
            </w:r>
            <w:r w:rsidRPr="00932F44">
              <w:rPr>
                <w:rFonts w:ascii="Garamond" w:hAnsi="Garamond"/>
                <w:sz w:val="22"/>
                <w:szCs w:val="22"/>
              </w:rPr>
              <w:t>ние субъекту оптового рынка с указанием даты (срока) вступления в силу изменений;</w:t>
            </w:r>
          </w:p>
          <w:p w:rsidR="006B7CE6" w:rsidRPr="0055442F" w:rsidRDefault="006B7CE6" w:rsidP="00043ED3">
            <w:pPr>
              <w:tabs>
                <w:tab w:val="left" w:pos="7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932F44">
              <w:rPr>
                <w:rFonts w:ascii="Garamond" w:hAnsi="Garamond"/>
                <w:sz w:val="22"/>
                <w:szCs w:val="22"/>
              </w:rPr>
              <w:t>−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442F">
              <w:rPr>
                <w:rFonts w:ascii="Garamond" w:hAnsi="Garamond"/>
                <w:sz w:val="22"/>
                <w:szCs w:val="22"/>
              </w:rPr>
              <w:t>внесение изменений в торговую систему оптового рынка производится КО в соответствии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442F">
              <w:rPr>
                <w:rFonts w:ascii="Garamond" w:hAnsi="Garamond"/>
                <w:sz w:val="22"/>
                <w:szCs w:val="22"/>
              </w:rPr>
              <w:t>с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5442F">
              <w:rPr>
                <w:rFonts w:ascii="Garamond" w:hAnsi="Garamond"/>
                <w:sz w:val="22"/>
                <w:szCs w:val="22"/>
              </w:rPr>
              <w:t>датой, указанной в уведомлении;</w:t>
            </w:r>
          </w:p>
          <w:p w:rsidR="006B7CE6" w:rsidRPr="0055442F" w:rsidRDefault="006B7CE6" w:rsidP="00043ED3">
            <w:pPr>
              <w:tabs>
                <w:tab w:val="left" w:pos="720"/>
              </w:tabs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</w:rPr>
              <w:t xml:space="preserve"> </w:t>
            </w:r>
            <w:r w:rsidRPr="003E4519">
              <w:rPr>
                <w:rFonts w:ascii="Garamond" w:hAnsi="Garamond"/>
                <w:sz w:val="22"/>
                <w:szCs w:val="22"/>
              </w:rPr>
              <w:t>– субъект оптового рынка после получения указанного в данном пункте уведомления от КО обязан выполнить действия по внесению изменений в ранее зарегистрированную ГТП в соответствии с п. 4.2.1 настоящего Положения</w:t>
            </w:r>
            <w:r>
              <w:rPr>
                <w:rFonts w:ascii="Garamond" w:hAnsi="Garamond"/>
              </w:rPr>
              <w:t xml:space="preserve"> </w:t>
            </w:r>
            <w:r w:rsidRPr="003E4519">
              <w:rPr>
                <w:rFonts w:ascii="Garamond" w:hAnsi="Garamond"/>
                <w:highlight w:val="yellow"/>
              </w:rPr>
              <w:t>(</w:t>
            </w:r>
            <w:r w:rsidRPr="003E4519">
              <w:rPr>
                <w:rFonts w:ascii="Garamond" w:hAnsi="Garamond"/>
                <w:sz w:val="22"/>
                <w:szCs w:val="22"/>
                <w:highlight w:val="yellow"/>
              </w:rPr>
              <w:t>в случае если изменения влекут за собой необходимость предоставления документов, указанных в п.</w:t>
            </w:r>
            <w:r w:rsidR="009F57C0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3E4519">
              <w:rPr>
                <w:rFonts w:ascii="Garamond" w:hAnsi="Garamond"/>
                <w:sz w:val="22"/>
                <w:szCs w:val="22"/>
                <w:highlight w:val="yellow"/>
              </w:rPr>
              <w:t>2.5 настоящего Положения).</w:t>
            </w:r>
          </w:p>
          <w:p w:rsidR="006B7CE6" w:rsidRPr="009313EF" w:rsidRDefault="006B7CE6" w:rsidP="00043ED3">
            <w:pPr>
              <w:pStyle w:val="40"/>
              <w:widowControl w:val="0"/>
              <w:numPr>
                <w:ilvl w:val="0"/>
                <w:numId w:val="0"/>
              </w:numPr>
              <w:suppressAutoHyphens/>
              <w:ind w:left="34" w:firstLine="425"/>
              <w:rPr>
                <w:rFonts w:ascii="Garamond" w:hAnsi="Garamond"/>
              </w:rPr>
            </w:pPr>
          </w:p>
        </w:tc>
      </w:tr>
    </w:tbl>
    <w:p w:rsidR="00A9633A" w:rsidRDefault="00A9633A" w:rsidP="00A9633A"/>
    <w:p w:rsidR="007475B5" w:rsidRDefault="007475B5" w:rsidP="00317831">
      <w:pPr>
        <w:jc w:val="both"/>
        <w:rPr>
          <w:rFonts w:ascii="Garamond" w:hAnsi="Garamond"/>
          <w:b/>
          <w:bCs/>
          <w:iCs/>
          <w:sz w:val="22"/>
          <w:szCs w:val="22"/>
          <w:highlight w:val="yellow"/>
        </w:rPr>
      </w:pPr>
    </w:p>
    <w:p w:rsidR="00317831" w:rsidRPr="00B26F03" w:rsidRDefault="00317831" w:rsidP="00317831">
      <w:pPr>
        <w:jc w:val="both"/>
        <w:rPr>
          <w:rFonts w:ascii="Garamond" w:hAnsi="Garamond"/>
          <w:b/>
          <w:bCs/>
          <w:iCs/>
          <w:sz w:val="22"/>
          <w:szCs w:val="22"/>
        </w:rPr>
      </w:pPr>
      <w:r w:rsidRPr="0031338E">
        <w:rPr>
          <w:rFonts w:ascii="Garamond" w:hAnsi="Garamond"/>
          <w:b/>
          <w:bCs/>
          <w:iCs/>
          <w:sz w:val="22"/>
          <w:szCs w:val="22"/>
          <w:highlight w:val="yellow"/>
        </w:rPr>
        <w:t>Действующая редакция</w:t>
      </w:r>
    </w:p>
    <w:p w:rsidR="00317831" w:rsidRPr="00912900" w:rsidRDefault="00317831" w:rsidP="00317831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912900">
        <w:rPr>
          <w:rFonts w:ascii="Garamond" w:hAnsi="Garamond"/>
          <w:b/>
          <w:bCs/>
          <w:iCs/>
          <w:sz w:val="22"/>
          <w:szCs w:val="22"/>
        </w:rPr>
        <w:t>Форма 8.1А</w:t>
      </w:r>
    </w:p>
    <w:p w:rsidR="00317831" w:rsidRPr="0031338E" w:rsidRDefault="00317831" w:rsidP="00317831">
      <w:pPr>
        <w:widowControl w:val="0"/>
        <w:ind w:left="10915"/>
        <w:rPr>
          <w:rFonts w:ascii="Garamond" w:hAnsi="Garamond"/>
          <w:b/>
          <w:sz w:val="22"/>
          <w:szCs w:val="22"/>
          <w:highlight w:val="yellow"/>
        </w:rPr>
      </w:pPr>
      <w:r w:rsidRPr="0031338E">
        <w:rPr>
          <w:rFonts w:ascii="Garamond" w:hAnsi="Garamond"/>
          <w:b/>
          <w:sz w:val="22"/>
          <w:szCs w:val="22"/>
          <w:highlight w:val="yellow"/>
        </w:rPr>
        <w:t>ДАТА ВСТУПЛЕНИЯ В СИЛУ</w:t>
      </w:r>
    </w:p>
    <w:p w:rsidR="00317831" w:rsidRPr="0031338E" w:rsidRDefault="00317831" w:rsidP="00317831">
      <w:pPr>
        <w:widowControl w:val="0"/>
        <w:ind w:left="10915"/>
        <w:rPr>
          <w:rFonts w:ascii="Garamond" w:hAnsi="Garamond"/>
          <w:b/>
          <w:sz w:val="22"/>
          <w:szCs w:val="22"/>
          <w:highlight w:val="yellow"/>
        </w:rPr>
      </w:pPr>
    </w:p>
    <w:p w:rsidR="00317831" w:rsidRPr="00912900" w:rsidRDefault="00317831" w:rsidP="00317831">
      <w:pPr>
        <w:widowControl w:val="0"/>
        <w:ind w:left="10915"/>
        <w:rPr>
          <w:rFonts w:ascii="Garamond" w:hAnsi="Garamond"/>
          <w:sz w:val="22"/>
          <w:szCs w:val="22"/>
        </w:rPr>
      </w:pPr>
      <w:r w:rsidRPr="0031338E">
        <w:rPr>
          <w:rFonts w:ascii="Garamond" w:hAnsi="Garamond"/>
          <w:b/>
          <w:sz w:val="22"/>
          <w:szCs w:val="22"/>
          <w:highlight w:val="yellow"/>
        </w:rPr>
        <w:t xml:space="preserve"> «__»____________20________</w:t>
      </w:r>
    </w:p>
    <w:p w:rsidR="00317831" w:rsidRPr="00912900" w:rsidRDefault="00317831" w:rsidP="00317831">
      <w:pPr>
        <w:pStyle w:val="Normal1"/>
        <w:ind w:left="11199"/>
        <w:jc w:val="center"/>
        <w:outlineLvl w:val="0"/>
        <w:rPr>
          <w:rFonts w:ascii="Garamond" w:hAnsi="Garamond"/>
          <w:sz w:val="22"/>
          <w:szCs w:val="22"/>
          <w:lang w:val="ru-RU"/>
        </w:rPr>
      </w:pPr>
    </w:p>
    <w:p w:rsidR="00317831" w:rsidRPr="00912900" w:rsidRDefault="00317831" w:rsidP="00317831">
      <w:pPr>
        <w:jc w:val="center"/>
        <w:rPr>
          <w:rFonts w:ascii="Garamond" w:hAnsi="Garamond"/>
          <w:b/>
          <w:sz w:val="22"/>
          <w:szCs w:val="22"/>
        </w:rPr>
      </w:pPr>
    </w:p>
    <w:p w:rsidR="00317831" w:rsidRPr="00912900" w:rsidRDefault="00317831" w:rsidP="00317831">
      <w:pPr>
        <w:jc w:val="center"/>
        <w:rPr>
          <w:rFonts w:ascii="Garamond" w:hAnsi="Garamond"/>
          <w:b/>
          <w:sz w:val="22"/>
          <w:szCs w:val="22"/>
        </w:rPr>
      </w:pPr>
      <w:r w:rsidRPr="00912900">
        <w:rPr>
          <w:rFonts w:ascii="Garamond" w:hAnsi="Garamond"/>
          <w:b/>
          <w:sz w:val="22"/>
          <w:szCs w:val="22"/>
        </w:rPr>
        <w:t>Таблица отнесения ГТП к узлам расчетной модели</w:t>
      </w:r>
    </w:p>
    <w:p w:rsidR="00317831" w:rsidRPr="00912900" w:rsidRDefault="00317831" w:rsidP="00317831">
      <w:pPr>
        <w:jc w:val="center"/>
        <w:rPr>
          <w:rFonts w:ascii="Garamond" w:hAnsi="Garamond"/>
          <w:b/>
          <w:sz w:val="22"/>
          <w:szCs w:val="22"/>
        </w:rPr>
      </w:pPr>
    </w:p>
    <w:p w:rsidR="00317831" w:rsidRPr="00912900" w:rsidRDefault="00317831" w:rsidP="00317831">
      <w:pPr>
        <w:widowControl w:val="0"/>
        <w:jc w:val="center"/>
        <w:outlineLvl w:val="0"/>
        <w:rPr>
          <w:rFonts w:ascii="Garamond" w:hAnsi="Garamond"/>
          <w:b/>
          <w:sz w:val="22"/>
          <w:szCs w:val="22"/>
        </w:rPr>
      </w:pPr>
      <w:bookmarkStart w:id="3" w:name="_Toc399249198"/>
      <w:bookmarkStart w:id="4" w:name="_Toc404696635"/>
      <w:bookmarkStart w:id="5" w:name="_Toc407020086"/>
      <w:bookmarkStart w:id="6" w:name="_Toc428358595"/>
      <w:r w:rsidRPr="00912900">
        <w:rPr>
          <w:rFonts w:ascii="Garamond" w:hAnsi="Garamond"/>
          <w:b/>
          <w:sz w:val="22"/>
          <w:szCs w:val="22"/>
        </w:rPr>
        <w:t xml:space="preserve">Приложение № </w:t>
      </w:r>
      <w:r w:rsidRPr="0031338E">
        <w:rPr>
          <w:rFonts w:ascii="Garamond" w:hAnsi="Garamond"/>
          <w:b/>
          <w:sz w:val="22"/>
          <w:szCs w:val="22"/>
          <w:highlight w:val="yellow"/>
        </w:rPr>
        <w:t>1</w:t>
      </w:r>
      <w:r w:rsidRPr="00912900">
        <w:rPr>
          <w:rFonts w:ascii="Garamond" w:hAnsi="Garamond"/>
          <w:b/>
          <w:sz w:val="22"/>
          <w:szCs w:val="22"/>
        </w:rPr>
        <w:t xml:space="preserve"> _____ к Акту № ______ /___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12900">
        <w:rPr>
          <w:rFonts w:ascii="Garamond" w:hAnsi="Garamond"/>
          <w:b/>
          <w:sz w:val="22"/>
          <w:szCs w:val="22"/>
        </w:rPr>
        <w:t xml:space="preserve">(год/номер) о согласовании групп точек поставки субъекта оптового рынка </w:t>
      </w:r>
      <w:r w:rsidRPr="00912900">
        <w:rPr>
          <w:rFonts w:ascii="Garamond" w:hAnsi="Garamond"/>
          <w:b/>
          <w:sz w:val="22"/>
          <w:szCs w:val="22"/>
        </w:rPr>
        <w:br/>
        <w:t>и отнесении их к узлам расчетной модели для групп точек поставки гарантирующего поставщика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12900">
        <w:rPr>
          <w:rFonts w:ascii="Garamond" w:hAnsi="Garamond"/>
          <w:b/>
          <w:sz w:val="22"/>
          <w:szCs w:val="22"/>
        </w:rPr>
        <w:t>*</w:t>
      </w:r>
      <w:bookmarkEnd w:id="3"/>
      <w:bookmarkEnd w:id="4"/>
      <w:bookmarkEnd w:id="5"/>
      <w:bookmarkEnd w:id="6"/>
    </w:p>
    <w:p w:rsidR="00317831" w:rsidRPr="00912900" w:rsidRDefault="00317831" w:rsidP="00317831">
      <w:pPr>
        <w:jc w:val="center"/>
        <w:rPr>
          <w:rFonts w:ascii="Garamond" w:hAnsi="Garamond"/>
          <w:b/>
          <w:sz w:val="22"/>
          <w:szCs w:val="22"/>
        </w:rPr>
      </w:pPr>
    </w:p>
    <w:p w:rsidR="00317831" w:rsidRPr="00912900" w:rsidRDefault="00317831" w:rsidP="00317831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5"/>
        <w:gridCol w:w="6095"/>
      </w:tblGrid>
      <w:tr w:rsidR="00317831" w:rsidRPr="00912900" w:rsidTr="000958F7">
        <w:trPr>
          <w:trHeight w:val="256"/>
        </w:trPr>
        <w:tc>
          <w:tcPr>
            <w:tcW w:w="6805" w:type="dxa"/>
          </w:tcPr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 субъекта оптового рынка</w:t>
            </w:r>
          </w:p>
        </w:tc>
        <w:tc>
          <w:tcPr>
            <w:tcW w:w="6095" w:type="dxa"/>
          </w:tcPr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317831" w:rsidRPr="00912900" w:rsidTr="000958F7">
        <w:trPr>
          <w:trHeight w:val="256"/>
        </w:trPr>
        <w:tc>
          <w:tcPr>
            <w:tcW w:w="6805" w:type="dxa"/>
          </w:tcPr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</w:t>
            </w:r>
          </w:p>
        </w:tc>
        <w:tc>
          <w:tcPr>
            <w:tcW w:w="6095" w:type="dxa"/>
          </w:tcPr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317831" w:rsidRPr="00912900" w:rsidRDefault="00317831" w:rsidP="00317831">
      <w:pPr>
        <w:pStyle w:val="Titel12-Punkt-Demi"/>
        <w:tabs>
          <w:tab w:val="left" w:pos="708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839"/>
        <w:gridCol w:w="1984"/>
        <w:gridCol w:w="1560"/>
        <w:gridCol w:w="2126"/>
        <w:gridCol w:w="2410"/>
        <w:gridCol w:w="1559"/>
        <w:gridCol w:w="1843"/>
      </w:tblGrid>
      <w:tr w:rsidR="00317831" w:rsidRPr="00912900" w:rsidTr="000958F7">
        <w:tc>
          <w:tcPr>
            <w:tcW w:w="423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 xml:space="preserve">№ </w:t>
            </w:r>
          </w:p>
        </w:tc>
        <w:tc>
          <w:tcPr>
            <w:tcW w:w="2838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Наименование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</w:rPr>
              <w:t>ГТП</w:t>
            </w: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/</w:t>
            </w:r>
            <w:r w:rsidRPr="00912900">
              <w:rPr>
                <w:rFonts w:ascii="Garamond" w:hAnsi="Garamond"/>
                <w:sz w:val="22"/>
                <w:szCs w:val="22"/>
              </w:rPr>
              <w:t xml:space="preserve"> Электрические станции**</w:t>
            </w:r>
          </w:p>
        </w:tc>
        <w:tc>
          <w:tcPr>
            <w:tcW w:w="1984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560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Тип ГТП</w:t>
            </w:r>
          </w:p>
        </w:tc>
        <w:tc>
          <w:tcPr>
            <w:tcW w:w="2126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b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Узлы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</w:rPr>
              <w:t xml:space="preserve">расчетной модели </w:t>
            </w:r>
          </w:p>
        </w:tc>
        <w:tc>
          <w:tcPr>
            <w:tcW w:w="2410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Ценовая зона и ОЭС,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</w:rPr>
              <w:t>к которой относится данная ГТП</w:t>
            </w:r>
          </w:p>
        </w:tc>
        <w:tc>
          <w:tcPr>
            <w:tcW w:w="1559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Субъект РФ</w:t>
            </w:r>
          </w:p>
        </w:tc>
        <w:tc>
          <w:tcPr>
            <w:tcW w:w="1843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 xml:space="preserve">Буквенный код ГТП </w:t>
            </w:r>
          </w:p>
        </w:tc>
      </w:tr>
      <w:tr w:rsidR="00317831" w:rsidRPr="00912900" w:rsidTr="000958F7">
        <w:tc>
          <w:tcPr>
            <w:tcW w:w="423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838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</w:p>
        </w:tc>
      </w:tr>
    </w:tbl>
    <w:p w:rsidR="00317831" w:rsidRPr="00912900" w:rsidRDefault="00317831" w:rsidP="00317831">
      <w:pPr>
        <w:pStyle w:val="Normal1"/>
        <w:widowControl w:val="0"/>
        <w:ind w:hanging="142"/>
        <w:jc w:val="left"/>
        <w:rPr>
          <w:rFonts w:ascii="Garamond" w:hAnsi="Garamond"/>
          <w:sz w:val="22"/>
          <w:szCs w:val="22"/>
          <w:lang w:val="ru-RU"/>
        </w:rPr>
      </w:pPr>
    </w:p>
    <w:p w:rsidR="00317831" w:rsidRPr="00912900" w:rsidRDefault="00317831" w:rsidP="00317831">
      <w:pPr>
        <w:pStyle w:val="Normal1"/>
        <w:widowControl w:val="0"/>
        <w:ind w:hanging="142"/>
        <w:jc w:val="left"/>
        <w:rPr>
          <w:rFonts w:ascii="Garamond" w:hAnsi="Garamond"/>
          <w:sz w:val="22"/>
          <w:szCs w:val="22"/>
          <w:lang w:val="ru-RU"/>
        </w:rPr>
      </w:pPr>
      <w:r w:rsidRPr="00912900">
        <w:rPr>
          <w:rFonts w:ascii="Garamond" w:hAnsi="Garamond"/>
          <w:sz w:val="22"/>
          <w:szCs w:val="22"/>
          <w:lang w:val="ru-RU"/>
        </w:rPr>
        <w:t>* Указанного в абзаце втором п. 198 Основных положений функционирования розничных рынков электрической энергии.</w:t>
      </w:r>
    </w:p>
    <w:p w:rsidR="00317831" w:rsidRPr="00912900" w:rsidRDefault="00317831" w:rsidP="00317831">
      <w:pPr>
        <w:pStyle w:val="Normal1"/>
        <w:tabs>
          <w:tab w:val="left" w:pos="142"/>
        </w:tabs>
        <w:ind w:hanging="142"/>
        <w:rPr>
          <w:rFonts w:ascii="Garamond" w:hAnsi="Garamond"/>
          <w:sz w:val="22"/>
          <w:szCs w:val="22"/>
          <w:lang w:val="ru-RU"/>
        </w:rPr>
      </w:pPr>
      <w:r w:rsidRPr="00912900">
        <w:rPr>
          <w:rFonts w:ascii="Garamond" w:hAnsi="Garamond"/>
          <w:sz w:val="22"/>
          <w:szCs w:val="22"/>
          <w:lang w:val="ru-RU"/>
        </w:rPr>
        <w:t>** Электрические станции, не представленные на оптовом рынке отдельной ГТП генерации и не включенные в ГТП потребления (ГТП потребления с регулируемой нагрузкой других участников оптового рынка.</w:t>
      </w:r>
    </w:p>
    <w:p w:rsidR="00317831" w:rsidRPr="00912900" w:rsidRDefault="00317831" w:rsidP="00317831">
      <w:pPr>
        <w:pStyle w:val="Normal1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1482"/>
      </w:tblGrid>
      <w:tr w:rsidR="00317831" w:rsidRPr="00912900" w:rsidTr="000958F7">
        <w:tc>
          <w:tcPr>
            <w:tcW w:w="3227" w:type="dxa"/>
          </w:tcPr>
          <w:p w:rsidR="00317831" w:rsidRPr="00912900" w:rsidRDefault="00317831" w:rsidP="000958F7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Основания для оформления</w:t>
            </w:r>
          </w:p>
        </w:tc>
        <w:tc>
          <w:tcPr>
            <w:tcW w:w="11482" w:type="dxa"/>
          </w:tcPr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идентификационный код запроса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 / изменение расчетной модели электроэнергетической системы</w:t>
            </w:r>
          </w:p>
        </w:tc>
      </w:tr>
      <w:tr w:rsidR="00317831" w:rsidRPr="00912900" w:rsidTr="000958F7">
        <w:tc>
          <w:tcPr>
            <w:tcW w:w="3227" w:type="dxa"/>
          </w:tcPr>
          <w:p w:rsidR="00317831" w:rsidRPr="00912900" w:rsidRDefault="00317831" w:rsidP="000958F7">
            <w:pPr>
              <w:pStyle w:val="Normal1"/>
              <w:jc w:val="left"/>
              <w:rPr>
                <w:rFonts w:ascii="Garamond" w:hAnsi="Garamond"/>
                <w:sz w:val="22"/>
                <w:szCs w:val="22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Перечень изменений</w:t>
            </w:r>
          </w:p>
        </w:tc>
        <w:tc>
          <w:tcPr>
            <w:tcW w:w="11482" w:type="dxa"/>
          </w:tcPr>
          <w:p w:rsidR="00317831" w:rsidRPr="00912900" w:rsidRDefault="00317831" w:rsidP="000958F7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1. Добавление (исключение) узлов расчетной модели.</w:t>
            </w:r>
          </w:p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2. Добавление (исключение) электрических станций, не представленных на оптовом рынке отдельной ГТП генерации и не включенных в ГТП потребления (ГТП потребления с регулируемой нагрузкой других участников оптового рынка.</w:t>
            </w:r>
          </w:p>
          <w:p w:rsidR="00317831" w:rsidRPr="00912900" w:rsidRDefault="00317831" w:rsidP="000958F7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3. Прочие изменения.</w:t>
            </w:r>
          </w:p>
        </w:tc>
      </w:tr>
    </w:tbl>
    <w:p w:rsidR="00317831" w:rsidRPr="00912900" w:rsidRDefault="00317831" w:rsidP="00317831">
      <w:pPr>
        <w:pStyle w:val="Normal1"/>
        <w:rPr>
          <w:rFonts w:ascii="Garamond" w:hAnsi="Garamond"/>
          <w:sz w:val="22"/>
          <w:szCs w:val="22"/>
          <w:lang w:val="ru-RU"/>
        </w:rPr>
      </w:pPr>
    </w:p>
    <w:p w:rsidR="00317831" w:rsidRPr="00912900" w:rsidRDefault="00317831" w:rsidP="00317831">
      <w:pPr>
        <w:pStyle w:val="Normal1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40"/>
        <w:gridCol w:w="5240"/>
      </w:tblGrid>
      <w:tr w:rsidR="00317831" w:rsidRPr="00912900" w:rsidTr="000958F7">
        <w:tc>
          <w:tcPr>
            <w:tcW w:w="5240" w:type="dxa"/>
          </w:tcPr>
          <w:p w:rsidR="00317831" w:rsidRPr="00912900" w:rsidRDefault="00317831" w:rsidP="000958F7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317831" w:rsidRPr="00912900" w:rsidRDefault="00317831" w:rsidP="000958F7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317831" w:rsidRPr="00912900" w:rsidRDefault="00317831" w:rsidP="000958F7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подпись, М.П.)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</w:tc>
        <w:tc>
          <w:tcPr>
            <w:tcW w:w="5240" w:type="dxa"/>
          </w:tcPr>
          <w:p w:rsidR="00317831" w:rsidRPr="00912900" w:rsidRDefault="00317831" w:rsidP="000958F7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«АТС»:</w:t>
            </w:r>
          </w:p>
          <w:p w:rsidR="00317831" w:rsidRPr="00912900" w:rsidRDefault="00317831" w:rsidP="000958F7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317831" w:rsidRPr="00912900" w:rsidRDefault="00317831" w:rsidP="000958F7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подпись, М.П.)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</w:tc>
      </w:tr>
    </w:tbl>
    <w:p w:rsidR="00317831" w:rsidRPr="00912900" w:rsidRDefault="00317831" w:rsidP="00317831">
      <w:pPr>
        <w:rPr>
          <w:rFonts w:ascii="Garamond" w:hAnsi="Garamond"/>
          <w:b/>
          <w:bCs/>
          <w:iCs/>
          <w:sz w:val="20"/>
          <w:szCs w:val="20"/>
        </w:rPr>
      </w:pPr>
    </w:p>
    <w:p w:rsidR="00317831" w:rsidRDefault="00317831" w:rsidP="00317831">
      <w:pPr>
        <w:jc w:val="both"/>
        <w:rPr>
          <w:rFonts w:ascii="Garamond" w:hAnsi="Garamond"/>
          <w:b/>
          <w:sz w:val="26"/>
          <w:szCs w:val="26"/>
        </w:rPr>
      </w:pPr>
    </w:p>
    <w:p w:rsidR="00317831" w:rsidRDefault="00317831" w:rsidP="00317831">
      <w:pPr>
        <w:jc w:val="both"/>
        <w:rPr>
          <w:rFonts w:ascii="Garamond" w:hAnsi="Garamond"/>
          <w:b/>
          <w:bCs/>
          <w:iCs/>
          <w:sz w:val="22"/>
          <w:szCs w:val="22"/>
          <w:highlight w:val="yellow"/>
        </w:rPr>
      </w:pPr>
    </w:p>
    <w:p w:rsidR="00317831" w:rsidRDefault="00317831" w:rsidP="00317831">
      <w:pPr>
        <w:jc w:val="both"/>
        <w:rPr>
          <w:rFonts w:ascii="Garamond" w:hAnsi="Garamond"/>
          <w:b/>
          <w:bCs/>
          <w:iCs/>
          <w:sz w:val="22"/>
          <w:szCs w:val="22"/>
          <w:highlight w:val="yellow"/>
        </w:rPr>
      </w:pPr>
    </w:p>
    <w:p w:rsidR="00317831" w:rsidRDefault="00317831" w:rsidP="00317831">
      <w:pPr>
        <w:jc w:val="both"/>
        <w:rPr>
          <w:rFonts w:ascii="Garamond" w:hAnsi="Garamond"/>
          <w:b/>
          <w:bCs/>
          <w:iCs/>
          <w:sz w:val="22"/>
          <w:szCs w:val="22"/>
          <w:highlight w:val="yellow"/>
        </w:rPr>
      </w:pPr>
    </w:p>
    <w:p w:rsidR="00317831" w:rsidRPr="00B26F03" w:rsidRDefault="00317831" w:rsidP="00317831">
      <w:pPr>
        <w:jc w:val="both"/>
        <w:rPr>
          <w:rFonts w:ascii="Garamond" w:hAnsi="Garamond"/>
          <w:b/>
          <w:bCs/>
          <w:iCs/>
          <w:sz w:val="22"/>
          <w:szCs w:val="22"/>
        </w:rPr>
      </w:pPr>
      <w:r w:rsidRPr="0031338E">
        <w:rPr>
          <w:rFonts w:ascii="Garamond" w:hAnsi="Garamond"/>
          <w:b/>
          <w:bCs/>
          <w:iCs/>
          <w:sz w:val="22"/>
          <w:szCs w:val="22"/>
          <w:highlight w:val="yellow"/>
        </w:rPr>
        <w:lastRenderedPageBreak/>
        <w:t>Предлагаемая редакция</w:t>
      </w:r>
    </w:p>
    <w:p w:rsidR="00317831" w:rsidRPr="00912900" w:rsidRDefault="00317831" w:rsidP="00317831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912900">
        <w:rPr>
          <w:rFonts w:ascii="Garamond" w:hAnsi="Garamond"/>
          <w:b/>
          <w:bCs/>
          <w:iCs/>
          <w:sz w:val="22"/>
          <w:szCs w:val="22"/>
        </w:rPr>
        <w:t>Форма 8.1А</w:t>
      </w:r>
    </w:p>
    <w:p w:rsidR="00317831" w:rsidRPr="00912900" w:rsidRDefault="00317831" w:rsidP="00317831">
      <w:pPr>
        <w:pStyle w:val="Normal1"/>
        <w:ind w:left="11199"/>
        <w:jc w:val="center"/>
        <w:outlineLvl w:val="0"/>
        <w:rPr>
          <w:rFonts w:ascii="Garamond" w:hAnsi="Garamond"/>
          <w:sz w:val="22"/>
          <w:szCs w:val="22"/>
          <w:lang w:val="ru-RU"/>
        </w:rPr>
      </w:pPr>
    </w:p>
    <w:p w:rsidR="00317831" w:rsidRPr="00912900" w:rsidRDefault="00317831" w:rsidP="00317831">
      <w:pPr>
        <w:jc w:val="center"/>
        <w:rPr>
          <w:rFonts w:ascii="Garamond" w:hAnsi="Garamond"/>
          <w:b/>
          <w:sz w:val="22"/>
          <w:szCs w:val="22"/>
        </w:rPr>
      </w:pPr>
    </w:p>
    <w:p w:rsidR="00317831" w:rsidRPr="00912900" w:rsidRDefault="00317831" w:rsidP="00317831">
      <w:pPr>
        <w:jc w:val="center"/>
        <w:rPr>
          <w:rFonts w:ascii="Garamond" w:hAnsi="Garamond"/>
          <w:b/>
          <w:sz w:val="22"/>
          <w:szCs w:val="22"/>
        </w:rPr>
      </w:pPr>
      <w:r w:rsidRPr="00912900">
        <w:rPr>
          <w:rFonts w:ascii="Garamond" w:hAnsi="Garamond"/>
          <w:b/>
          <w:sz w:val="22"/>
          <w:szCs w:val="22"/>
        </w:rPr>
        <w:t>Таблица отнесения ГТП к узлам расчетной модели</w:t>
      </w:r>
    </w:p>
    <w:p w:rsidR="00317831" w:rsidRPr="00912900" w:rsidRDefault="00317831" w:rsidP="00317831">
      <w:pPr>
        <w:jc w:val="center"/>
        <w:rPr>
          <w:rFonts w:ascii="Garamond" w:hAnsi="Garamond"/>
          <w:b/>
          <w:sz w:val="22"/>
          <w:szCs w:val="22"/>
        </w:rPr>
      </w:pPr>
    </w:p>
    <w:p w:rsidR="00317831" w:rsidRPr="00912900" w:rsidRDefault="00317831" w:rsidP="00317831">
      <w:pPr>
        <w:widowControl w:val="0"/>
        <w:jc w:val="center"/>
        <w:outlineLvl w:val="0"/>
        <w:rPr>
          <w:rFonts w:ascii="Garamond" w:hAnsi="Garamond"/>
          <w:b/>
          <w:sz w:val="22"/>
          <w:szCs w:val="22"/>
        </w:rPr>
      </w:pPr>
      <w:r w:rsidRPr="00912900">
        <w:rPr>
          <w:rFonts w:ascii="Garamond" w:hAnsi="Garamond"/>
          <w:b/>
          <w:sz w:val="22"/>
          <w:szCs w:val="22"/>
        </w:rPr>
        <w:t>Приложение №  _____ к Акту № ______ /___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12900">
        <w:rPr>
          <w:rFonts w:ascii="Garamond" w:hAnsi="Garamond"/>
          <w:b/>
          <w:sz w:val="22"/>
          <w:szCs w:val="22"/>
        </w:rPr>
        <w:t xml:space="preserve">(год/номер) о согласовании групп точек поставки субъекта оптового рынка </w:t>
      </w:r>
      <w:r w:rsidRPr="00912900">
        <w:rPr>
          <w:rFonts w:ascii="Garamond" w:hAnsi="Garamond"/>
          <w:b/>
          <w:sz w:val="22"/>
          <w:szCs w:val="22"/>
        </w:rPr>
        <w:br/>
        <w:t>и отнесении их к узлам расчетной модели для групп точек поставки гарантирующего поставщика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912900">
        <w:rPr>
          <w:rFonts w:ascii="Garamond" w:hAnsi="Garamond"/>
          <w:b/>
          <w:sz w:val="22"/>
          <w:szCs w:val="22"/>
        </w:rPr>
        <w:t>*</w:t>
      </w:r>
    </w:p>
    <w:p w:rsidR="00317831" w:rsidRPr="00912900" w:rsidRDefault="00317831" w:rsidP="00317831">
      <w:pPr>
        <w:jc w:val="center"/>
        <w:rPr>
          <w:rFonts w:ascii="Garamond" w:hAnsi="Garamond"/>
          <w:b/>
          <w:sz w:val="22"/>
          <w:szCs w:val="22"/>
        </w:rPr>
      </w:pPr>
    </w:p>
    <w:p w:rsidR="00317831" w:rsidRPr="00912900" w:rsidRDefault="00317831" w:rsidP="00317831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5"/>
        <w:gridCol w:w="6095"/>
      </w:tblGrid>
      <w:tr w:rsidR="00317831" w:rsidRPr="00912900" w:rsidTr="000958F7">
        <w:trPr>
          <w:trHeight w:val="256"/>
        </w:trPr>
        <w:tc>
          <w:tcPr>
            <w:tcW w:w="6805" w:type="dxa"/>
          </w:tcPr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Наименование субъекта оптового рынка</w:t>
            </w:r>
          </w:p>
        </w:tc>
        <w:tc>
          <w:tcPr>
            <w:tcW w:w="6095" w:type="dxa"/>
          </w:tcPr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  <w:tr w:rsidR="00317831" w:rsidRPr="00912900" w:rsidTr="000958F7">
        <w:trPr>
          <w:trHeight w:val="256"/>
        </w:trPr>
        <w:tc>
          <w:tcPr>
            <w:tcW w:w="6805" w:type="dxa"/>
          </w:tcPr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Регистрационный номер субъекта в Реестре субъектов оптового рынка</w:t>
            </w:r>
          </w:p>
        </w:tc>
        <w:tc>
          <w:tcPr>
            <w:tcW w:w="6095" w:type="dxa"/>
          </w:tcPr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</w:p>
        </w:tc>
      </w:tr>
    </w:tbl>
    <w:p w:rsidR="00317831" w:rsidRPr="00912900" w:rsidRDefault="00317831" w:rsidP="00317831">
      <w:pPr>
        <w:pStyle w:val="Titel12-Punkt-Demi"/>
        <w:tabs>
          <w:tab w:val="left" w:pos="708"/>
        </w:tabs>
        <w:spacing w:before="0" w:line="240" w:lineRule="auto"/>
        <w:rPr>
          <w:rFonts w:ascii="Garamond" w:hAnsi="Garamond"/>
          <w:sz w:val="22"/>
          <w:szCs w:val="22"/>
          <w:lang w:val="ru-RU"/>
        </w:rPr>
      </w:pP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2839"/>
        <w:gridCol w:w="1984"/>
        <w:gridCol w:w="1560"/>
        <w:gridCol w:w="2126"/>
        <w:gridCol w:w="2410"/>
        <w:gridCol w:w="1559"/>
        <w:gridCol w:w="1843"/>
      </w:tblGrid>
      <w:tr w:rsidR="00317831" w:rsidRPr="00912900" w:rsidTr="000958F7">
        <w:tc>
          <w:tcPr>
            <w:tcW w:w="423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 xml:space="preserve">№ </w:t>
            </w:r>
          </w:p>
        </w:tc>
        <w:tc>
          <w:tcPr>
            <w:tcW w:w="2838" w:type="dxa"/>
          </w:tcPr>
          <w:p w:rsidR="00317831" w:rsidRPr="0031338E" w:rsidRDefault="00317831" w:rsidP="000958F7">
            <w:pPr>
              <w:jc w:val="center"/>
              <w:rPr>
                <w:rFonts w:ascii="Garamond" w:hAnsi="Garamond"/>
              </w:rPr>
            </w:pPr>
            <w:r w:rsidRPr="00464736">
              <w:rPr>
                <w:rFonts w:ascii="Garamond" w:hAnsi="Garamond"/>
                <w:sz w:val="22"/>
                <w:szCs w:val="22"/>
              </w:rPr>
              <w:t>Наименование ГТП/</w:t>
            </w:r>
            <w:r w:rsidRPr="00464736">
              <w:rPr>
                <w:rFonts w:ascii="Garamond" w:hAnsi="Garamond"/>
                <w:color w:val="FF0000"/>
                <w:sz w:val="22"/>
                <w:szCs w:val="22"/>
              </w:rPr>
              <w:t xml:space="preserve"> </w:t>
            </w:r>
            <w:r w:rsidRPr="00464736">
              <w:rPr>
                <w:rFonts w:ascii="Garamond" w:hAnsi="Garamond"/>
                <w:sz w:val="22"/>
                <w:szCs w:val="22"/>
                <w:highlight w:val="yellow"/>
              </w:rPr>
              <w:t>Наименование ВЭ/</w:t>
            </w:r>
            <w:r w:rsidRPr="00464736">
              <w:rPr>
                <w:rFonts w:ascii="Garamond" w:hAnsi="Garamond"/>
                <w:sz w:val="22"/>
                <w:szCs w:val="22"/>
              </w:rPr>
              <w:t xml:space="preserve"> Электрические</w:t>
            </w:r>
            <w:r w:rsidRPr="00912900">
              <w:rPr>
                <w:rFonts w:ascii="Garamond" w:hAnsi="Garamond"/>
                <w:sz w:val="22"/>
                <w:szCs w:val="22"/>
              </w:rPr>
              <w:t xml:space="preserve"> станции**</w:t>
            </w:r>
          </w:p>
        </w:tc>
        <w:tc>
          <w:tcPr>
            <w:tcW w:w="1984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Цифровой код объекта потребления/ Режимной генерирующей единицы</w:t>
            </w:r>
          </w:p>
        </w:tc>
        <w:tc>
          <w:tcPr>
            <w:tcW w:w="1560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Тип ГТП</w:t>
            </w:r>
          </w:p>
        </w:tc>
        <w:tc>
          <w:tcPr>
            <w:tcW w:w="2126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b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Узлы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</w:rPr>
              <w:t xml:space="preserve">расчетной модели </w:t>
            </w:r>
          </w:p>
        </w:tc>
        <w:tc>
          <w:tcPr>
            <w:tcW w:w="2410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Ценовая зона и ОЭС,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912900">
              <w:rPr>
                <w:rFonts w:ascii="Garamond" w:hAnsi="Garamond"/>
                <w:sz w:val="22"/>
                <w:szCs w:val="22"/>
              </w:rPr>
              <w:t>к которой относится данная ГТП</w:t>
            </w:r>
          </w:p>
        </w:tc>
        <w:tc>
          <w:tcPr>
            <w:tcW w:w="1559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Субъект РФ</w:t>
            </w:r>
          </w:p>
        </w:tc>
        <w:tc>
          <w:tcPr>
            <w:tcW w:w="1843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 xml:space="preserve">Буквенный код ГТП </w:t>
            </w:r>
          </w:p>
        </w:tc>
      </w:tr>
      <w:tr w:rsidR="00317831" w:rsidRPr="00912900" w:rsidTr="000958F7">
        <w:tc>
          <w:tcPr>
            <w:tcW w:w="423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838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</w:rPr>
            </w:pPr>
            <w:r w:rsidRPr="00912900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</w:p>
        </w:tc>
        <w:tc>
          <w:tcPr>
            <w:tcW w:w="1559" w:type="dxa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:rsidR="00317831" w:rsidRPr="004B5939" w:rsidRDefault="00317831" w:rsidP="000958F7">
            <w:pPr>
              <w:jc w:val="center"/>
              <w:rPr>
                <w:rFonts w:ascii="Garamond" w:hAnsi="Garamond"/>
                <w:lang w:val="en-US"/>
              </w:rPr>
            </w:pPr>
            <w:r w:rsidRPr="00912900">
              <w:rPr>
                <w:rFonts w:ascii="Garamond" w:hAnsi="Garamond"/>
                <w:sz w:val="22"/>
                <w:szCs w:val="22"/>
                <w:lang w:val="en-US"/>
              </w:rPr>
              <w:t>8</w:t>
            </w:r>
          </w:p>
        </w:tc>
      </w:tr>
    </w:tbl>
    <w:p w:rsidR="00317831" w:rsidRPr="00912900" w:rsidRDefault="00317831" w:rsidP="00317831">
      <w:pPr>
        <w:pStyle w:val="Normal1"/>
        <w:widowControl w:val="0"/>
        <w:ind w:hanging="142"/>
        <w:jc w:val="left"/>
        <w:rPr>
          <w:rFonts w:ascii="Garamond" w:hAnsi="Garamond"/>
          <w:sz w:val="22"/>
          <w:szCs w:val="22"/>
          <w:lang w:val="ru-RU"/>
        </w:rPr>
      </w:pPr>
    </w:p>
    <w:p w:rsidR="00317831" w:rsidRPr="00912900" w:rsidRDefault="00317831" w:rsidP="00317831">
      <w:pPr>
        <w:pStyle w:val="Normal1"/>
        <w:widowControl w:val="0"/>
        <w:ind w:hanging="142"/>
        <w:jc w:val="left"/>
        <w:rPr>
          <w:rFonts w:ascii="Garamond" w:hAnsi="Garamond"/>
          <w:sz w:val="22"/>
          <w:szCs w:val="22"/>
          <w:lang w:val="ru-RU"/>
        </w:rPr>
      </w:pPr>
      <w:r w:rsidRPr="00912900">
        <w:rPr>
          <w:rFonts w:ascii="Garamond" w:hAnsi="Garamond"/>
          <w:sz w:val="22"/>
          <w:szCs w:val="22"/>
          <w:lang w:val="ru-RU"/>
        </w:rPr>
        <w:t>* Указанного в абзаце втором п. 198 Основных положений функционирования розничных рынков электрической энергии.</w:t>
      </w:r>
    </w:p>
    <w:p w:rsidR="00317831" w:rsidRPr="00912900" w:rsidRDefault="00317831" w:rsidP="00317831">
      <w:pPr>
        <w:pStyle w:val="Normal1"/>
        <w:tabs>
          <w:tab w:val="left" w:pos="142"/>
        </w:tabs>
        <w:ind w:hanging="142"/>
        <w:rPr>
          <w:rFonts w:ascii="Garamond" w:hAnsi="Garamond"/>
          <w:sz w:val="22"/>
          <w:szCs w:val="22"/>
          <w:lang w:val="ru-RU"/>
        </w:rPr>
      </w:pPr>
      <w:r w:rsidRPr="00912900">
        <w:rPr>
          <w:rFonts w:ascii="Garamond" w:hAnsi="Garamond"/>
          <w:sz w:val="22"/>
          <w:szCs w:val="22"/>
          <w:lang w:val="ru-RU"/>
        </w:rPr>
        <w:t>** Электрические станции, не представленные на оптовом рынке отдельной ГТП генерации и не включенные в ГТП потребления (ГТП потребления с регулируемой нагрузкой других участников оптового рынка.</w:t>
      </w:r>
    </w:p>
    <w:p w:rsidR="00317831" w:rsidRPr="00912900" w:rsidRDefault="00317831" w:rsidP="00317831">
      <w:pPr>
        <w:pStyle w:val="Normal1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11482"/>
      </w:tblGrid>
      <w:tr w:rsidR="00317831" w:rsidRPr="00912900" w:rsidTr="000958F7">
        <w:tc>
          <w:tcPr>
            <w:tcW w:w="3227" w:type="dxa"/>
          </w:tcPr>
          <w:p w:rsidR="00317831" w:rsidRPr="00912900" w:rsidRDefault="00317831" w:rsidP="000958F7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Основания для оформления</w:t>
            </w:r>
          </w:p>
        </w:tc>
        <w:tc>
          <w:tcPr>
            <w:tcW w:w="11482" w:type="dxa"/>
          </w:tcPr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идентификационный код запроса </w:t>
            </w: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 / изменение расчетной модели электроэнергетической системы</w:t>
            </w:r>
          </w:p>
        </w:tc>
      </w:tr>
      <w:tr w:rsidR="00317831" w:rsidRPr="00912900" w:rsidTr="000958F7">
        <w:tc>
          <w:tcPr>
            <w:tcW w:w="3227" w:type="dxa"/>
          </w:tcPr>
          <w:p w:rsidR="00317831" w:rsidRPr="00912900" w:rsidRDefault="00317831" w:rsidP="000958F7">
            <w:pPr>
              <w:pStyle w:val="Normal1"/>
              <w:jc w:val="left"/>
              <w:rPr>
                <w:rFonts w:ascii="Garamond" w:hAnsi="Garamond"/>
                <w:sz w:val="22"/>
                <w:szCs w:val="22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Перечень изменений</w:t>
            </w:r>
          </w:p>
        </w:tc>
        <w:tc>
          <w:tcPr>
            <w:tcW w:w="11482" w:type="dxa"/>
          </w:tcPr>
          <w:p w:rsidR="00317831" w:rsidRPr="00912900" w:rsidRDefault="00317831" w:rsidP="000958F7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1. Добавление (исключение) узлов расчетной модели.</w:t>
            </w:r>
          </w:p>
          <w:p w:rsidR="00317831" w:rsidRPr="00912900" w:rsidRDefault="00317831" w:rsidP="000958F7">
            <w:pPr>
              <w:pStyle w:val="Normal1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2. Добавление (исключение) электрических станций, не представленных на оптовом рынке отдельной ГТП генерации и не включенных в ГТП потребления (ГТП потребления с регулируемой нагрузкой других участников оптового рынка.</w:t>
            </w:r>
          </w:p>
          <w:p w:rsidR="00317831" w:rsidRPr="00912900" w:rsidRDefault="00317831" w:rsidP="000958F7">
            <w:pPr>
              <w:pStyle w:val="Normal1"/>
              <w:jc w:val="left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3. Прочие изменения.</w:t>
            </w:r>
          </w:p>
        </w:tc>
      </w:tr>
    </w:tbl>
    <w:p w:rsidR="00317831" w:rsidRPr="00912900" w:rsidRDefault="00317831" w:rsidP="00317831">
      <w:pPr>
        <w:pStyle w:val="Normal1"/>
        <w:rPr>
          <w:rFonts w:ascii="Garamond" w:hAnsi="Garamond"/>
          <w:sz w:val="22"/>
          <w:szCs w:val="22"/>
          <w:lang w:val="ru-RU"/>
        </w:rPr>
      </w:pPr>
    </w:p>
    <w:p w:rsidR="00317831" w:rsidRPr="00912900" w:rsidRDefault="00317831" w:rsidP="00317831">
      <w:pPr>
        <w:pStyle w:val="Normal1"/>
        <w:rPr>
          <w:rFonts w:ascii="Garamond" w:hAnsi="Garamond"/>
          <w:sz w:val="22"/>
          <w:szCs w:val="22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40"/>
        <w:gridCol w:w="5240"/>
      </w:tblGrid>
      <w:tr w:rsidR="00317831" w:rsidRPr="00912900" w:rsidTr="000958F7">
        <w:tc>
          <w:tcPr>
            <w:tcW w:w="5240" w:type="dxa"/>
          </w:tcPr>
          <w:p w:rsidR="00317831" w:rsidRPr="00912900" w:rsidRDefault="00317831" w:rsidP="000958F7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АО «СО ЕЭС»:</w:t>
            </w:r>
          </w:p>
          <w:p w:rsidR="00317831" w:rsidRPr="00912900" w:rsidRDefault="00317831" w:rsidP="000958F7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317831" w:rsidRPr="00912900" w:rsidRDefault="00317831" w:rsidP="000958F7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подпись, М.П.)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</w:tc>
        <w:tc>
          <w:tcPr>
            <w:tcW w:w="5240" w:type="dxa"/>
          </w:tcPr>
          <w:p w:rsidR="00317831" w:rsidRPr="00912900" w:rsidRDefault="00317831" w:rsidP="000958F7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sz w:val="22"/>
                <w:szCs w:val="22"/>
                <w:lang w:val="ru-RU"/>
              </w:rPr>
              <w:t>АО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 xml:space="preserve"> «АТС»:</w:t>
            </w:r>
          </w:p>
          <w:p w:rsidR="00317831" w:rsidRPr="00912900" w:rsidRDefault="00317831" w:rsidP="000958F7">
            <w:pPr>
              <w:pStyle w:val="Normal1"/>
              <w:ind w:firstLine="720"/>
              <w:rPr>
                <w:rFonts w:ascii="Garamond" w:hAnsi="Garamond"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>_______________________</w:t>
            </w: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__.__.__</w:t>
            </w:r>
          </w:p>
          <w:p w:rsidR="00317831" w:rsidRPr="00912900" w:rsidRDefault="00317831" w:rsidP="000958F7">
            <w:pPr>
              <w:pStyle w:val="Normal1"/>
              <w:rPr>
                <w:rFonts w:ascii="Garamond" w:hAnsi="Garamond"/>
                <w:i/>
                <w:sz w:val="22"/>
                <w:szCs w:val="22"/>
                <w:lang w:val="ru-RU"/>
              </w:rPr>
            </w:pPr>
            <w:r w:rsidRPr="00912900">
              <w:rPr>
                <w:rFonts w:ascii="Garamond" w:hAnsi="Garamond"/>
                <w:sz w:val="22"/>
                <w:szCs w:val="22"/>
                <w:lang w:val="ru-RU"/>
              </w:rPr>
              <w:tab/>
              <w:t>(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>подпись, М.П.)</w:t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</w:r>
            <w:r w:rsidRPr="00912900">
              <w:rPr>
                <w:rFonts w:ascii="Garamond" w:hAnsi="Garamond"/>
                <w:i/>
                <w:sz w:val="22"/>
                <w:szCs w:val="22"/>
                <w:lang w:val="ru-RU"/>
              </w:rPr>
              <w:tab/>
              <w:t xml:space="preserve">             (дата)</w:t>
            </w:r>
          </w:p>
        </w:tc>
      </w:tr>
    </w:tbl>
    <w:p w:rsidR="00317831" w:rsidRPr="00912900" w:rsidRDefault="00317831" w:rsidP="00317831">
      <w:pPr>
        <w:rPr>
          <w:rFonts w:ascii="Garamond" w:hAnsi="Garamond"/>
          <w:b/>
          <w:bCs/>
          <w:iCs/>
          <w:sz w:val="20"/>
          <w:szCs w:val="20"/>
        </w:rPr>
      </w:pPr>
    </w:p>
    <w:p w:rsidR="00317831" w:rsidRDefault="00317831" w:rsidP="00317831">
      <w:pPr>
        <w:jc w:val="both"/>
        <w:rPr>
          <w:rFonts w:ascii="Garamond" w:hAnsi="Garamond"/>
          <w:b/>
          <w:sz w:val="26"/>
          <w:szCs w:val="26"/>
        </w:rPr>
      </w:pPr>
    </w:p>
    <w:p w:rsidR="00464736" w:rsidRDefault="00464736" w:rsidP="000B2C08">
      <w:pPr>
        <w:jc w:val="right"/>
        <w:rPr>
          <w:rFonts w:ascii="Garamond" w:hAnsi="Garamond"/>
          <w:b/>
          <w:sz w:val="28"/>
          <w:szCs w:val="28"/>
        </w:rPr>
      </w:pPr>
    </w:p>
    <w:p w:rsidR="00BF5D7B" w:rsidRPr="00464736" w:rsidRDefault="000B2C08" w:rsidP="000B2C08">
      <w:pPr>
        <w:jc w:val="right"/>
        <w:rPr>
          <w:rFonts w:ascii="Garamond" w:hAnsi="Garamond"/>
          <w:b/>
          <w:sz w:val="28"/>
          <w:szCs w:val="28"/>
        </w:rPr>
      </w:pPr>
      <w:r w:rsidRPr="00464736">
        <w:rPr>
          <w:rFonts w:ascii="Garamond" w:hAnsi="Garamond"/>
          <w:b/>
          <w:sz w:val="28"/>
          <w:szCs w:val="28"/>
          <w:lang w:val="en-US"/>
        </w:rPr>
        <w:lastRenderedPageBreak/>
        <w:t xml:space="preserve">Приложение </w:t>
      </w:r>
      <w:r w:rsidRPr="00464736">
        <w:rPr>
          <w:rFonts w:ascii="Garamond" w:hAnsi="Garamond"/>
          <w:b/>
          <w:sz w:val="28"/>
          <w:szCs w:val="28"/>
        </w:rPr>
        <w:t>№ 8.1.2</w:t>
      </w:r>
    </w:p>
    <w:p w:rsidR="00BF5D7B" w:rsidRPr="006009D7" w:rsidRDefault="00BF5D7B" w:rsidP="00BF5D7B">
      <w:pPr>
        <w:jc w:val="both"/>
        <w:rPr>
          <w:color w:val="000000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0"/>
      </w:tblGrid>
      <w:tr w:rsidR="00BF5D7B" w:rsidRPr="00C96478" w:rsidTr="00CB6026">
        <w:tc>
          <w:tcPr>
            <w:tcW w:w="14760" w:type="dxa"/>
            <w:tcBorders>
              <w:bottom w:val="single" w:sz="4" w:space="0" w:color="auto"/>
            </w:tcBorders>
            <w:vAlign w:val="center"/>
          </w:tcPr>
          <w:p w:rsidR="00BF5D7B" w:rsidRPr="00C96478" w:rsidRDefault="00BF5D7B" w:rsidP="007A4216">
            <w:pPr>
              <w:jc w:val="both"/>
              <w:rPr>
                <w:rFonts w:ascii="Garamond" w:hAnsi="Garamond"/>
              </w:rPr>
            </w:pPr>
            <w:r w:rsidRPr="00C96478">
              <w:rPr>
                <w:rFonts w:ascii="Garamond" w:hAnsi="Garamond"/>
                <w:b/>
                <w:color w:val="000000"/>
              </w:rPr>
              <w:t xml:space="preserve">Дата вступления в силу: </w:t>
            </w:r>
            <w:r w:rsidR="007A4216" w:rsidRPr="00C96478">
              <w:rPr>
                <w:rFonts w:ascii="Garamond" w:hAnsi="Garamond"/>
              </w:rPr>
              <w:t>1 января 2017</w:t>
            </w:r>
            <w:r w:rsidRPr="00C96478">
              <w:rPr>
                <w:rFonts w:ascii="Garamond" w:hAnsi="Garamond"/>
              </w:rPr>
              <w:t xml:space="preserve"> года</w:t>
            </w:r>
            <w:r w:rsidR="007A4216" w:rsidRPr="00C96478">
              <w:rPr>
                <w:rFonts w:ascii="Garamond" w:hAnsi="Garamond"/>
              </w:rPr>
              <w:t>.</w:t>
            </w:r>
          </w:p>
        </w:tc>
      </w:tr>
    </w:tbl>
    <w:p w:rsidR="00BF5D7B" w:rsidRDefault="00BF5D7B" w:rsidP="00317831">
      <w:pPr>
        <w:jc w:val="both"/>
        <w:rPr>
          <w:rFonts w:ascii="Garamond" w:hAnsi="Garamond"/>
          <w:b/>
          <w:sz w:val="26"/>
          <w:szCs w:val="26"/>
        </w:rPr>
      </w:pPr>
    </w:p>
    <w:bookmarkEnd w:id="0"/>
    <w:bookmarkEnd w:id="1"/>
    <w:bookmarkEnd w:id="2"/>
    <w:p w:rsidR="00503BB3" w:rsidRPr="00061991" w:rsidRDefault="00503BB3" w:rsidP="00C96478">
      <w:pPr>
        <w:rPr>
          <w:rFonts w:ascii="Garamond" w:hAnsi="Garamond"/>
          <w:b/>
          <w:sz w:val="26"/>
          <w:szCs w:val="26"/>
        </w:rPr>
      </w:pPr>
      <w:r w:rsidRPr="00061991">
        <w:rPr>
          <w:rFonts w:ascii="Garamond" w:hAnsi="Garamond"/>
          <w:b/>
          <w:sz w:val="26"/>
          <w:szCs w:val="26"/>
        </w:rPr>
        <w:t>Предложения по изменениям и дополнениям в ПОЛОЖЕНИЕ  О ПОРЯДКЕ ПОЛУЧЕНИЯ СТАТУСА СУБЪЕКТА ОПТОВОГО РЫНКА И ВЕДЕНИЯ РЕЕСТРА СУБЪЕКТОВ ОПТОВОГО РЫНКА (Приложение № 1.1 к Договору о присоединении к торговой системе оптового рынка)</w:t>
      </w:r>
    </w:p>
    <w:p w:rsidR="00503BB3" w:rsidRPr="002B5432" w:rsidRDefault="00503BB3" w:rsidP="00503BB3">
      <w:pPr>
        <w:widowControl w:val="0"/>
        <w:rPr>
          <w:rFonts w:ascii="Garamond" w:hAnsi="Garamond"/>
        </w:rPr>
      </w:pPr>
    </w:p>
    <w:tbl>
      <w:tblPr>
        <w:tblW w:w="14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662"/>
        <w:gridCol w:w="7039"/>
      </w:tblGrid>
      <w:tr w:rsidR="00503BB3" w:rsidRPr="002B5432" w:rsidTr="004E58FD">
        <w:tc>
          <w:tcPr>
            <w:tcW w:w="1080" w:type="dxa"/>
            <w:vAlign w:val="center"/>
          </w:tcPr>
          <w:p w:rsidR="00503BB3" w:rsidRPr="002B5432" w:rsidRDefault="00503BB3" w:rsidP="00B4708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503BB3" w:rsidRPr="002B5432" w:rsidRDefault="00503BB3" w:rsidP="00B4708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62" w:type="dxa"/>
          </w:tcPr>
          <w:p w:rsidR="00503BB3" w:rsidRPr="008C14FB" w:rsidRDefault="00503BB3" w:rsidP="00B47086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503BB3" w:rsidRPr="002B5432" w:rsidRDefault="00503BB3" w:rsidP="00B47086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39" w:type="dxa"/>
          </w:tcPr>
          <w:p w:rsidR="00503BB3" w:rsidRPr="002B5432" w:rsidRDefault="00503BB3" w:rsidP="00B4708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503BB3" w:rsidRPr="002B5432" w:rsidRDefault="00503BB3" w:rsidP="00B47086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503BB3" w:rsidRPr="008B6D73" w:rsidTr="004E58FD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3BB3" w:rsidRPr="008B6D73" w:rsidRDefault="00503BB3" w:rsidP="00B47086">
            <w:pPr>
              <w:spacing w:after="200"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B6D73">
              <w:rPr>
                <w:rFonts w:ascii="Garamond" w:hAnsi="Garamond"/>
                <w:b/>
                <w:bCs/>
                <w:sz w:val="22"/>
                <w:szCs w:val="22"/>
              </w:rPr>
              <w:t>2.7.4.1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BB3" w:rsidRPr="008B6D73" w:rsidRDefault="00503BB3" w:rsidP="00B47086">
            <w:pPr>
              <w:spacing w:after="200"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B6D73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  <w:p w:rsidR="00503BB3" w:rsidRPr="008B6D73" w:rsidRDefault="00503BB3" w:rsidP="00B47086">
            <w:pPr>
              <w:spacing w:after="200"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8B6D73">
              <w:rPr>
                <w:rFonts w:ascii="Garamond" w:hAnsi="Garamond"/>
                <w:sz w:val="22"/>
                <w:szCs w:val="22"/>
              </w:rPr>
              <w:t xml:space="preserve">В отношении сечений коммерческого учета между ценовыми, ценовыми и неценовыми зонами оптового рынка ФСК обязана получить Акт о соответствии АИИС КУЭ техническим требованиям класса А в течение 6 (шести) месяцев с даты завершения первого расчетного периода, в отношении которого в порядке, установленном </w:t>
            </w:r>
            <w:r w:rsidRPr="008B6D73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коммерческого учета электроэнергии и мощности </w:t>
            </w:r>
            <w:r w:rsidRPr="008B6D73">
              <w:rPr>
                <w:rFonts w:ascii="Garamond" w:hAnsi="Garamond"/>
                <w:sz w:val="22"/>
                <w:szCs w:val="22"/>
              </w:rPr>
              <w:t>(Приложение № 11 к</w:t>
            </w:r>
            <w:r w:rsidRPr="008B6D73">
              <w:rPr>
                <w:rFonts w:ascii="Garamond" w:hAnsi="Garamond"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8B6D73">
              <w:rPr>
                <w:rFonts w:ascii="Garamond" w:hAnsi="Garamond"/>
                <w:sz w:val="22"/>
                <w:szCs w:val="22"/>
              </w:rPr>
              <w:t xml:space="preserve">), определена величина фактического объема перетока по соответствующему сечению между ценовыми, </w:t>
            </w:r>
            <w:r w:rsidRPr="000E6170">
              <w:rPr>
                <w:rFonts w:ascii="Garamond" w:hAnsi="Garamond"/>
                <w:sz w:val="22"/>
                <w:szCs w:val="22"/>
                <w:highlight w:val="yellow"/>
              </w:rPr>
              <w:t>а также</w:t>
            </w:r>
            <w:r w:rsidRPr="008B6D73">
              <w:rPr>
                <w:rFonts w:ascii="Garamond" w:hAnsi="Garamond"/>
                <w:sz w:val="22"/>
                <w:szCs w:val="22"/>
              </w:rPr>
              <w:t xml:space="preserve"> между ценовыми и неценовыми зонами оптового рынка.</w:t>
            </w:r>
          </w:p>
          <w:p w:rsidR="00503BB3" w:rsidRPr="008B6D73" w:rsidRDefault="00503BB3" w:rsidP="00B47086">
            <w:pPr>
              <w:spacing w:after="200"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B6D73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03BB3" w:rsidRPr="008B6D73" w:rsidRDefault="00503BB3" w:rsidP="00B47086">
            <w:pPr>
              <w:spacing w:after="200"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B6D73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  <w:p w:rsidR="0099622B" w:rsidRDefault="00503BB3" w:rsidP="00B47086">
            <w:pPr>
              <w:spacing w:after="200"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8B6D73">
              <w:rPr>
                <w:rFonts w:ascii="Garamond" w:hAnsi="Garamond"/>
                <w:sz w:val="22"/>
                <w:szCs w:val="22"/>
              </w:rPr>
              <w:t>В отношении сечений коммерческого учета между ценовыми, ценовыми и неценовыми зонами оптового рынка</w:t>
            </w:r>
            <w:r w:rsidRPr="000C5A9D">
              <w:rPr>
                <w:rFonts w:ascii="Garamond" w:hAnsi="Garamond"/>
                <w:sz w:val="22"/>
                <w:szCs w:val="22"/>
                <w:highlight w:val="yellow"/>
              </w:rPr>
              <w:t xml:space="preserve">, а также по сечениям коммерческого учета между ФСК и </w:t>
            </w:r>
            <w:r w:rsidR="005249FE" w:rsidRPr="000C5A9D">
              <w:rPr>
                <w:rFonts w:ascii="Garamond" w:hAnsi="Garamond"/>
                <w:sz w:val="22"/>
                <w:szCs w:val="22"/>
                <w:highlight w:val="yellow"/>
              </w:rPr>
              <w:t>участником оптового рынка</w:t>
            </w:r>
            <w:r w:rsidR="0099622B" w:rsidRPr="000C5A9D">
              <w:rPr>
                <w:rFonts w:ascii="Garamond" w:hAnsi="Garamond"/>
                <w:sz w:val="22"/>
                <w:szCs w:val="22"/>
                <w:highlight w:val="yellow"/>
              </w:rPr>
              <w:t xml:space="preserve">, функционирующим на территории неценовых зон оптового рынка, </w:t>
            </w:r>
            <w:r w:rsidR="005249FE" w:rsidRPr="000C5A9D">
              <w:rPr>
                <w:rFonts w:ascii="Garamond" w:hAnsi="Garamond"/>
                <w:sz w:val="22"/>
                <w:szCs w:val="22"/>
                <w:highlight w:val="yellow"/>
              </w:rPr>
              <w:t>по ГТП</w:t>
            </w:r>
            <w:r w:rsidR="0099622B" w:rsidRPr="000C5A9D">
              <w:rPr>
                <w:rFonts w:ascii="Garamond" w:hAnsi="Garamond"/>
                <w:sz w:val="22"/>
                <w:szCs w:val="22"/>
                <w:highlight w:val="yellow"/>
              </w:rPr>
              <w:t xml:space="preserve"> потребления, </w:t>
            </w:r>
            <w:r w:rsidR="00297CA2" w:rsidRPr="000C5A9D">
              <w:rPr>
                <w:rFonts w:ascii="Garamond" w:hAnsi="Garamond"/>
                <w:sz w:val="22"/>
                <w:szCs w:val="22"/>
                <w:highlight w:val="yellow"/>
              </w:rPr>
              <w:t>включающей ВЭ</w:t>
            </w:r>
            <w:r w:rsidR="0099622B" w:rsidRPr="000C5A9D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4E58FD" w:rsidRPr="000C5A9D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8B6D73">
              <w:rPr>
                <w:rFonts w:ascii="Garamond" w:hAnsi="Garamond"/>
                <w:sz w:val="22"/>
                <w:szCs w:val="22"/>
              </w:rPr>
              <w:t xml:space="preserve">обязана получить Акт о соответствии АИИС КУЭ техническим требованиям класса А в течение 6 (шести) месяцев с даты завершения первого расчетного периода, в отношении которого в порядке, установленном </w:t>
            </w:r>
            <w:r w:rsidRPr="008B6D73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коммерческого учета электроэнергии и мощности </w:t>
            </w:r>
            <w:r w:rsidRPr="008B6D73">
              <w:rPr>
                <w:rFonts w:ascii="Garamond" w:hAnsi="Garamond"/>
                <w:sz w:val="22"/>
                <w:szCs w:val="22"/>
              </w:rPr>
              <w:t>(Приложение № 11 к</w:t>
            </w:r>
            <w:r w:rsidRPr="008B6D73">
              <w:rPr>
                <w:rFonts w:ascii="Garamond" w:hAnsi="Garamond"/>
                <w:i/>
                <w:iCs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8B6D73">
              <w:rPr>
                <w:rFonts w:ascii="Garamond" w:hAnsi="Garamond"/>
                <w:sz w:val="22"/>
                <w:szCs w:val="22"/>
              </w:rPr>
              <w:t>), определена величина фактического объема перетока по соответствующему сечению между ценовыми, между ценовыми и неценовыми зонами оптового рынка</w:t>
            </w:r>
            <w:r>
              <w:rPr>
                <w:rFonts w:ascii="Garamond" w:hAnsi="Garamond"/>
                <w:sz w:val="22"/>
                <w:szCs w:val="22"/>
              </w:rPr>
              <w:t>,</w:t>
            </w:r>
            <w:r w:rsidRPr="008B6D7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0C5A9D">
              <w:rPr>
                <w:rFonts w:ascii="Garamond" w:hAnsi="Garamond"/>
                <w:sz w:val="22"/>
                <w:szCs w:val="22"/>
                <w:highlight w:val="yellow"/>
              </w:rPr>
              <w:t xml:space="preserve">а также по сечениям коммерческого учета между ФСК </w:t>
            </w:r>
            <w:r w:rsidR="0099622B" w:rsidRPr="000C5A9D">
              <w:rPr>
                <w:rFonts w:ascii="Garamond" w:hAnsi="Garamond"/>
                <w:sz w:val="22"/>
                <w:szCs w:val="22"/>
                <w:highlight w:val="yellow"/>
              </w:rPr>
              <w:t xml:space="preserve">и участником оптового рынка, функционирующим на территории неценовых зон оптового рынка, по ГТП потребления, </w:t>
            </w:r>
            <w:r w:rsidR="00297CA2" w:rsidRPr="000C5A9D">
              <w:rPr>
                <w:rFonts w:ascii="Garamond" w:hAnsi="Garamond"/>
                <w:sz w:val="22"/>
                <w:szCs w:val="22"/>
                <w:highlight w:val="yellow"/>
              </w:rPr>
              <w:t>включающей ВЭ</w:t>
            </w:r>
            <w:r w:rsidR="00EE1C46" w:rsidRPr="000C5A9D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="00EE1C46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503BB3" w:rsidRPr="0099622B" w:rsidRDefault="00503BB3" w:rsidP="00B47086">
            <w:pPr>
              <w:spacing w:after="200" w:line="276" w:lineRule="auto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B6D73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503BB3" w:rsidRDefault="00503BB3" w:rsidP="00503BB3">
      <w:pPr>
        <w:jc w:val="both"/>
        <w:rPr>
          <w:rFonts w:ascii="Garamond" w:hAnsi="Garamond"/>
          <w:b/>
          <w:sz w:val="26"/>
          <w:szCs w:val="26"/>
        </w:rPr>
      </w:pPr>
    </w:p>
    <w:p w:rsidR="00503BB3" w:rsidRDefault="00503BB3" w:rsidP="00503BB3">
      <w:pPr>
        <w:jc w:val="both"/>
        <w:rPr>
          <w:rFonts w:ascii="Garamond" w:hAnsi="Garamond"/>
          <w:b/>
          <w:sz w:val="26"/>
          <w:szCs w:val="26"/>
        </w:rPr>
      </w:pPr>
    </w:p>
    <w:p w:rsidR="007808C9" w:rsidRPr="008A5834" w:rsidRDefault="007808C9" w:rsidP="00D42788">
      <w:pPr>
        <w:ind w:left="-142"/>
        <w:jc w:val="both"/>
        <w:rPr>
          <w:rFonts w:ascii="Garamond" w:hAnsi="Garamond"/>
          <w:b/>
          <w:sz w:val="26"/>
          <w:szCs w:val="26"/>
        </w:rPr>
      </w:pPr>
      <w:r w:rsidRPr="008A5834">
        <w:rPr>
          <w:rFonts w:ascii="Garamond" w:hAnsi="Garamond"/>
          <w:b/>
          <w:sz w:val="26"/>
          <w:szCs w:val="26"/>
        </w:rPr>
        <w:t>Предложения по измене</w:t>
      </w:r>
      <w:r>
        <w:rPr>
          <w:rFonts w:ascii="Garamond" w:hAnsi="Garamond"/>
          <w:b/>
          <w:sz w:val="26"/>
          <w:szCs w:val="26"/>
        </w:rPr>
        <w:t>ниям и дополнениям в РЕГЛАМЕНТ ПРОВЕДЕНИЯ КОНКУРЕНТНОГО ОТБОРА ЦЕНОВЫХ ЗАЯВОК НА СУТКИ ВПЕРЕД (Приложение № 7</w:t>
      </w:r>
      <w:r w:rsidRPr="008A5834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7808C9" w:rsidRPr="002B5432" w:rsidRDefault="007808C9" w:rsidP="007808C9">
      <w:pPr>
        <w:widowControl w:val="0"/>
        <w:rPr>
          <w:rFonts w:ascii="Garamond" w:hAnsi="Garamond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6520"/>
        <w:gridCol w:w="6642"/>
      </w:tblGrid>
      <w:tr w:rsidR="007808C9" w:rsidRPr="002B5432" w:rsidTr="0071153A">
        <w:tc>
          <w:tcPr>
            <w:tcW w:w="1598" w:type="dxa"/>
            <w:vAlign w:val="center"/>
          </w:tcPr>
          <w:p w:rsidR="007808C9" w:rsidRPr="002B5432" w:rsidRDefault="007808C9" w:rsidP="0071153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7808C9" w:rsidRPr="002B5432" w:rsidRDefault="007808C9" w:rsidP="0071153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0" w:type="dxa"/>
          </w:tcPr>
          <w:p w:rsidR="007808C9" w:rsidRPr="008C14FB" w:rsidRDefault="007808C9" w:rsidP="0071153A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7808C9" w:rsidRPr="002B5432" w:rsidRDefault="007808C9" w:rsidP="0071153A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642" w:type="dxa"/>
          </w:tcPr>
          <w:p w:rsidR="007808C9" w:rsidRPr="002B5432" w:rsidRDefault="007808C9" w:rsidP="0071153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7808C9" w:rsidRPr="002B5432" w:rsidRDefault="007808C9" w:rsidP="0071153A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808C9" w:rsidRPr="002B5432" w:rsidTr="0071153A">
        <w:tc>
          <w:tcPr>
            <w:tcW w:w="1598" w:type="dxa"/>
            <w:vAlign w:val="center"/>
          </w:tcPr>
          <w:p w:rsidR="007808C9" w:rsidRDefault="007808C9" w:rsidP="0071153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1, п. 2.2</w:t>
            </w:r>
          </w:p>
        </w:tc>
        <w:tc>
          <w:tcPr>
            <w:tcW w:w="6520" w:type="dxa"/>
          </w:tcPr>
          <w:p w:rsidR="007808C9" w:rsidRDefault="007808C9" w:rsidP="002C5F92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:rsidR="003756AB" w:rsidRPr="00FC72A3" w:rsidRDefault="003756AB" w:rsidP="00451D35">
            <w:pPr>
              <w:pStyle w:val="subclauseindent"/>
              <w:widowControl w:val="0"/>
              <w:numPr>
                <w:ilvl w:val="0"/>
                <w:numId w:val="21"/>
              </w:numPr>
              <w:ind w:left="0" w:firstLine="0"/>
              <w:rPr>
                <w:rFonts w:ascii="Garamond" w:hAnsi="Garamond"/>
                <w:color w:val="000000"/>
                <w:szCs w:val="22"/>
              </w:rPr>
            </w:pPr>
            <w:r w:rsidRPr="00FC72A3">
              <w:rPr>
                <w:rFonts w:ascii="Garamond" w:hAnsi="Garamond"/>
                <w:bCs/>
                <w:szCs w:val="22"/>
              </w:rPr>
              <w:t xml:space="preserve">Для ГТП экспорта, зарегистрированных на сечениях экспорта-импорта, в отношении которых выполнено условие, указанное в п. 6.2 </w:t>
            </w:r>
            <w:r w:rsidRPr="00FC72A3">
              <w:rPr>
                <w:rFonts w:ascii="Garamond" w:hAnsi="Garamond"/>
                <w:bCs/>
                <w:i/>
                <w:szCs w:val="22"/>
              </w:rPr>
              <w:t>Регламента покупки/продажи электроэнергии участниками оптового рынка для дальнейшего использования в целях экспорта/импорта в зарубежные энергосистемы</w:t>
            </w:r>
            <w:r w:rsidRPr="00FC72A3">
              <w:rPr>
                <w:rFonts w:ascii="Garamond" w:hAnsi="Garamond"/>
                <w:bCs/>
                <w:szCs w:val="22"/>
              </w:rPr>
              <w:t xml:space="preserve"> (Приложение № 15 к </w:t>
            </w:r>
            <w:r w:rsidRPr="00FC72A3">
              <w:rPr>
                <w:rFonts w:ascii="Garamond" w:hAnsi="Garamond"/>
                <w:bCs/>
                <w:i/>
                <w:szCs w:val="22"/>
              </w:rPr>
              <w:t>Договору о присоединении к торговой системе оптового рынка</w:t>
            </w:r>
            <w:r w:rsidRPr="00FC72A3">
              <w:rPr>
                <w:rFonts w:ascii="Garamond" w:hAnsi="Garamond"/>
                <w:bCs/>
                <w:szCs w:val="22"/>
              </w:rPr>
              <w:t>), в отношении каждой (часовой) подзаявки &lt;цена</w:t>
            </w:r>
            <w:r w:rsidRPr="00FC72A3">
              <w:rPr>
                <w:rFonts w:ascii="Garamond" w:hAnsi="Garamond"/>
                <w:color w:val="000000"/>
                <w:szCs w:val="22"/>
              </w:rPr>
              <w:t>–</w:t>
            </w:r>
            <w:r w:rsidRPr="00FC72A3">
              <w:rPr>
                <w:rFonts w:ascii="Garamond" w:hAnsi="Garamond"/>
                <w:bCs/>
                <w:szCs w:val="22"/>
              </w:rPr>
              <w:t>количество&gt; ценовой заявки участника формируются модельные узловые пары &lt;цена</w:t>
            </w:r>
            <w:r w:rsidRPr="00FC72A3">
              <w:rPr>
                <w:rFonts w:ascii="Garamond" w:hAnsi="Garamond"/>
                <w:color w:val="000000"/>
                <w:szCs w:val="22"/>
              </w:rPr>
              <w:t>–</w:t>
            </w:r>
            <w:r w:rsidRPr="00FC72A3">
              <w:rPr>
                <w:rFonts w:ascii="Garamond" w:hAnsi="Garamond"/>
                <w:bCs/>
                <w:szCs w:val="22"/>
              </w:rPr>
              <w:t xml:space="preserve">количество&gt; с ценой, равной значению параметра &lt;цена&gt; в указанной подзаявке, и значением параметра &lt;количества&gt;, равным отношению значения параметра &lt;количества&gt; в указанной подзаявке, к </w:t>
            </w:r>
            <w:r w:rsidRPr="00FC72A3">
              <w:rPr>
                <w:rFonts w:ascii="Garamond" w:hAnsi="Garamond"/>
                <w:szCs w:val="22"/>
              </w:rPr>
              <w:t>величине, равной:</w:t>
            </w:r>
          </w:p>
          <w:p w:rsidR="003756AB" w:rsidRPr="00FC72A3" w:rsidRDefault="003756AB" w:rsidP="00451D35">
            <w:pPr>
              <w:numPr>
                <w:ilvl w:val="0"/>
                <w:numId w:val="16"/>
              </w:numPr>
              <w:spacing w:before="120" w:after="120"/>
              <w:ind w:left="0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C72A3">
              <w:rPr>
                <w:rFonts w:ascii="Garamond" w:hAnsi="Garamond"/>
                <w:sz w:val="22"/>
                <w:szCs w:val="22"/>
              </w:rPr>
              <w:t>количеству узлов части актуализированной расчетной модели, соответствующей данной ГТП экспорта и представляющей зарубежную энергосистему, состояние которых является включенным, в случае если данное количество узлов отлично от нуля;</w:t>
            </w:r>
          </w:p>
          <w:p w:rsidR="003756AB" w:rsidRDefault="003756AB" w:rsidP="00451D35">
            <w:pPr>
              <w:numPr>
                <w:ilvl w:val="0"/>
                <w:numId w:val="16"/>
              </w:numPr>
              <w:spacing w:before="120" w:after="120"/>
              <w:ind w:left="0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C72A3">
              <w:rPr>
                <w:rFonts w:ascii="Garamond" w:hAnsi="Garamond"/>
                <w:sz w:val="22"/>
                <w:szCs w:val="22"/>
              </w:rPr>
              <w:t xml:space="preserve"> количеству узлов части актуализированной расчетной модели, соответствующей данной ГТП экспорта и представляющей зарубежную энергосистему, в ином случае.</w:t>
            </w:r>
          </w:p>
          <w:p w:rsidR="007808C9" w:rsidRPr="002C5F92" w:rsidRDefault="003756AB" w:rsidP="00451D35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756AB">
              <w:rPr>
                <w:rFonts w:ascii="Garamond" w:hAnsi="Garamond"/>
                <w:sz w:val="22"/>
                <w:szCs w:val="22"/>
                <w:lang w:val="en-US"/>
              </w:rPr>
              <w:t>e</w:t>
            </w:r>
            <w:r w:rsidRPr="003756AB">
              <w:rPr>
                <w:rFonts w:ascii="Garamond" w:hAnsi="Garamond"/>
                <w:sz w:val="22"/>
                <w:szCs w:val="22"/>
              </w:rPr>
              <w:t>. Для перетока электрической энергии, который в соответствии с актуализированной расчетной моделью направлен из второй ценовой зоны в неценовую зону Дальнего Востока (за исключением перетока электрической энергии в изолированны</w:t>
            </w:r>
            <w:r w:rsidRPr="003B085A">
              <w:rPr>
                <w:rFonts w:ascii="Garamond" w:hAnsi="Garamond"/>
                <w:sz w:val="22"/>
                <w:szCs w:val="22"/>
                <w:highlight w:val="yellow"/>
              </w:rPr>
              <w:t>й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 энергорайон Амурской области), формируется модельная ценопринимающая узловая пара &lt;цена-количество&gt; со значением количества, равным </w:t>
            </w:r>
            <w:r w:rsidRPr="003756AB">
              <w:rPr>
                <w:rFonts w:ascii="Garamond" w:hAnsi="Garamond"/>
                <w:color w:val="000000"/>
                <w:sz w:val="22"/>
                <w:szCs w:val="22"/>
              </w:rPr>
              <w:t>указанному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 объему перетока электрической энергии (за исключением переток</w:t>
            </w:r>
            <w:r w:rsidRPr="003B085A">
              <w:rPr>
                <w:rFonts w:ascii="Garamond" w:hAnsi="Garamond"/>
                <w:sz w:val="22"/>
                <w:szCs w:val="22"/>
                <w:highlight w:val="yellow"/>
              </w:rPr>
              <w:t>а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 электрической энергии в изолированны</w:t>
            </w:r>
            <w:r w:rsidRPr="003B085A">
              <w:rPr>
                <w:rFonts w:ascii="Garamond" w:hAnsi="Garamond"/>
                <w:sz w:val="22"/>
                <w:szCs w:val="22"/>
                <w:highlight w:val="yellow"/>
              </w:rPr>
              <w:t>й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 энергорайон Амурской области)</w:t>
            </w:r>
            <w:r w:rsidRPr="003756AB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  <w:r w:rsidR="007808C9" w:rsidRPr="003756AB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6642" w:type="dxa"/>
          </w:tcPr>
          <w:p w:rsidR="007808C9" w:rsidRDefault="007808C9" w:rsidP="002C5F92">
            <w:pPr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:rsidR="007808C9" w:rsidRPr="00FC72A3" w:rsidRDefault="007808C9" w:rsidP="00451D35">
            <w:pPr>
              <w:pStyle w:val="subclauseindent"/>
              <w:widowControl w:val="0"/>
              <w:numPr>
                <w:ilvl w:val="0"/>
                <w:numId w:val="33"/>
              </w:numPr>
              <w:ind w:left="0" w:firstLine="0"/>
              <w:rPr>
                <w:rFonts w:ascii="Garamond" w:hAnsi="Garamond"/>
                <w:color w:val="000000"/>
                <w:szCs w:val="22"/>
              </w:rPr>
            </w:pPr>
            <w:r w:rsidRPr="00FC72A3">
              <w:rPr>
                <w:rFonts w:ascii="Garamond" w:hAnsi="Garamond"/>
                <w:bCs/>
                <w:szCs w:val="22"/>
              </w:rPr>
              <w:t xml:space="preserve">Для ГТП экспорта, зарегистрированных на сечениях экспорта-импорта, в отношении которых выполнено условие, указанное в п. 6.2 </w:t>
            </w:r>
            <w:r w:rsidRPr="00FC72A3">
              <w:rPr>
                <w:rFonts w:ascii="Garamond" w:hAnsi="Garamond"/>
                <w:bCs/>
                <w:i/>
                <w:szCs w:val="22"/>
              </w:rPr>
              <w:t>Регламента покупки/продажи электроэнергии участниками оптового рынка для дальнейшего использования в целях экспорта/импорта в зарубежные энергосистемы</w:t>
            </w:r>
            <w:r w:rsidRPr="00FC72A3">
              <w:rPr>
                <w:rFonts w:ascii="Garamond" w:hAnsi="Garamond"/>
                <w:bCs/>
                <w:szCs w:val="22"/>
              </w:rPr>
              <w:t xml:space="preserve"> (Приложение № 15 к </w:t>
            </w:r>
            <w:r w:rsidRPr="00FC72A3">
              <w:rPr>
                <w:rFonts w:ascii="Garamond" w:hAnsi="Garamond"/>
                <w:bCs/>
                <w:i/>
                <w:szCs w:val="22"/>
              </w:rPr>
              <w:t>Договору о присоединении к торговой системе оптового рынка</w:t>
            </w:r>
            <w:r w:rsidRPr="00FC72A3">
              <w:rPr>
                <w:rFonts w:ascii="Garamond" w:hAnsi="Garamond"/>
                <w:bCs/>
                <w:szCs w:val="22"/>
              </w:rPr>
              <w:t>), в отношении каждой (часовой) подзаявки &lt;цена</w:t>
            </w:r>
            <w:r w:rsidRPr="00FC72A3">
              <w:rPr>
                <w:rFonts w:ascii="Garamond" w:hAnsi="Garamond"/>
                <w:color w:val="000000"/>
                <w:szCs w:val="22"/>
              </w:rPr>
              <w:t>–</w:t>
            </w:r>
            <w:r w:rsidRPr="00FC72A3">
              <w:rPr>
                <w:rFonts w:ascii="Garamond" w:hAnsi="Garamond"/>
                <w:bCs/>
                <w:szCs w:val="22"/>
              </w:rPr>
              <w:t>количество&gt; ценовой заявки участника формируются модельные узловые пары &lt;цена</w:t>
            </w:r>
            <w:r w:rsidRPr="00FC72A3">
              <w:rPr>
                <w:rFonts w:ascii="Garamond" w:hAnsi="Garamond"/>
                <w:color w:val="000000"/>
                <w:szCs w:val="22"/>
              </w:rPr>
              <w:t>–</w:t>
            </w:r>
            <w:r w:rsidRPr="00FC72A3">
              <w:rPr>
                <w:rFonts w:ascii="Garamond" w:hAnsi="Garamond"/>
                <w:bCs/>
                <w:szCs w:val="22"/>
              </w:rPr>
              <w:t xml:space="preserve">количество&gt; с ценой, равной значению параметра &lt;цена&gt; в указанной подзаявке, и значением параметра &lt;количества&gt;, равным отношению значения параметра &lt;количества&gt; в указанной подзаявке, к </w:t>
            </w:r>
            <w:r w:rsidRPr="00FC72A3">
              <w:rPr>
                <w:rFonts w:ascii="Garamond" w:hAnsi="Garamond"/>
                <w:szCs w:val="22"/>
              </w:rPr>
              <w:t>величине, равной:</w:t>
            </w:r>
          </w:p>
          <w:p w:rsidR="007808C9" w:rsidRPr="00FC72A3" w:rsidRDefault="007808C9" w:rsidP="00451D35">
            <w:pPr>
              <w:numPr>
                <w:ilvl w:val="0"/>
                <w:numId w:val="16"/>
              </w:numPr>
              <w:spacing w:before="120" w:after="120"/>
              <w:ind w:left="0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C72A3">
              <w:rPr>
                <w:rFonts w:ascii="Garamond" w:hAnsi="Garamond"/>
                <w:sz w:val="22"/>
                <w:szCs w:val="22"/>
              </w:rPr>
              <w:t>количеству узлов части актуализированной расчетной модели, соответствующей данной ГТП экспорта и представляющей зарубежную энергосистему, состояние которых является включенным, в случае если данное количество узлов отлично от нуля;</w:t>
            </w:r>
          </w:p>
          <w:p w:rsidR="007808C9" w:rsidRDefault="007808C9" w:rsidP="00451D35">
            <w:pPr>
              <w:numPr>
                <w:ilvl w:val="0"/>
                <w:numId w:val="16"/>
              </w:numPr>
              <w:spacing w:before="120" w:after="120"/>
              <w:ind w:left="0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FC72A3">
              <w:rPr>
                <w:rFonts w:ascii="Garamond" w:hAnsi="Garamond"/>
                <w:sz w:val="22"/>
                <w:szCs w:val="22"/>
              </w:rPr>
              <w:t xml:space="preserve"> количеству узлов части актуализированной расчетной модели, соответствующей данной ГТП экспорта и представляющей зарубежную энергосистему, в ином случае.</w:t>
            </w:r>
          </w:p>
          <w:p w:rsidR="007808C9" w:rsidRPr="002C5F92" w:rsidRDefault="007808C9" w:rsidP="00451D35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3756AB">
              <w:rPr>
                <w:rFonts w:ascii="Garamond" w:hAnsi="Garamond"/>
                <w:sz w:val="22"/>
                <w:szCs w:val="22"/>
                <w:lang w:val="en-US"/>
              </w:rPr>
              <w:t>e</w:t>
            </w:r>
            <w:r w:rsidRPr="003756AB">
              <w:rPr>
                <w:rFonts w:ascii="Garamond" w:hAnsi="Garamond"/>
                <w:sz w:val="22"/>
                <w:szCs w:val="22"/>
              </w:rPr>
              <w:t>. Для перетока электрической энергии, который в соответствии с актуализированной расчетной моделью направлен из второй ценовой зоны в неценовую зону Дальнего Востока (за исключением перетока электрической энергии в изолированны</w:t>
            </w:r>
            <w:r w:rsidR="003B085A" w:rsidRPr="003B085A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 энергорайон</w:t>
            </w:r>
            <w:r w:rsidR="003B085A" w:rsidRPr="003B085A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 Амурской области</w:t>
            </w:r>
            <w:r w:rsidR="003756A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756AB" w:rsidRPr="003756AB">
              <w:rPr>
                <w:rFonts w:ascii="Garamond" w:hAnsi="Garamond"/>
                <w:sz w:val="22"/>
                <w:szCs w:val="22"/>
                <w:highlight w:val="yellow"/>
              </w:rPr>
              <w:t xml:space="preserve">и </w:t>
            </w:r>
            <w:r w:rsidR="00835B9E">
              <w:rPr>
                <w:rFonts w:ascii="Garamond" w:hAnsi="Garamond"/>
                <w:sz w:val="22"/>
                <w:szCs w:val="22"/>
                <w:highlight w:val="yellow"/>
              </w:rPr>
              <w:t xml:space="preserve">(или) </w:t>
            </w:r>
            <w:r w:rsidR="003756AB" w:rsidRPr="003756AB">
              <w:rPr>
                <w:rFonts w:ascii="Garamond" w:hAnsi="Garamond"/>
                <w:sz w:val="22"/>
                <w:szCs w:val="22"/>
                <w:highlight w:val="yellow"/>
              </w:rPr>
              <w:t xml:space="preserve">Республики </w:t>
            </w:r>
            <w:r w:rsidR="003756AB">
              <w:rPr>
                <w:rFonts w:ascii="Garamond" w:hAnsi="Garamond"/>
                <w:sz w:val="22"/>
                <w:szCs w:val="22"/>
                <w:highlight w:val="yellow"/>
              </w:rPr>
              <w:t xml:space="preserve">(Саха) </w:t>
            </w:r>
            <w:r w:rsidR="003756AB" w:rsidRPr="003756AB">
              <w:rPr>
                <w:rFonts w:ascii="Garamond" w:hAnsi="Garamond"/>
                <w:sz w:val="22"/>
                <w:szCs w:val="22"/>
                <w:highlight w:val="yellow"/>
              </w:rPr>
              <w:t>Якутия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), формируется модельная ценопринимающая узловая пара &lt;цена-количество&gt; со значением количества, равным </w:t>
            </w:r>
            <w:r w:rsidRPr="003756AB">
              <w:rPr>
                <w:rFonts w:ascii="Garamond" w:hAnsi="Garamond"/>
                <w:color w:val="000000"/>
                <w:sz w:val="22"/>
                <w:szCs w:val="22"/>
              </w:rPr>
              <w:t>указанному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 объему перетока электрической энергии (за исключением переток</w:t>
            </w:r>
            <w:r w:rsidR="003756AB" w:rsidRPr="003756AB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 элект</w:t>
            </w:r>
            <w:r w:rsidR="003756AB">
              <w:rPr>
                <w:rFonts w:ascii="Garamond" w:hAnsi="Garamond"/>
                <w:sz w:val="22"/>
                <w:szCs w:val="22"/>
              </w:rPr>
              <w:t>рической энергии в изолированны</w:t>
            </w:r>
            <w:r w:rsidR="003756AB" w:rsidRPr="003756AB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 энергорайон</w:t>
            </w:r>
            <w:r w:rsidR="003756AB" w:rsidRPr="003756AB">
              <w:rPr>
                <w:rFonts w:ascii="Garamond" w:hAnsi="Garamond"/>
                <w:sz w:val="22"/>
                <w:szCs w:val="22"/>
                <w:highlight w:val="yellow"/>
              </w:rPr>
              <w:t>ы</w:t>
            </w:r>
            <w:r w:rsidRPr="003756AB">
              <w:rPr>
                <w:rFonts w:ascii="Garamond" w:hAnsi="Garamond"/>
                <w:sz w:val="22"/>
                <w:szCs w:val="22"/>
              </w:rPr>
              <w:t xml:space="preserve"> Амурской области</w:t>
            </w:r>
            <w:r w:rsidR="003756A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756AB" w:rsidRPr="003756AB">
              <w:rPr>
                <w:rFonts w:ascii="Garamond" w:hAnsi="Garamond"/>
                <w:sz w:val="22"/>
                <w:szCs w:val="22"/>
                <w:highlight w:val="yellow"/>
              </w:rPr>
              <w:t xml:space="preserve">и </w:t>
            </w:r>
            <w:r w:rsidR="00835B9E">
              <w:rPr>
                <w:rFonts w:ascii="Garamond" w:hAnsi="Garamond"/>
                <w:sz w:val="22"/>
                <w:szCs w:val="22"/>
                <w:highlight w:val="yellow"/>
              </w:rPr>
              <w:t xml:space="preserve">(или) </w:t>
            </w:r>
            <w:r w:rsidR="003756AB" w:rsidRPr="003756AB">
              <w:rPr>
                <w:rFonts w:ascii="Garamond" w:hAnsi="Garamond"/>
                <w:sz w:val="22"/>
                <w:szCs w:val="22"/>
                <w:highlight w:val="yellow"/>
              </w:rPr>
              <w:t>Республики Саха(Якутия)</w:t>
            </w:r>
            <w:r w:rsidRPr="003756AB">
              <w:rPr>
                <w:rFonts w:ascii="Garamond" w:hAnsi="Garamond"/>
                <w:sz w:val="22"/>
                <w:szCs w:val="22"/>
              </w:rPr>
              <w:t>)</w:t>
            </w:r>
            <w:r w:rsidRPr="003756AB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</w:tc>
      </w:tr>
      <w:tr w:rsidR="007808C9" w:rsidRPr="002B5432" w:rsidTr="0071153A">
        <w:tc>
          <w:tcPr>
            <w:tcW w:w="1598" w:type="dxa"/>
            <w:vAlign w:val="center"/>
          </w:tcPr>
          <w:p w:rsidR="007808C9" w:rsidRDefault="007808C9" w:rsidP="0071153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2, п. 2</w:t>
            </w:r>
          </w:p>
        </w:tc>
        <w:tc>
          <w:tcPr>
            <w:tcW w:w="6520" w:type="dxa"/>
          </w:tcPr>
          <w:p w:rsidR="0047096A" w:rsidRDefault="0047096A" w:rsidP="0047096A">
            <w:pPr>
              <w:jc w:val="both"/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</w:pPr>
            <w:r w:rsidRPr="00110199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object w:dxaOrig="7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27pt" o:ole="">
                  <v:imagedata r:id="rId7" o:title=""/>
                </v:shape>
                <o:OLEObject Type="Embed" ProgID="Equation.3" ShapeID="_x0000_i1025" DrawAspect="Content" ObjectID="_1541322781" r:id="rId8"/>
              </w:objec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</w:t>
            </w:r>
            <w:r w:rsidR="00272C87" w:rsidRPr="00272C87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«среднечасовая» активная мощность перетока </w:t>
            </w:r>
            <w:r w:rsidR="00272C87" w:rsidRPr="00272C87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lastRenderedPageBreak/>
              <w:t>электрической энергии из неценовой зоны Дальнего Востока во вторую ценовую зону (за исключением перетока электрической энергии в изолированный энергорайон Забайкальского края) в час t</w:t>
            </w:r>
          </w:p>
          <w:p w:rsidR="007808C9" w:rsidRPr="00A259A0" w:rsidRDefault="0047096A" w:rsidP="0047096A">
            <w:pPr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10199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object w:dxaOrig="680" w:dyaOrig="380">
                <v:shape id="_x0000_i1026" type="#_x0000_t75" style="width:49.5pt;height:27pt" o:ole="">
                  <v:imagedata r:id="rId9" o:title=""/>
                </v:shape>
                <o:OLEObject Type="Embed" ProgID="Equation.3" ShapeID="_x0000_i1026" DrawAspect="Content" ObjectID="_1541322782" r:id="rId10"/>
              </w:objec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«среднечасовая» активная мощность перетока электрической энергии из второй ценовой зоны в неценовую зону Дальнего Востока (за исключением переток</w:t>
            </w:r>
            <w:r w:rsidRPr="003B085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>а</w: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электрической энергии в изолированны</w:t>
            </w:r>
            <w:r w:rsidRPr="003B085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>й</w: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энергорайон Амурской области) в час </w:t>
            </w:r>
            <w:r w:rsidRPr="00110199">
              <w:rPr>
                <w:rFonts w:ascii="Garamond" w:hAnsi="Garamond"/>
                <w:i/>
                <w:noProof/>
                <w:color w:val="000000"/>
                <w:position w:val="-12"/>
                <w:sz w:val="22"/>
                <w:szCs w:val="22"/>
                <w:lang w:val="en-US" w:eastAsia="en-US"/>
              </w:rPr>
              <w:t>t</w:t>
            </w:r>
          </w:p>
        </w:tc>
        <w:tc>
          <w:tcPr>
            <w:tcW w:w="6642" w:type="dxa"/>
          </w:tcPr>
          <w:p w:rsidR="007808C9" w:rsidRDefault="007808C9" w:rsidP="0071153A">
            <w:pPr>
              <w:jc w:val="both"/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</w:pPr>
            <w:r w:rsidRPr="00110199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object w:dxaOrig="700" w:dyaOrig="380">
                <v:shape id="_x0000_i1027" type="#_x0000_t75" style="width:51pt;height:27pt" o:ole="">
                  <v:imagedata r:id="rId7" o:title=""/>
                </v:shape>
                <o:OLEObject Type="Embed" ProgID="Equation.3" ShapeID="_x0000_i1027" DrawAspect="Content" ObjectID="_1541322783" r:id="rId11"/>
              </w:objec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«среднечасовая» активная мощность перетока </w: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lastRenderedPageBreak/>
              <w:t xml:space="preserve">электрической энергии из неценовой зоны Дальнего Востока во вторую ценовую зону (за исключением перетока электрической энергии в изолированный энергорайон </w:t>
            </w:r>
            <w:r w:rsidR="00272C87" w:rsidRPr="00272C87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>Забайкальского края</w: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) в час </w:t>
            </w:r>
            <w:r w:rsidRPr="00110199">
              <w:rPr>
                <w:rFonts w:ascii="Garamond" w:hAnsi="Garamond"/>
                <w:i/>
                <w:noProof/>
                <w:color w:val="000000"/>
                <w:position w:val="-12"/>
                <w:sz w:val="22"/>
                <w:szCs w:val="22"/>
                <w:lang w:val="en-US" w:eastAsia="en-US"/>
              </w:rPr>
              <w:t>t</w:t>
            </w:r>
          </w:p>
          <w:p w:rsidR="007808C9" w:rsidRPr="0047096A" w:rsidRDefault="007808C9" w:rsidP="0071153A">
            <w:pPr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10199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object w:dxaOrig="680" w:dyaOrig="380">
                <v:shape id="_x0000_i1028" type="#_x0000_t75" style="width:49.5pt;height:27pt" o:ole="">
                  <v:imagedata r:id="rId9" o:title=""/>
                </v:shape>
                <o:OLEObject Type="Embed" ProgID="Equation.3" ShapeID="_x0000_i1028" DrawAspect="Content" ObjectID="_1541322784" r:id="rId12"/>
              </w:objec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«среднечасовая» активная мощность перетока электрической энергии из второй ценовой зоны в неценовую зону Дальнего Востока (за ис</w:t>
            </w:r>
            <w:r w:rsid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>ключением переток</w:t>
            </w:r>
            <w:r w:rsidR="0047096A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>ов</w: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элект</w:t>
            </w:r>
            <w:r w:rsid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>рической энергии в изолированны</w:t>
            </w:r>
            <w:r w:rsidR="0047096A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>е</w: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энергорайон</w:t>
            </w:r>
            <w:r w:rsidR="0047096A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>ы</w: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Амурской области</w:t>
            </w:r>
            <w:r w:rsid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и </w:t>
            </w:r>
            <w:r w:rsidR="0047096A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 xml:space="preserve">и </w:t>
            </w:r>
            <w:r w:rsidR="00835B9E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 xml:space="preserve">(или) </w:t>
            </w:r>
            <w:r w:rsidR="0047096A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>Республики Саха (Якутия)</w: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) в час </w:t>
            </w:r>
            <w:r w:rsidRPr="00110199">
              <w:rPr>
                <w:rFonts w:ascii="Garamond" w:hAnsi="Garamond"/>
                <w:i/>
                <w:noProof/>
                <w:color w:val="000000"/>
                <w:position w:val="-12"/>
                <w:sz w:val="22"/>
                <w:szCs w:val="22"/>
                <w:lang w:val="en-US" w:eastAsia="en-US"/>
              </w:rPr>
              <w:t>t</w:t>
            </w:r>
            <w:r w:rsidR="0047096A">
              <w:rPr>
                <w:rFonts w:ascii="Garamond" w:hAnsi="Garamond"/>
                <w:i/>
                <w:noProof/>
                <w:color w:val="000000"/>
                <w:position w:val="-12"/>
                <w:sz w:val="22"/>
                <w:szCs w:val="22"/>
                <w:lang w:eastAsia="en-US"/>
              </w:rPr>
              <w:t>.</w:t>
            </w:r>
          </w:p>
        </w:tc>
      </w:tr>
      <w:tr w:rsidR="007808C9" w:rsidRPr="002B5432" w:rsidTr="0071153A">
        <w:tc>
          <w:tcPr>
            <w:tcW w:w="1598" w:type="dxa"/>
            <w:vAlign w:val="center"/>
          </w:tcPr>
          <w:p w:rsidR="007808C9" w:rsidRDefault="007808C9" w:rsidP="0071153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2, п. 3</w:t>
            </w:r>
          </w:p>
        </w:tc>
        <w:tc>
          <w:tcPr>
            <w:tcW w:w="6520" w:type="dxa"/>
          </w:tcPr>
          <w:p w:rsidR="00B95AF4" w:rsidRDefault="00B95AF4" w:rsidP="00B95AF4">
            <w:pPr>
              <w:jc w:val="both"/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</w:pPr>
            <w:r w:rsidRPr="00110199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object w:dxaOrig="1100" w:dyaOrig="380">
                <v:shape id="_x0000_i1029" type="#_x0000_t75" style="width:80.25pt;height:27pt" o:ole="">
                  <v:imagedata r:id="rId13" o:title=""/>
                </v:shape>
                <o:OLEObject Type="Embed" ProgID="Equation.3" ShapeID="_x0000_i1029" DrawAspect="Content" ObjectID="_1541322785" r:id="rId14"/>
              </w:object>
            </w:r>
            <w:r w:rsidRPr="00B95AF4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>переданный в составе актуализированной расчетной модели объем перетока электрической энергии из неценовой зоны Дальнего Востока во вторую ценовую зону (за исключением перетока электрической энергии в изолированный энергорайон Забайкальского края) в час t</w:t>
            </w:r>
          </w:p>
          <w:p w:rsidR="007808C9" w:rsidRPr="00A259A0" w:rsidRDefault="00B95AF4" w:rsidP="00B95AF4">
            <w:pPr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110199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object w:dxaOrig="1100" w:dyaOrig="380">
                <v:shape id="_x0000_i1030" type="#_x0000_t75" style="width:80.25pt;height:27pt" o:ole="">
                  <v:imagedata r:id="rId15" o:title=""/>
                </v:shape>
                <o:OLEObject Type="Embed" ProgID="Equation.3" ShapeID="_x0000_i1030" DrawAspect="Content" ObjectID="_1541322786" r:id="rId16"/>
              </w:object>
            </w:r>
            <w:r w:rsidRPr="00B95AF4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>переданный в составе актуализированной расчетной модели объем перетока электрической энергии из второй ценовой зоны и неценовую зону Дальнего Востока (за исключением перетока электрической энергии в изолированный энергорайон Амурской области) в час t</w:t>
            </w:r>
          </w:p>
        </w:tc>
        <w:tc>
          <w:tcPr>
            <w:tcW w:w="6642" w:type="dxa"/>
          </w:tcPr>
          <w:p w:rsidR="007808C9" w:rsidRDefault="007808C9" w:rsidP="0071153A">
            <w:pPr>
              <w:jc w:val="both"/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</w:pPr>
            <w:r w:rsidRPr="00110199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object w:dxaOrig="1100" w:dyaOrig="380">
                <v:shape id="_x0000_i1031" type="#_x0000_t75" style="width:80.25pt;height:27pt" o:ole="">
                  <v:imagedata r:id="rId13" o:title=""/>
                </v:shape>
                <o:OLEObject Type="Embed" ProgID="Equation.3" ShapeID="_x0000_i1031" DrawAspect="Content" ObjectID="_1541322787" r:id="rId17"/>
              </w:objec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переданный в составе актуализированной расчетной модели объем перетока электрической энергии из неценовой зоны Дальнего Востока во вторую ценовую зону (за исключением перетока электрической энергии в изолированный энергорайон </w:t>
            </w:r>
            <w:r w:rsidR="00B95AF4" w:rsidRPr="00B95AF4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>Забайкальского края</w: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) в час </w:t>
            </w:r>
            <w:r w:rsidRPr="00110199">
              <w:rPr>
                <w:rFonts w:ascii="Garamond" w:hAnsi="Garamond"/>
                <w:i/>
                <w:noProof/>
                <w:color w:val="000000"/>
                <w:position w:val="-12"/>
                <w:sz w:val="22"/>
                <w:szCs w:val="22"/>
                <w:lang w:val="en-US" w:eastAsia="en-US"/>
              </w:rPr>
              <w:t>t</w:t>
            </w:r>
          </w:p>
          <w:p w:rsidR="007808C9" w:rsidRPr="00110199" w:rsidRDefault="007808C9" w:rsidP="0071153A">
            <w:pPr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110199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object w:dxaOrig="1100" w:dyaOrig="380">
                <v:shape id="_x0000_i1032" type="#_x0000_t75" style="width:80.25pt;height:27pt" o:ole="">
                  <v:imagedata r:id="rId15" o:title=""/>
                </v:shape>
                <o:OLEObject Type="Embed" ProgID="Equation.3" ShapeID="_x0000_i1032" DrawAspect="Content" ObjectID="_1541322788" r:id="rId18"/>
              </w:objec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>переданный в составе актуализированной расчетной модели объем перетока электрической энергии из второй ценовой зоны и неценовую зону Дальнего Востока (</w:t>
            </w:r>
            <w:r w:rsid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>за исключением переток</w:t>
            </w:r>
            <w:r w:rsidR="0047096A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>ов</w:t>
            </w:r>
            <w:r w:rsid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электрической энергии в изолированны</w:t>
            </w:r>
            <w:r w:rsidR="0047096A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>е</w:t>
            </w:r>
            <w:r w:rsid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энергорайон</w:t>
            </w:r>
            <w:r w:rsidR="0047096A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>ы</w:t>
            </w:r>
            <w:r w:rsid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Амурской областии </w:t>
            </w:r>
            <w:r w:rsidR="0047096A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 xml:space="preserve">и </w:t>
            </w:r>
            <w:r w:rsidR="00835B9E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 xml:space="preserve">(или) </w:t>
            </w:r>
            <w:r w:rsidR="0047096A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highlight w:val="yellow"/>
                <w:lang w:eastAsia="en-US"/>
              </w:rPr>
              <w:t>Республики Саха (Якутия)</w:t>
            </w:r>
            <w:r w:rsidR="00D42788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в час </w:t>
            </w:r>
            <w:r w:rsidRPr="00110199">
              <w:rPr>
                <w:rFonts w:ascii="Garamond" w:hAnsi="Garamond"/>
                <w:i/>
                <w:noProof/>
                <w:color w:val="000000"/>
                <w:position w:val="-12"/>
                <w:sz w:val="22"/>
                <w:szCs w:val="22"/>
                <w:lang w:val="en-US" w:eastAsia="en-US"/>
              </w:rPr>
              <w:t>t</w:t>
            </w:r>
          </w:p>
        </w:tc>
      </w:tr>
    </w:tbl>
    <w:p w:rsidR="007808C9" w:rsidRDefault="007808C9" w:rsidP="007808C9">
      <w:pPr>
        <w:tabs>
          <w:tab w:val="left" w:pos="1134"/>
        </w:tabs>
        <w:ind w:left="-142"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</w:p>
    <w:p w:rsidR="007808C9" w:rsidRPr="008A5834" w:rsidRDefault="007808C9" w:rsidP="007A4216">
      <w:pPr>
        <w:ind w:left="-142"/>
        <w:jc w:val="both"/>
        <w:rPr>
          <w:rFonts w:ascii="Garamond" w:hAnsi="Garamond"/>
          <w:b/>
          <w:sz w:val="26"/>
          <w:szCs w:val="26"/>
        </w:rPr>
      </w:pPr>
      <w:r w:rsidRPr="008A5834">
        <w:rPr>
          <w:rFonts w:ascii="Garamond" w:hAnsi="Garamond"/>
          <w:b/>
          <w:sz w:val="26"/>
          <w:szCs w:val="26"/>
        </w:rPr>
        <w:t>Предложения по измене</w:t>
      </w:r>
      <w:r>
        <w:rPr>
          <w:rFonts w:ascii="Garamond" w:hAnsi="Garamond"/>
          <w:b/>
          <w:sz w:val="26"/>
          <w:szCs w:val="26"/>
        </w:rPr>
        <w:t>ниям и дополнениям в РЕГЛАМЕНТ РАСЧЕТА ПЛАНОВЫХ ОБЪЕМОВ ПРОИЗВОДСТВА И ПОТРЕБЛЕНИЯ И РАСЧЕТА СТОИМОСТИ ЭЛЕКТРОЭНЕРГИИ НА СУТКИ ВПЕРЕД (Приложение № 8</w:t>
      </w:r>
      <w:r w:rsidRPr="008A5834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7808C9" w:rsidRPr="002B5432" w:rsidRDefault="007808C9" w:rsidP="007808C9">
      <w:pPr>
        <w:widowControl w:val="0"/>
        <w:rPr>
          <w:rFonts w:ascii="Garamond" w:hAnsi="Garamond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6520"/>
        <w:gridCol w:w="6642"/>
      </w:tblGrid>
      <w:tr w:rsidR="007808C9" w:rsidRPr="002B5432" w:rsidTr="0071153A">
        <w:tc>
          <w:tcPr>
            <w:tcW w:w="1598" w:type="dxa"/>
            <w:vAlign w:val="center"/>
          </w:tcPr>
          <w:p w:rsidR="007808C9" w:rsidRPr="002B5432" w:rsidRDefault="007808C9" w:rsidP="0071153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7808C9" w:rsidRPr="002B5432" w:rsidRDefault="007808C9" w:rsidP="0071153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0" w:type="dxa"/>
          </w:tcPr>
          <w:p w:rsidR="007808C9" w:rsidRPr="008C14FB" w:rsidRDefault="007808C9" w:rsidP="0071153A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7808C9" w:rsidRPr="002B5432" w:rsidRDefault="007808C9" w:rsidP="0071153A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642" w:type="dxa"/>
          </w:tcPr>
          <w:p w:rsidR="007808C9" w:rsidRPr="002B5432" w:rsidRDefault="007808C9" w:rsidP="0071153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7808C9" w:rsidRPr="002B5432" w:rsidRDefault="007808C9" w:rsidP="0071153A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295AE8" w:rsidRPr="002B5432" w:rsidTr="0047096A">
        <w:tc>
          <w:tcPr>
            <w:tcW w:w="1598" w:type="dxa"/>
            <w:vAlign w:val="center"/>
          </w:tcPr>
          <w:p w:rsidR="00295AE8" w:rsidRDefault="00295AE8" w:rsidP="00304CC8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3.1.7</w:t>
            </w:r>
          </w:p>
        </w:tc>
        <w:tc>
          <w:tcPr>
            <w:tcW w:w="6520" w:type="dxa"/>
          </w:tcPr>
          <w:p w:rsidR="00295AE8" w:rsidRPr="00963F8B" w:rsidRDefault="00295AE8" w:rsidP="00304CC8">
            <w:pPr>
              <w:pStyle w:val="40"/>
              <w:numPr>
                <w:ilvl w:val="0"/>
                <w:numId w:val="0"/>
              </w:numPr>
              <w:tabs>
                <w:tab w:val="num" w:pos="175"/>
              </w:tabs>
              <w:ind w:left="175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Плановый физический небаланс</w:t>
            </w:r>
          </w:p>
          <w:p w:rsidR="00295AE8" w:rsidRPr="00963F8B" w:rsidRDefault="00295AE8" w:rsidP="00304CC8">
            <w:pPr>
              <w:pStyle w:val="40"/>
              <w:numPr>
                <w:ilvl w:val="0"/>
                <w:numId w:val="0"/>
              </w:numPr>
              <w:tabs>
                <w:tab w:val="num" w:pos="175"/>
              </w:tabs>
              <w:ind w:left="175"/>
              <w:rPr>
                <w:rFonts w:ascii="Garamond" w:hAnsi="Garamond"/>
                <w:szCs w:val="22"/>
              </w:rPr>
            </w:pPr>
            <w:r w:rsidRPr="00F2767B">
              <w:rPr>
                <w:rFonts w:ascii="Garamond" w:hAnsi="Garamond"/>
                <w:position w:val="-14"/>
                <w:szCs w:val="22"/>
              </w:rPr>
              <w:object w:dxaOrig="560" w:dyaOrig="400">
                <v:shape id="_x0000_i1033" type="#_x0000_t75" style="width:38.25pt;height:28.5pt" o:ole="">
                  <v:imagedata r:id="rId19" o:title=""/>
                </v:shape>
                <o:OLEObject Type="Embed" ProgID="Equation.3" ShapeID="_x0000_i1033" DrawAspect="Content" ObjectID="_1541322789" r:id="rId20"/>
              </w:object>
            </w:r>
            <w:r w:rsidRPr="00963F8B">
              <w:rPr>
                <w:rFonts w:ascii="Garamond" w:hAnsi="Garamond"/>
                <w:szCs w:val="22"/>
              </w:rPr>
              <w:t xml:space="preserve"> [МВт∙ч] – плановый физический неб</w:t>
            </w:r>
            <w:r>
              <w:rPr>
                <w:rFonts w:ascii="Garamond" w:hAnsi="Garamond"/>
                <w:szCs w:val="22"/>
              </w:rPr>
              <w:t xml:space="preserve">аланс в час операционных суток </w:t>
            </w:r>
            <w:r w:rsidRPr="00AA1F70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963F8B">
              <w:rPr>
                <w:rFonts w:ascii="Garamond" w:hAnsi="Garamond"/>
                <w:szCs w:val="22"/>
              </w:rPr>
              <w:t>.</w:t>
            </w:r>
          </w:p>
          <w:p w:rsidR="00295AE8" w:rsidRPr="00963F8B" w:rsidRDefault="00295AE8" w:rsidP="00304CC8">
            <w:pPr>
              <w:pStyle w:val="subsubclauseindent"/>
              <w:tabs>
                <w:tab w:val="num" w:pos="175"/>
              </w:tabs>
              <w:spacing w:after="0"/>
              <w:ind w:left="175"/>
              <w:rPr>
                <w:rFonts w:ascii="Garamond" w:hAnsi="Garamond"/>
                <w:szCs w:val="22"/>
                <w:lang w:val="ru-RU"/>
              </w:rPr>
            </w:pPr>
            <w:r w:rsidRPr="00963F8B">
              <w:rPr>
                <w:rFonts w:ascii="Garamond" w:hAnsi="Garamond"/>
                <w:szCs w:val="22"/>
                <w:lang w:val="ru-RU"/>
              </w:rPr>
              <w:t xml:space="preserve">КО рассчитывает величину </w:t>
            </w:r>
            <w:r w:rsidRPr="00F2767B">
              <w:rPr>
                <w:rFonts w:ascii="Garamond" w:hAnsi="Garamond"/>
                <w:position w:val="-14"/>
                <w:szCs w:val="22"/>
              </w:rPr>
              <w:object w:dxaOrig="560" w:dyaOrig="400">
                <v:shape id="_x0000_i1034" type="#_x0000_t75" style="width:38.25pt;height:28.5pt" o:ole="">
                  <v:imagedata r:id="rId21" o:title=""/>
                </v:shape>
                <o:OLEObject Type="Embed" ProgID="Equation.3" ShapeID="_x0000_i1034" DrawAspect="Content" ObjectID="_1541322790" r:id="rId22"/>
              </w:object>
            </w:r>
            <w:r w:rsidRPr="00963F8B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:rsidR="00295AE8" w:rsidRPr="00BA46CD" w:rsidRDefault="007A4216" w:rsidP="00304CC8">
            <w:pPr>
              <w:pStyle w:val="subsubclauseindent"/>
              <w:tabs>
                <w:tab w:val="num" w:pos="175"/>
              </w:tabs>
              <w:spacing w:after="0"/>
              <w:ind w:left="175" w:right="-993"/>
              <w:rPr>
                <w:rFonts w:ascii="Garamond" w:hAnsi="Garamond"/>
                <w:szCs w:val="22"/>
                <w:lang w:val="ru-RU"/>
              </w:rPr>
            </w:pPr>
            <w:r w:rsidRPr="00AB1416">
              <w:rPr>
                <w:rFonts w:ascii="Garamond" w:hAnsi="Garamond"/>
                <w:position w:val="-50"/>
                <w:szCs w:val="22"/>
                <w:highlight w:val="yellow"/>
                <w:lang w:val="ru-RU"/>
              </w:rPr>
              <w:object w:dxaOrig="8260" w:dyaOrig="1120">
                <v:shape id="_x0000_i1035" type="#_x0000_t75" style="width:294.75pt;height:41.25pt" o:ole="">
                  <v:imagedata r:id="rId23" o:title=""/>
                </v:shape>
                <o:OLEObject Type="Embed" ProgID="Equation.3" ShapeID="_x0000_i1035" DrawAspect="Content" ObjectID="_1541322791" r:id="rId24"/>
              </w:object>
            </w:r>
            <w:r w:rsidR="00295AE8" w:rsidRPr="00BA46CD">
              <w:rPr>
                <w:rFonts w:ascii="Garamond" w:hAnsi="Garamond"/>
                <w:szCs w:val="22"/>
                <w:lang w:val="ru-RU"/>
              </w:rPr>
              <w:t>,</w:t>
            </w:r>
          </w:p>
          <w:p w:rsidR="00295AE8" w:rsidRPr="00C44F9E" w:rsidRDefault="00295AE8" w:rsidP="00304CC8">
            <w:pPr>
              <w:pStyle w:val="subsubclauseindent"/>
              <w:tabs>
                <w:tab w:val="num" w:pos="175"/>
              </w:tabs>
              <w:ind w:left="175"/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</w:pPr>
            <w:r w:rsidRPr="00BA46CD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AB1416">
              <w:rPr>
                <w:rFonts w:ascii="Garamond" w:hAnsi="Garamond"/>
                <w:noProof/>
                <w:color w:val="000000"/>
                <w:position w:val="-14"/>
                <w:szCs w:val="22"/>
                <w:highlight w:val="yellow"/>
              </w:rPr>
              <w:object w:dxaOrig="1579" w:dyaOrig="400">
                <v:shape id="_x0000_i1036" type="#_x0000_t75" style="width:100.5pt;height:25.5pt" o:ole="">
                  <v:imagedata r:id="rId25" o:title=""/>
                </v:shape>
                <o:OLEObject Type="Embed" ProgID="Equation.3" ShapeID="_x0000_i1036" DrawAspect="Content" ObjectID="_1541322792" r:id="rId26"/>
              </w:object>
            </w:r>
            <w:r w:rsidRPr="00AB1416">
              <w:rPr>
                <w:rFonts w:ascii="Garamond" w:hAnsi="Garamond"/>
                <w:noProof/>
                <w:color w:val="000000"/>
                <w:position w:val="-12"/>
                <w:szCs w:val="22"/>
                <w:highlight w:val="yellow"/>
                <w:lang w:val="ru-RU"/>
              </w:rPr>
              <w:t xml:space="preserve"> и </w:t>
            </w:r>
            <w:r w:rsidRPr="00AB1416">
              <w:rPr>
                <w:rFonts w:ascii="Garamond" w:hAnsi="Garamond"/>
                <w:position w:val="-14"/>
                <w:highlight w:val="yellow"/>
              </w:rPr>
              <w:object w:dxaOrig="1560" w:dyaOrig="400">
                <v:shape id="_x0000_i1037" type="#_x0000_t75" style="width:92.25pt;height:22.5pt" o:ole="">
                  <v:imagedata r:id="rId27" o:title=""/>
                </v:shape>
                <o:OLEObject Type="Embed" ProgID="Equation.3" ShapeID="_x0000_i1037" DrawAspect="Content" ObjectID="_1541322793" r:id="rId28"/>
              </w:object>
            </w:r>
            <w:r w:rsidR="00C44F9E">
              <w:rPr>
                <w:rFonts w:ascii="Garamond" w:hAnsi="Garamond"/>
                <w:lang w:val="ru-RU"/>
              </w:rPr>
              <w:t>,</w:t>
            </w:r>
          </w:p>
          <w:p w:rsidR="00295AE8" w:rsidRPr="00BA46CD" w:rsidRDefault="00295AE8" w:rsidP="00304CC8">
            <w:pPr>
              <w:pStyle w:val="subsubclauseindent"/>
              <w:tabs>
                <w:tab w:val="num" w:pos="175"/>
              </w:tabs>
              <w:ind w:left="175"/>
              <w:rPr>
                <w:rFonts w:ascii="Garamond" w:hAnsi="Garamond"/>
                <w:i/>
                <w:noProof/>
                <w:color w:val="000000"/>
                <w:position w:val="-12"/>
                <w:szCs w:val="22"/>
                <w:lang w:val="ru-RU"/>
              </w:rPr>
            </w:pPr>
            <w:r w:rsidRPr="00AB1416">
              <w:rPr>
                <w:rFonts w:ascii="Garamond" w:hAnsi="Garamond"/>
                <w:noProof/>
                <w:color w:val="000000"/>
                <w:position w:val="-14"/>
                <w:szCs w:val="22"/>
                <w:highlight w:val="yellow"/>
              </w:rPr>
              <w:object w:dxaOrig="1180" w:dyaOrig="400">
                <v:shape id="_x0000_i1038" type="#_x0000_t75" style="width:86.25pt;height:29.25pt" o:ole="">
                  <v:imagedata r:id="rId29" o:title=""/>
                </v:shape>
                <o:OLEObject Type="Embed" ProgID="Equation.3" ShapeID="_x0000_i1038" DrawAspect="Content" ObjectID="_1541322794" r:id="rId30"/>
              </w:object>
            </w:r>
            <w:r w:rsidRPr="00AB1416">
              <w:rPr>
                <w:rFonts w:ascii="Garamond" w:hAnsi="Garamond"/>
                <w:noProof/>
                <w:color w:val="000000"/>
                <w:position w:val="-12"/>
                <w:szCs w:val="22"/>
                <w:highlight w:val="yellow"/>
                <w:lang w:val="ru-RU"/>
              </w:rPr>
              <w:t xml:space="preserve"> – плановый объем перетока электрической энергии из второй ценовой зоны в неценовую зону Дальнего Востока (за исключением перетока электрической энергии в изолированны</w:t>
            </w:r>
            <w:r w:rsidRPr="00254F90">
              <w:rPr>
                <w:rFonts w:ascii="Garamond" w:hAnsi="Garamond"/>
                <w:noProof/>
                <w:color w:val="000000"/>
                <w:position w:val="-12"/>
                <w:szCs w:val="22"/>
                <w:highlight w:val="yellow"/>
                <w:lang w:val="ru-RU"/>
              </w:rPr>
              <w:t>й</w:t>
            </w:r>
            <w:r w:rsidRPr="00AB1416">
              <w:rPr>
                <w:rFonts w:ascii="Garamond" w:hAnsi="Garamond"/>
                <w:noProof/>
                <w:color w:val="000000"/>
                <w:position w:val="-12"/>
                <w:szCs w:val="22"/>
                <w:highlight w:val="yellow"/>
                <w:lang w:val="ru-RU"/>
              </w:rPr>
              <w:t xml:space="preserve"> энергорайон Амурской области) в час операционных суток </w:t>
            </w:r>
            <w:r w:rsidRPr="00AB1416">
              <w:rPr>
                <w:rFonts w:ascii="Garamond" w:hAnsi="Garamond"/>
                <w:i/>
                <w:noProof/>
                <w:color w:val="000000"/>
                <w:position w:val="-12"/>
                <w:szCs w:val="22"/>
                <w:highlight w:val="yellow"/>
                <w:lang w:val="en-US"/>
              </w:rPr>
              <w:t>h</w:t>
            </w:r>
            <w:r w:rsidRPr="00AB1416">
              <w:rPr>
                <w:rFonts w:ascii="Garamond" w:hAnsi="Garamond"/>
                <w:noProof/>
                <w:color w:val="000000"/>
                <w:position w:val="-12"/>
                <w:szCs w:val="22"/>
                <w:highlight w:val="yellow"/>
                <w:lang w:val="ru-RU"/>
              </w:rPr>
              <w:t xml:space="preserve">, определенный в соответствии с </w:t>
            </w:r>
            <w:r w:rsidRPr="00AB1416">
              <w:rPr>
                <w:rFonts w:ascii="Garamond" w:hAnsi="Garamond"/>
                <w:i/>
                <w:noProof/>
                <w:color w:val="000000"/>
                <w:position w:val="-12"/>
                <w:szCs w:val="22"/>
                <w:highlight w:val="yellow"/>
                <w:lang w:val="ru-RU"/>
              </w:rPr>
              <w:t xml:space="preserve">Регламентом проведения конкурентного отбора ценовых заявок на сутки вперед </w:t>
            </w:r>
            <w:r w:rsidRPr="00AB1416">
              <w:rPr>
                <w:rFonts w:ascii="Garamond" w:hAnsi="Garamond"/>
                <w:noProof/>
                <w:color w:val="000000"/>
                <w:position w:val="-12"/>
                <w:szCs w:val="22"/>
                <w:highlight w:val="yellow"/>
                <w:lang w:val="ru-RU"/>
              </w:rPr>
              <w:t xml:space="preserve">(Приложение № 7 к </w:t>
            </w:r>
            <w:r w:rsidRPr="00AB1416">
              <w:rPr>
                <w:rFonts w:ascii="Garamond" w:hAnsi="Garamond"/>
                <w:i/>
                <w:noProof/>
                <w:color w:val="000000"/>
                <w:position w:val="-12"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AB1416">
              <w:rPr>
                <w:rFonts w:ascii="Garamond" w:hAnsi="Garamond"/>
                <w:noProof/>
                <w:color w:val="000000"/>
                <w:position w:val="-12"/>
                <w:szCs w:val="22"/>
                <w:highlight w:val="yellow"/>
                <w:lang w:val="ru-RU"/>
              </w:rPr>
              <w:t>);</w:t>
            </w:r>
          </w:p>
          <w:p w:rsidR="00295AE8" w:rsidRPr="00BA46CD" w:rsidRDefault="00295AE8" w:rsidP="00304CC8">
            <w:pPr>
              <w:pStyle w:val="subsubclauseindent"/>
              <w:tabs>
                <w:tab w:val="num" w:pos="175"/>
              </w:tabs>
              <w:spacing w:after="0"/>
              <w:ind w:left="175"/>
              <w:rPr>
                <w:rFonts w:ascii="Garamond" w:hAnsi="Garamond"/>
                <w:szCs w:val="22"/>
                <w:lang w:val="ru-RU"/>
              </w:rPr>
            </w:pPr>
            <w:r w:rsidRPr="00BA46CD">
              <w:rPr>
                <w:rFonts w:ascii="Garamond" w:hAnsi="Garamond"/>
                <w:noProof/>
                <w:color w:val="000000"/>
                <w:position w:val="-14"/>
                <w:szCs w:val="22"/>
              </w:rPr>
              <w:object w:dxaOrig="1180" w:dyaOrig="400">
                <v:shape id="_x0000_i1039" type="#_x0000_t75" style="width:86.25pt;height:29.25pt" o:ole="">
                  <v:imagedata r:id="rId31" o:title=""/>
                </v:shape>
                <o:OLEObject Type="Embed" ProgID="Equation.3" ShapeID="_x0000_i1039" DrawAspect="Content" ObjectID="_1541322795" r:id="rId32"/>
              </w:object>
            </w:r>
            <w:r w:rsidRPr="00BA46CD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 xml:space="preserve"> – плановый объем перетока электрической энергии из неценовой зоны Дальнего Востока во вторую ценовую зону (за исключением перетока электрической энергии в изолированный энергорайон</w:t>
            </w:r>
            <w:r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 xml:space="preserve"> </w:t>
            </w:r>
            <w:r w:rsidRPr="009A1998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>Забайкальского края) в час операционных</w:t>
            </w:r>
            <w:r w:rsidRPr="00BA46CD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 xml:space="preserve"> суток </w:t>
            </w:r>
            <w:r w:rsidRPr="00BA46CD">
              <w:rPr>
                <w:rFonts w:ascii="Garamond" w:hAnsi="Garamond"/>
                <w:i/>
                <w:noProof/>
                <w:color w:val="000000"/>
                <w:position w:val="-12"/>
                <w:szCs w:val="22"/>
                <w:lang w:val="en-US"/>
              </w:rPr>
              <w:t>h</w:t>
            </w:r>
            <w:r w:rsidRPr="00BA46CD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>,</w:t>
            </w:r>
            <w:r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 xml:space="preserve"> определенный</w:t>
            </w:r>
            <w:r w:rsidRPr="00BA46CD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 xml:space="preserve"> в соответствии с </w:t>
            </w:r>
            <w:r w:rsidRPr="00BA46CD">
              <w:rPr>
                <w:rFonts w:ascii="Garamond" w:hAnsi="Garamond"/>
                <w:i/>
                <w:noProof/>
                <w:color w:val="000000"/>
                <w:position w:val="-12"/>
                <w:szCs w:val="22"/>
                <w:lang w:val="ru-RU"/>
              </w:rPr>
              <w:t xml:space="preserve">Регламентом проведения конкурентного отбора ценовых заявок на сутки вперед </w:t>
            </w:r>
            <w:r w:rsidRPr="00BA46CD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 xml:space="preserve">(Приложение № 7 к </w:t>
            </w:r>
            <w:r w:rsidRPr="00BA46CD">
              <w:rPr>
                <w:rFonts w:ascii="Garamond" w:hAnsi="Garamond"/>
                <w:i/>
                <w:noProof/>
                <w:color w:val="000000"/>
                <w:position w:val="-1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BA46CD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>)</w:t>
            </w:r>
            <w:r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>;</w:t>
            </w:r>
          </w:p>
          <w:p w:rsidR="00295AE8" w:rsidRPr="00963F8B" w:rsidRDefault="00295AE8" w:rsidP="00304CC8">
            <w:pPr>
              <w:pStyle w:val="subsubclauseindent"/>
              <w:tabs>
                <w:tab w:val="num" w:pos="175"/>
              </w:tabs>
              <w:spacing w:after="0"/>
              <w:ind w:left="175"/>
              <w:rPr>
                <w:rFonts w:ascii="Garamond" w:hAnsi="Garamond"/>
                <w:szCs w:val="22"/>
                <w:lang w:val="ru-RU"/>
              </w:rPr>
            </w:pPr>
            <w:r w:rsidRPr="00BA46CD">
              <w:rPr>
                <w:rFonts w:ascii="Garamond" w:hAnsi="Garamond"/>
                <w:i/>
                <w:szCs w:val="22"/>
                <w:lang w:val="en-US"/>
              </w:rPr>
              <w:t>z</w:t>
            </w:r>
            <w:r>
              <w:rPr>
                <w:rFonts w:ascii="Garamond" w:hAnsi="Garamond"/>
                <w:szCs w:val="22"/>
                <w:lang w:val="ru-RU"/>
              </w:rPr>
              <w:t xml:space="preserve"> – ценовая зона;</w:t>
            </w:r>
          </w:p>
          <w:p w:rsidR="00295AE8" w:rsidRPr="00BC7845" w:rsidRDefault="00295AE8" w:rsidP="00D42788">
            <w:pPr>
              <w:pStyle w:val="subsubclauseindent"/>
              <w:tabs>
                <w:tab w:val="num" w:pos="175"/>
              </w:tabs>
              <w:spacing w:after="0"/>
              <w:ind w:left="175"/>
              <w:rPr>
                <w:rFonts w:ascii="Garamond" w:hAnsi="Garamond"/>
                <w:szCs w:val="22"/>
                <w:lang w:val="ru-RU"/>
              </w:rPr>
            </w:pPr>
            <w:r w:rsidRPr="00AA1F70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963F8B">
              <w:rPr>
                <w:rFonts w:ascii="Garamond" w:hAnsi="Garamond"/>
                <w:szCs w:val="22"/>
                <w:lang w:val="ru-RU"/>
              </w:rPr>
              <w:t xml:space="preserve"> - час операционных суток.</w:t>
            </w:r>
          </w:p>
        </w:tc>
        <w:tc>
          <w:tcPr>
            <w:tcW w:w="6642" w:type="dxa"/>
            <w:shd w:val="clear" w:color="auto" w:fill="auto"/>
          </w:tcPr>
          <w:p w:rsidR="00295AE8" w:rsidRPr="002D7DC5" w:rsidRDefault="00295AE8" w:rsidP="00304CC8">
            <w:pPr>
              <w:pStyle w:val="40"/>
              <w:numPr>
                <w:ilvl w:val="0"/>
                <w:numId w:val="0"/>
              </w:numPr>
              <w:tabs>
                <w:tab w:val="num" w:pos="175"/>
              </w:tabs>
              <w:ind w:left="175"/>
              <w:rPr>
                <w:rFonts w:ascii="Garamond" w:hAnsi="Garamond"/>
                <w:szCs w:val="22"/>
              </w:rPr>
            </w:pPr>
            <w:r w:rsidRPr="002D7DC5">
              <w:rPr>
                <w:rFonts w:ascii="Garamond" w:hAnsi="Garamond"/>
                <w:szCs w:val="22"/>
              </w:rPr>
              <w:lastRenderedPageBreak/>
              <w:t>Плановый физический небаланс</w:t>
            </w:r>
          </w:p>
          <w:p w:rsidR="00295AE8" w:rsidRPr="002D7DC5" w:rsidRDefault="00295AE8" w:rsidP="00304CC8">
            <w:pPr>
              <w:pStyle w:val="40"/>
              <w:numPr>
                <w:ilvl w:val="0"/>
                <w:numId w:val="0"/>
              </w:numPr>
              <w:tabs>
                <w:tab w:val="num" w:pos="175"/>
              </w:tabs>
              <w:ind w:left="175"/>
              <w:rPr>
                <w:rFonts w:ascii="Garamond" w:hAnsi="Garamond"/>
                <w:szCs w:val="22"/>
              </w:rPr>
            </w:pPr>
            <w:r w:rsidRPr="002D7DC5">
              <w:rPr>
                <w:rFonts w:ascii="Garamond" w:hAnsi="Garamond"/>
                <w:position w:val="-14"/>
                <w:szCs w:val="22"/>
              </w:rPr>
              <w:object w:dxaOrig="560" w:dyaOrig="400">
                <v:shape id="_x0000_i1040" type="#_x0000_t75" style="width:38.25pt;height:28.5pt" o:ole="">
                  <v:imagedata r:id="rId19" o:title=""/>
                </v:shape>
                <o:OLEObject Type="Embed" ProgID="Equation.3" ShapeID="_x0000_i1040" DrawAspect="Content" ObjectID="_1541322796" r:id="rId33"/>
              </w:object>
            </w:r>
            <w:r w:rsidRPr="002D7DC5">
              <w:rPr>
                <w:rFonts w:ascii="Garamond" w:hAnsi="Garamond"/>
                <w:szCs w:val="22"/>
              </w:rPr>
              <w:t xml:space="preserve"> [МВт∙ч] – плановый физический небаланс в час операционных суток </w:t>
            </w:r>
            <w:r w:rsidRPr="002D7DC5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2D7DC5">
              <w:rPr>
                <w:rFonts w:ascii="Garamond" w:hAnsi="Garamond"/>
                <w:szCs w:val="22"/>
              </w:rPr>
              <w:t>.</w:t>
            </w:r>
          </w:p>
          <w:p w:rsidR="00295AE8" w:rsidRDefault="00295AE8" w:rsidP="00304CC8">
            <w:pPr>
              <w:pStyle w:val="subsubclauseindent"/>
              <w:tabs>
                <w:tab w:val="num" w:pos="175"/>
              </w:tabs>
              <w:spacing w:after="0"/>
              <w:ind w:left="175"/>
              <w:rPr>
                <w:rFonts w:ascii="Garamond" w:hAnsi="Garamond"/>
                <w:szCs w:val="22"/>
                <w:lang w:val="ru-RU"/>
              </w:rPr>
            </w:pPr>
            <w:r w:rsidRPr="002D7DC5">
              <w:rPr>
                <w:rFonts w:ascii="Garamond" w:hAnsi="Garamond"/>
                <w:szCs w:val="22"/>
                <w:lang w:val="ru-RU"/>
              </w:rPr>
              <w:t xml:space="preserve">КО рассчитывает величину </w:t>
            </w:r>
            <w:r w:rsidRPr="002D7DC5">
              <w:rPr>
                <w:rFonts w:ascii="Garamond" w:hAnsi="Garamond"/>
                <w:position w:val="-14"/>
                <w:szCs w:val="22"/>
              </w:rPr>
              <w:object w:dxaOrig="560" w:dyaOrig="400">
                <v:shape id="_x0000_i1041" type="#_x0000_t75" style="width:38.25pt;height:28.5pt" o:ole="">
                  <v:imagedata r:id="rId21" o:title=""/>
                </v:shape>
                <o:OLEObject Type="Embed" ProgID="Equation.3" ShapeID="_x0000_i1041" DrawAspect="Content" ObjectID="_1541322797" r:id="rId34"/>
              </w:object>
            </w:r>
            <w:r w:rsidRPr="002D7DC5">
              <w:rPr>
                <w:rFonts w:ascii="Garamond" w:hAnsi="Garamond"/>
                <w:szCs w:val="22"/>
                <w:lang w:val="ru-RU"/>
              </w:rPr>
              <w:t xml:space="preserve"> в соответствии с формулой:</w:t>
            </w:r>
          </w:p>
          <w:p w:rsidR="00295AE8" w:rsidRPr="00AB1416" w:rsidRDefault="00295AE8" w:rsidP="00304CC8">
            <w:pPr>
              <w:pStyle w:val="subsubclauseindent"/>
              <w:numPr>
                <w:ilvl w:val="0"/>
                <w:numId w:val="43"/>
              </w:numPr>
              <w:spacing w:after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AB1416">
              <w:rPr>
                <w:rFonts w:ascii="Garamond" w:hAnsi="Garamond"/>
                <w:szCs w:val="22"/>
                <w:highlight w:val="yellow"/>
                <w:lang w:val="ru-RU"/>
              </w:rPr>
              <w:lastRenderedPageBreak/>
              <w:t xml:space="preserve">для первой ценовой зоны: </w:t>
            </w:r>
          </w:p>
          <w:p w:rsidR="00295AE8" w:rsidRPr="00AB1416" w:rsidRDefault="00295AE8" w:rsidP="00304CC8">
            <w:pPr>
              <w:pStyle w:val="subsubclauseindent"/>
              <w:tabs>
                <w:tab w:val="num" w:pos="175"/>
              </w:tabs>
              <w:spacing w:after="0"/>
              <w:ind w:left="175" w:right="-993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340D7E">
              <w:rPr>
                <w:rFonts w:ascii="Garamond" w:hAnsi="Garamond"/>
                <w:position w:val="-52"/>
                <w:szCs w:val="22"/>
                <w:highlight w:val="yellow"/>
                <w:lang w:val="ru-RU"/>
              </w:rPr>
              <w:object w:dxaOrig="6979" w:dyaOrig="1140">
                <v:shape id="_x0000_i1042" type="#_x0000_t75" style="width:302.25pt;height:51.75pt" o:ole="">
                  <v:imagedata r:id="rId35" o:title=""/>
                </v:shape>
                <o:OLEObject Type="Embed" ProgID="Equation.3" ShapeID="_x0000_i1042" DrawAspect="Content" ObjectID="_1541322798" r:id="rId36"/>
              </w:object>
            </w:r>
            <w:r w:rsidRPr="00AB1416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295AE8" w:rsidRPr="00AB1416" w:rsidRDefault="00295AE8" w:rsidP="00304CC8">
            <w:pPr>
              <w:pStyle w:val="subsubclauseindent"/>
              <w:numPr>
                <w:ilvl w:val="0"/>
                <w:numId w:val="43"/>
              </w:numPr>
              <w:spacing w:after="0"/>
              <w:rPr>
                <w:rFonts w:ascii="Garamond" w:hAnsi="Garamond"/>
                <w:szCs w:val="22"/>
                <w:highlight w:val="yellow"/>
                <w:lang w:val="ru-RU"/>
              </w:rPr>
            </w:pPr>
            <w:r w:rsidRPr="00AB1416">
              <w:rPr>
                <w:rFonts w:ascii="Garamond" w:hAnsi="Garamond"/>
                <w:szCs w:val="22"/>
                <w:highlight w:val="yellow"/>
                <w:lang w:val="ru-RU"/>
              </w:rPr>
              <w:t xml:space="preserve">для второй ценовой зоны: </w:t>
            </w:r>
          </w:p>
          <w:p w:rsidR="00295AE8" w:rsidRDefault="00295AE8" w:rsidP="00304CC8">
            <w:pPr>
              <w:pStyle w:val="subsubclauseindent"/>
              <w:tabs>
                <w:tab w:val="num" w:pos="175"/>
              </w:tabs>
              <w:ind w:left="175"/>
              <w:rPr>
                <w:rFonts w:ascii="Garamond" w:hAnsi="Garamond"/>
                <w:szCs w:val="22"/>
                <w:lang w:val="ru-RU"/>
              </w:rPr>
            </w:pPr>
            <w:r w:rsidRPr="00EC65D3">
              <w:rPr>
                <w:rFonts w:ascii="Garamond" w:hAnsi="Garamond"/>
                <w:position w:val="-70"/>
                <w:szCs w:val="22"/>
                <w:highlight w:val="yellow"/>
                <w:lang w:val="ru-RU"/>
              </w:rPr>
              <w:object w:dxaOrig="8400" w:dyaOrig="1520">
                <v:shape id="_x0000_i1043" type="#_x0000_t75" style="width:294.75pt;height:54pt" o:ole="">
                  <v:imagedata r:id="rId37" o:title=""/>
                </v:shape>
                <o:OLEObject Type="Embed" ProgID="Equation.3" ShapeID="_x0000_i1043" DrawAspect="Content" ObjectID="_1541322799" r:id="rId38"/>
              </w:object>
            </w:r>
            <w:r w:rsidRPr="00AB1416">
              <w:rPr>
                <w:rFonts w:ascii="Garamond" w:hAnsi="Garamond"/>
                <w:szCs w:val="22"/>
                <w:highlight w:val="yellow"/>
                <w:lang w:val="ru-RU"/>
              </w:rPr>
              <w:t>,</w:t>
            </w:r>
          </w:p>
          <w:p w:rsidR="00295AE8" w:rsidRPr="00D42788" w:rsidRDefault="00295AE8" w:rsidP="00D42788">
            <w:pPr>
              <w:pStyle w:val="subsubclauseindent"/>
              <w:tabs>
                <w:tab w:val="num" w:pos="601"/>
              </w:tabs>
              <w:ind w:left="601" w:hanging="425"/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</w:pPr>
            <w:r w:rsidRPr="002D7DC5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="00D42788" w:rsidRPr="002D7DC5">
              <w:rPr>
                <w:rFonts w:ascii="Garamond" w:hAnsi="Garamond"/>
                <w:noProof/>
                <w:color w:val="000000"/>
                <w:position w:val="-14"/>
                <w:szCs w:val="22"/>
              </w:rPr>
              <w:object w:dxaOrig="1180" w:dyaOrig="400">
                <v:shape id="_x0000_i1044" type="#_x0000_t75" style="width:86.25pt;height:29.25pt" o:ole="">
                  <v:imagedata r:id="rId31" o:title=""/>
                </v:shape>
                <o:OLEObject Type="Embed" ProgID="Equation.3" ShapeID="_x0000_i1044" DrawAspect="Content" ObjectID="_1541322800" r:id="rId39"/>
              </w:object>
            </w:r>
            <w:r w:rsidRPr="002D7DC5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 xml:space="preserve">– плановый объем перетока электрической энергии из неценовой зоны Дальнего Востока во вторую ценовую зону (за исключением перетока электрической энергии в изолированный энергорайон Забайкальского края) в час операционных суток </w:t>
            </w:r>
            <w:r w:rsidRPr="002D7DC5">
              <w:rPr>
                <w:rFonts w:ascii="Garamond" w:hAnsi="Garamond"/>
                <w:i/>
                <w:noProof/>
                <w:color w:val="000000"/>
                <w:position w:val="-12"/>
                <w:szCs w:val="22"/>
                <w:lang w:val="en-US"/>
              </w:rPr>
              <w:t>h</w:t>
            </w:r>
            <w:r w:rsidRPr="002D7DC5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 xml:space="preserve">, определенный в соответствии с </w:t>
            </w:r>
            <w:r w:rsidRPr="002D7DC5">
              <w:rPr>
                <w:rFonts w:ascii="Garamond" w:hAnsi="Garamond"/>
                <w:i/>
                <w:noProof/>
                <w:color w:val="000000"/>
                <w:position w:val="-12"/>
                <w:szCs w:val="22"/>
                <w:lang w:val="ru-RU"/>
              </w:rPr>
              <w:t xml:space="preserve">Регламентом проведения конкурентного отбора ценовых заявок на сутки вперед </w:t>
            </w:r>
            <w:r w:rsidRPr="002D7DC5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 xml:space="preserve">(Приложение № 7 к </w:t>
            </w:r>
            <w:r w:rsidRPr="002D7DC5">
              <w:rPr>
                <w:rFonts w:ascii="Garamond" w:hAnsi="Garamond"/>
                <w:i/>
                <w:noProof/>
                <w:color w:val="000000"/>
                <w:position w:val="-12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2D7DC5">
              <w:rPr>
                <w:rFonts w:ascii="Garamond" w:hAnsi="Garamond"/>
                <w:noProof/>
                <w:color w:val="000000"/>
                <w:position w:val="-12"/>
                <w:szCs w:val="22"/>
                <w:lang w:val="ru-RU"/>
              </w:rPr>
              <w:t>);</w:t>
            </w:r>
          </w:p>
          <w:p w:rsidR="00295AE8" w:rsidRPr="002D7DC5" w:rsidRDefault="00295AE8" w:rsidP="00D42788">
            <w:pPr>
              <w:pStyle w:val="subsubclauseindent"/>
              <w:tabs>
                <w:tab w:val="num" w:pos="601"/>
              </w:tabs>
              <w:spacing w:after="0"/>
              <w:ind w:left="601"/>
              <w:rPr>
                <w:rFonts w:ascii="Garamond" w:hAnsi="Garamond"/>
                <w:szCs w:val="22"/>
                <w:lang w:val="ru-RU"/>
              </w:rPr>
            </w:pPr>
            <w:r w:rsidRPr="002D7DC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2D7DC5">
              <w:rPr>
                <w:rFonts w:ascii="Garamond" w:hAnsi="Garamond"/>
                <w:szCs w:val="22"/>
                <w:lang w:val="ru-RU"/>
              </w:rPr>
              <w:t xml:space="preserve"> – ценовая зона;</w:t>
            </w:r>
          </w:p>
          <w:p w:rsidR="00295AE8" w:rsidRPr="00BC7845" w:rsidRDefault="00295AE8" w:rsidP="00D42788">
            <w:pPr>
              <w:pStyle w:val="subsubclauseindent"/>
              <w:tabs>
                <w:tab w:val="num" w:pos="601"/>
              </w:tabs>
              <w:spacing w:after="0"/>
              <w:ind w:left="601"/>
              <w:rPr>
                <w:rFonts w:ascii="Garamond" w:hAnsi="Garamond"/>
                <w:szCs w:val="22"/>
                <w:lang w:val="ru-RU"/>
              </w:rPr>
            </w:pPr>
            <w:r w:rsidRPr="002D7DC5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2D7DC5">
              <w:rPr>
                <w:rFonts w:ascii="Garamond" w:hAnsi="Garamond"/>
                <w:szCs w:val="22"/>
                <w:lang w:val="ru-RU"/>
              </w:rPr>
              <w:t xml:space="preserve"> - час операционных суток.</w:t>
            </w:r>
          </w:p>
        </w:tc>
      </w:tr>
    </w:tbl>
    <w:p w:rsidR="003846CF" w:rsidRDefault="003846CF" w:rsidP="00E4351B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</w:p>
    <w:p w:rsidR="004C2CCC" w:rsidRPr="00E569AF" w:rsidRDefault="004C2CCC" w:rsidP="004C2CCC">
      <w:pPr>
        <w:tabs>
          <w:tab w:val="left" w:pos="1134"/>
        </w:tabs>
        <w:ind w:left="-142"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  <w:r w:rsidRPr="00E569AF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E569AF"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E569AF">
        <w:rPr>
          <w:rFonts w:ascii="Garamond" w:eastAsia="Batang" w:hAnsi="Garamond"/>
          <w:b/>
          <w:bCs/>
          <w:sz w:val="26"/>
          <w:szCs w:val="26"/>
        </w:rPr>
        <w:t>в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E569AF">
        <w:rPr>
          <w:rFonts w:ascii="Garamond" w:eastAsia="Batang" w:hAnsi="Garamond"/>
          <w:b/>
          <w:bCs/>
          <w:caps/>
          <w:color w:val="000000"/>
          <w:sz w:val="26"/>
          <w:szCs w:val="26"/>
        </w:rPr>
        <w:t xml:space="preserve">РЕГЛАМЕНТ функционирования участников оптового рынка на территории неценовых зон 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>(П</w:t>
      </w:r>
      <w:r w:rsidRPr="00E569AF"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 xml:space="preserve">№ 14 </w:t>
      </w:r>
      <w:r w:rsidRPr="00E569AF">
        <w:rPr>
          <w:rFonts w:ascii="Garamond" w:eastAsia="Batang" w:hAnsi="Garamond"/>
          <w:b/>
          <w:bCs/>
          <w:sz w:val="26"/>
          <w:szCs w:val="26"/>
        </w:rPr>
        <w:t>к Договору о присоединении к торговой системе оптового рынка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:rsidR="004C2CCC" w:rsidRPr="008765B0" w:rsidRDefault="004C2CCC" w:rsidP="004C2CCC">
      <w:pPr>
        <w:widowControl w:val="0"/>
        <w:jc w:val="both"/>
        <w:rPr>
          <w:rFonts w:ascii="Garamond" w:hAnsi="Garamond"/>
          <w:b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55"/>
        <w:gridCol w:w="7088"/>
      </w:tblGrid>
      <w:tr w:rsidR="004C2CCC" w:rsidRPr="00E569AF" w:rsidTr="007F6A80">
        <w:trPr>
          <w:trHeight w:val="435"/>
        </w:trPr>
        <w:tc>
          <w:tcPr>
            <w:tcW w:w="1008" w:type="dxa"/>
            <w:vAlign w:val="center"/>
          </w:tcPr>
          <w:p w:rsidR="004C2CCC" w:rsidRPr="00E569AF" w:rsidRDefault="004C2CCC" w:rsidP="007F6A80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4C2CCC" w:rsidRPr="00E569AF" w:rsidRDefault="004C2CCC" w:rsidP="007F6A80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755" w:type="dxa"/>
            <w:vAlign w:val="center"/>
          </w:tcPr>
          <w:p w:rsidR="004C2CCC" w:rsidRPr="00E569AF" w:rsidRDefault="004C2CCC" w:rsidP="007F6A80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4C2CCC" w:rsidRPr="00E569AF" w:rsidRDefault="004C2CCC" w:rsidP="007F6A80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  <w:vAlign w:val="center"/>
          </w:tcPr>
          <w:p w:rsidR="004C2CCC" w:rsidRPr="00E569AF" w:rsidRDefault="004C2CCC" w:rsidP="007F6A80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AD661E" w:rsidRPr="00AD661E" w:rsidRDefault="004C2CCC" w:rsidP="00AD661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569AF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4C2CCC" w:rsidRPr="00E569AF" w:rsidTr="007F6A80">
        <w:trPr>
          <w:trHeight w:val="435"/>
        </w:trPr>
        <w:tc>
          <w:tcPr>
            <w:tcW w:w="1008" w:type="dxa"/>
            <w:vAlign w:val="center"/>
          </w:tcPr>
          <w:p w:rsidR="004C2CCC" w:rsidRPr="00BB2DCE" w:rsidRDefault="004C2CCC" w:rsidP="007F6A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2DCE">
              <w:rPr>
                <w:rFonts w:ascii="Garamond" w:hAnsi="Garamond"/>
                <w:b/>
                <w:sz w:val="22"/>
                <w:szCs w:val="22"/>
              </w:rPr>
              <w:lastRenderedPageBreak/>
              <w:t>4.4.4</w:t>
            </w:r>
          </w:p>
        </w:tc>
        <w:tc>
          <w:tcPr>
            <w:tcW w:w="6755" w:type="dxa"/>
            <w:vAlign w:val="center"/>
          </w:tcPr>
          <w:p w:rsidR="0047096A" w:rsidRPr="0047096A" w:rsidRDefault="0047096A" w:rsidP="0047096A">
            <w:pPr>
              <w:pStyle w:val="3"/>
              <w:numPr>
                <w:ilvl w:val="0"/>
                <w:numId w:val="0"/>
              </w:numPr>
              <w:ind w:firstLine="601"/>
              <w:rPr>
                <w:rFonts w:ascii="Garamond" w:hAnsi="Garamond"/>
                <w:b w:val="0"/>
                <w:sz w:val="22"/>
                <w:szCs w:val="22"/>
              </w:rPr>
            </w:pPr>
            <w:r w:rsidRPr="0047096A">
              <w:rPr>
                <w:rFonts w:ascii="Garamond" w:hAnsi="Garamond"/>
                <w:b w:val="0"/>
                <w:sz w:val="22"/>
                <w:szCs w:val="22"/>
              </w:rPr>
              <w:t>Величина планового почасового потребления в узлах, временно электрически изолированных от второй неценовой зоны и работающих синхронно со второй ценовой зоной, отнесенных к ГТП потребления участник</w:t>
            </w:r>
            <w:r w:rsidRPr="00DF5ED4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а</w:t>
            </w:r>
            <w:r w:rsidRPr="0047096A">
              <w:rPr>
                <w:rFonts w:ascii="Garamond" w:hAnsi="Garamond"/>
                <w:b w:val="0"/>
                <w:sz w:val="22"/>
                <w:szCs w:val="22"/>
              </w:rPr>
              <w:t xml:space="preserve"> оптового рынка, расположенн</w:t>
            </w:r>
            <w:r w:rsidRPr="00DF5ED4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ой</w:t>
            </w:r>
            <w:r w:rsidRPr="0047096A">
              <w:rPr>
                <w:rFonts w:ascii="Garamond" w:hAnsi="Garamond"/>
                <w:b w:val="0"/>
                <w:sz w:val="22"/>
                <w:szCs w:val="22"/>
              </w:rPr>
              <w:t xml:space="preserve"> на территории второй неценовой зоны, равна значению суммарного поузлового потребления, указанного в отношении рассматриваемых узлов Системным оператором  в актуализированной расчетной модели РСВ: </w:t>
            </w:r>
          </w:p>
          <w:p w:rsidR="004C2CCC" w:rsidRPr="00593661" w:rsidRDefault="0047096A" w:rsidP="00593661">
            <w:pPr>
              <w:pStyle w:val="3"/>
              <w:numPr>
                <w:ilvl w:val="0"/>
                <w:numId w:val="0"/>
              </w:numPr>
              <w:ind w:left="720"/>
              <w:rPr>
                <w:sz w:val="22"/>
                <w:szCs w:val="22"/>
              </w:rPr>
            </w:pPr>
            <w:r w:rsidRPr="0047096A">
              <w:rPr>
                <w:rFonts w:ascii="Garamond" w:hAnsi="Garamond"/>
                <w:b w:val="0"/>
                <w:position w:val="-14"/>
                <w:sz w:val="22"/>
                <w:szCs w:val="22"/>
              </w:rPr>
              <w:object w:dxaOrig="2860" w:dyaOrig="400">
                <v:shape id="_x0000_i1045" type="#_x0000_t75" style="width:225.75pt;height:30.75pt" o:ole="">
                  <v:imagedata r:id="rId40" o:title=""/>
                </v:shape>
                <o:OLEObject Type="Embed" ProgID="Equation.3" ShapeID="_x0000_i1045" DrawAspect="Content" ObjectID="_1541322801" r:id="rId41"/>
              </w:object>
            </w:r>
            <w:r w:rsidRPr="0047096A">
              <w:rPr>
                <w:rFonts w:ascii="Garamond" w:hAnsi="Garamond"/>
                <w:b w:val="0"/>
                <w:position w:val="-12"/>
                <w:sz w:val="22"/>
                <w:szCs w:val="22"/>
              </w:rPr>
              <w:t>.</w:t>
            </w:r>
            <w:r w:rsidRPr="0047096A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  <w:r w:rsidR="004C2CCC" w:rsidRPr="0047096A">
              <w:rPr>
                <w:rFonts w:ascii="Garamond" w:hAnsi="Garamond"/>
                <w:b w:val="0"/>
                <w:sz w:val="22"/>
                <w:szCs w:val="22"/>
              </w:rPr>
              <w:t>(6)</w:t>
            </w:r>
          </w:p>
        </w:tc>
        <w:tc>
          <w:tcPr>
            <w:tcW w:w="7088" w:type="dxa"/>
            <w:vAlign w:val="center"/>
          </w:tcPr>
          <w:p w:rsidR="004C2CCC" w:rsidRPr="0047096A" w:rsidRDefault="004C2CCC" w:rsidP="00AD1BDE">
            <w:pPr>
              <w:pStyle w:val="3"/>
              <w:numPr>
                <w:ilvl w:val="0"/>
                <w:numId w:val="0"/>
              </w:numPr>
              <w:ind w:firstLine="601"/>
              <w:rPr>
                <w:rFonts w:ascii="Garamond" w:hAnsi="Garamond"/>
                <w:b w:val="0"/>
                <w:sz w:val="22"/>
                <w:szCs w:val="22"/>
              </w:rPr>
            </w:pPr>
            <w:r w:rsidRPr="0047096A">
              <w:rPr>
                <w:rFonts w:ascii="Garamond" w:hAnsi="Garamond"/>
                <w:b w:val="0"/>
                <w:sz w:val="22"/>
                <w:szCs w:val="22"/>
              </w:rPr>
              <w:t xml:space="preserve">Величина планового почасового потребления </w:t>
            </w:r>
            <w:r w:rsidR="00B638E6" w:rsidRPr="0047096A">
              <w:rPr>
                <w:rFonts w:ascii="Garamond" w:hAnsi="Garamond"/>
                <w:b w:val="0"/>
                <w:sz w:val="22"/>
                <w:szCs w:val="22"/>
              </w:rPr>
              <w:t xml:space="preserve">в </w:t>
            </w:r>
            <w:r w:rsidR="00B907E2" w:rsidRPr="0047096A">
              <w:rPr>
                <w:rFonts w:ascii="Garamond" w:hAnsi="Garamond"/>
                <w:b w:val="0"/>
                <w:sz w:val="22"/>
                <w:szCs w:val="22"/>
              </w:rPr>
              <w:t>узл</w:t>
            </w:r>
            <w:r w:rsidR="00B638E6" w:rsidRPr="0047096A">
              <w:rPr>
                <w:rFonts w:ascii="Garamond" w:hAnsi="Garamond"/>
                <w:b w:val="0"/>
                <w:sz w:val="22"/>
                <w:szCs w:val="22"/>
              </w:rPr>
              <w:t>ах</w:t>
            </w:r>
            <w:r w:rsidR="00B907E2" w:rsidRPr="0047096A">
              <w:rPr>
                <w:rFonts w:ascii="Garamond" w:hAnsi="Garamond"/>
                <w:b w:val="0"/>
                <w:sz w:val="22"/>
                <w:szCs w:val="22"/>
              </w:rPr>
              <w:t>, временно электрически изолированных от второй неценовой зоны и работающих синхронно со второй ценовой зоной</w:t>
            </w:r>
            <w:r w:rsidRPr="0047096A">
              <w:rPr>
                <w:rFonts w:ascii="Garamond" w:hAnsi="Garamond"/>
                <w:b w:val="0"/>
                <w:sz w:val="22"/>
                <w:szCs w:val="22"/>
              </w:rPr>
              <w:t>, отнесенн</w:t>
            </w:r>
            <w:r w:rsidR="00B638E6" w:rsidRPr="0047096A">
              <w:rPr>
                <w:rFonts w:ascii="Garamond" w:hAnsi="Garamond"/>
                <w:b w:val="0"/>
                <w:sz w:val="22"/>
                <w:szCs w:val="22"/>
              </w:rPr>
              <w:t>ых</w:t>
            </w:r>
            <w:r w:rsidR="00AD1BDE" w:rsidRPr="0047096A">
              <w:rPr>
                <w:rFonts w:ascii="Garamond" w:hAnsi="Garamond"/>
                <w:b w:val="0"/>
                <w:sz w:val="22"/>
                <w:szCs w:val="22"/>
              </w:rPr>
              <w:t xml:space="preserve"> к ГТП потребления у</w:t>
            </w:r>
            <w:r w:rsidRPr="0047096A">
              <w:rPr>
                <w:rFonts w:ascii="Garamond" w:hAnsi="Garamond"/>
                <w:b w:val="0"/>
                <w:sz w:val="22"/>
                <w:szCs w:val="22"/>
              </w:rPr>
              <w:t>частник</w:t>
            </w:r>
            <w:r w:rsidR="00DF5ED4" w:rsidRPr="00DF5ED4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ов</w:t>
            </w:r>
            <w:r w:rsidRPr="0047096A">
              <w:rPr>
                <w:rFonts w:ascii="Garamond" w:hAnsi="Garamond"/>
                <w:b w:val="0"/>
                <w:sz w:val="22"/>
                <w:szCs w:val="22"/>
              </w:rPr>
              <w:t xml:space="preserve"> оптового рынка, расположенн</w:t>
            </w:r>
            <w:r w:rsidR="00DF5ED4" w:rsidRPr="00DF5ED4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ых</w:t>
            </w:r>
            <w:r w:rsidRPr="0047096A">
              <w:rPr>
                <w:rFonts w:ascii="Garamond" w:hAnsi="Garamond"/>
                <w:b w:val="0"/>
                <w:sz w:val="22"/>
                <w:szCs w:val="22"/>
              </w:rPr>
              <w:t xml:space="preserve"> на территории второй неценовой зоны, равна значению суммарного поузлового потребления, указанного </w:t>
            </w:r>
            <w:r w:rsidR="005C1584" w:rsidRPr="0047096A">
              <w:rPr>
                <w:rFonts w:ascii="Garamond" w:hAnsi="Garamond"/>
                <w:b w:val="0"/>
                <w:sz w:val="22"/>
                <w:szCs w:val="22"/>
              </w:rPr>
              <w:t xml:space="preserve">в отношении рассматриваемых узлов Системным оператором </w:t>
            </w:r>
            <w:r w:rsidRPr="0047096A">
              <w:rPr>
                <w:rFonts w:ascii="Garamond" w:hAnsi="Garamond"/>
                <w:b w:val="0"/>
                <w:sz w:val="22"/>
                <w:szCs w:val="22"/>
              </w:rPr>
              <w:t xml:space="preserve"> в актуализированной расчетной модели РСВ</w:t>
            </w:r>
            <w:r w:rsidR="005C1584" w:rsidRPr="0047096A">
              <w:rPr>
                <w:rFonts w:ascii="Garamond" w:hAnsi="Garamond"/>
                <w:b w:val="0"/>
                <w:sz w:val="22"/>
                <w:szCs w:val="22"/>
              </w:rPr>
              <w:t>:</w:t>
            </w:r>
            <w:r w:rsidRPr="0047096A">
              <w:rPr>
                <w:rFonts w:ascii="Garamond" w:hAnsi="Garamond"/>
                <w:b w:val="0"/>
                <w:sz w:val="22"/>
                <w:szCs w:val="22"/>
              </w:rPr>
              <w:t xml:space="preserve"> </w:t>
            </w:r>
          </w:p>
          <w:p w:rsidR="00202F23" w:rsidRPr="00593661" w:rsidRDefault="00876BC9" w:rsidP="00593661">
            <w:pPr>
              <w:pStyle w:val="3"/>
              <w:numPr>
                <w:ilvl w:val="0"/>
                <w:numId w:val="0"/>
              </w:numPr>
              <w:ind w:left="720"/>
              <w:rPr>
                <w:sz w:val="22"/>
                <w:szCs w:val="22"/>
              </w:rPr>
            </w:pPr>
            <w:r w:rsidRPr="0047096A">
              <w:rPr>
                <w:rFonts w:ascii="Garamond" w:hAnsi="Garamond"/>
                <w:b w:val="0"/>
                <w:position w:val="-14"/>
                <w:sz w:val="22"/>
                <w:szCs w:val="22"/>
              </w:rPr>
              <w:object w:dxaOrig="2860" w:dyaOrig="400">
                <v:shape id="_x0000_i1046" type="#_x0000_t75" style="width:225.75pt;height:30.75pt" o:ole="">
                  <v:imagedata r:id="rId40" o:title=""/>
                </v:shape>
                <o:OLEObject Type="Embed" ProgID="Equation.3" ShapeID="_x0000_i1046" DrawAspect="Content" ObjectID="_1541322802" r:id="rId42"/>
              </w:object>
            </w:r>
            <w:r w:rsidR="00AD1BDE" w:rsidRPr="0047096A">
              <w:rPr>
                <w:rFonts w:ascii="Garamond" w:hAnsi="Garamond"/>
                <w:b w:val="0"/>
                <w:position w:val="-12"/>
                <w:sz w:val="22"/>
                <w:szCs w:val="22"/>
              </w:rPr>
              <w:t>.</w:t>
            </w:r>
            <w:r w:rsidR="004C2CCC" w:rsidRPr="0047096A">
              <w:rPr>
                <w:rFonts w:ascii="Garamond" w:hAnsi="Garamond"/>
                <w:b w:val="0"/>
                <w:sz w:val="22"/>
                <w:szCs w:val="22"/>
              </w:rPr>
              <w:tab/>
              <w:t>(6)</w:t>
            </w:r>
          </w:p>
        </w:tc>
      </w:tr>
      <w:tr w:rsidR="002914A6" w:rsidRPr="00E569AF" w:rsidTr="007F6A80">
        <w:trPr>
          <w:trHeight w:val="435"/>
        </w:trPr>
        <w:tc>
          <w:tcPr>
            <w:tcW w:w="1008" w:type="dxa"/>
            <w:vAlign w:val="center"/>
          </w:tcPr>
          <w:p w:rsidR="002914A6" w:rsidRPr="00BB2DCE" w:rsidRDefault="002914A6" w:rsidP="007F6A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5.1</w:t>
            </w:r>
          </w:p>
        </w:tc>
        <w:tc>
          <w:tcPr>
            <w:tcW w:w="6755" w:type="dxa"/>
            <w:vAlign w:val="center"/>
          </w:tcPr>
          <w:p w:rsidR="002914A6" w:rsidRDefault="002914A6" w:rsidP="0047096A">
            <w:pPr>
              <w:pStyle w:val="3"/>
              <w:numPr>
                <w:ilvl w:val="0"/>
                <w:numId w:val="0"/>
              </w:numPr>
              <w:ind w:firstLine="601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…</w:t>
            </w:r>
          </w:p>
          <w:p w:rsidR="002914A6" w:rsidRPr="001C2D45" w:rsidRDefault="002914A6" w:rsidP="002914A6">
            <w:pPr>
              <w:pStyle w:val="ConsNormal"/>
              <w:spacing w:before="120" w:after="120"/>
              <w:ind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Для осуществления купли-продажи электроэнергии и (или) мощности с использовани</w:t>
            </w:r>
            <w:r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ем указанных выше механизмов, участники оптового рынка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заключают договоры:</w:t>
            </w:r>
          </w:p>
          <w:p w:rsidR="002914A6" w:rsidRPr="00F64B75" w:rsidRDefault="002914A6" w:rsidP="002914A6">
            <w:pPr>
              <w:pStyle w:val="ConsNormal"/>
              <w:spacing w:before="120" w:after="120"/>
              <w:ind w:right="0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…</w:t>
            </w:r>
          </w:p>
          <w:p w:rsidR="002914A6" w:rsidRPr="001C2D45" w:rsidRDefault="002914A6" w:rsidP="002914A6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ценовых заявок на сутки вперед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―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для </w:t>
            </w:r>
            <w:r w:rsidRPr="00593661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П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оставщиков электрической энергии по балансу </w:t>
            </w:r>
            <w:r w:rsidRPr="008E4F27">
              <w:rPr>
                <w:rFonts w:ascii="Garamond" w:hAnsi="Garamond"/>
                <w:bCs/>
                <w:color w:val="000000"/>
                <w:sz w:val="22"/>
                <w:szCs w:val="22"/>
              </w:rPr>
              <w:t>ФАС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;</w:t>
            </w:r>
          </w:p>
          <w:p w:rsidR="002914A6" w:rsidRPr="001C2D45" w:rsidRDefault="002914A6" w:rsidP="002914A6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по результатам конкурентного отбора ценовых заявок на сутки вперед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―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для </w:t>
            </w:r>
            <w:r w:rsidRPr="00593661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У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частников оптового рынка – потребителей электроэнергии (мощности) в соответствии со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сводным прогнозным балансом </w:t>
            </w:r>
            <w:r w:rsidRPr="008E4F27">
              <w:rPr>
                <w:rFonts w:ascii="Garamond" w:hAnsi="Garamond"/>
                <w:bCs/>
                <w:color w:val="000000"/>
                <w:sz w:val="22"/>
                <w:szCs w:val="22"/>
              </w:rPr>
              <w:t>ФАС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, за исключением ФСК;</w:t>
            </w:r>
          </w:p>
          <w:p w:rsidR="002914A6" w:rsidRPr="001C2D45" w:rsidRDefault="002914A6" w:rsidP="002914A6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Pr="00714323">
              <w:rPr>
                <w:rFonts w:ascii="Garamond" w:hAnsi="Garamond" w:cs="Times New Roman"/>
                <w:i/>
                <w:sz w:val="22"/>
                <w:szCs w:val="22"/>
                <w:highlight w:val="yellow"/>
                <w:lang w:eastAsia="en-US"/>
              </w:rPr>
              <w:t>в целях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балансирования системы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</w:t>
            </w:r>
            <w:r w:rsidRPr="00714323">
              <w:rPr>
                <w:rFonts w:ascii="Garamond" w:hAnsi="Garamond" w:cs="Times New Roman"/>
                <w:i/>
                <w:sz w:val="22"/>
                <w:szCs w:val="22"/>
                <w:highlight w:val="yellow"/>
                <w:lang w:eastAsia="en-US"/>
              </w:rPr>
              <w:t>в целях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балансирования системы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―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для всех </w:t>
            </w:r>
            <w:r w:rsidRPr="00593661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/>
                <w:sz w:val="22"/>
                <w:szCs w:val="22"/>
              </w:rPr>
              <w:t>частников оптового рынка;</w:t>
            </w:r>
          </w:p>
          <w:p w:rsidR="002914A6" w:rsidRPr="002914A6" w:rsidRDefault="002914A6" w:rsidP="002914A6">
            <w:r>
              <w:t>…</w:t>
            </w:r>
          </w:p>
        </w:tc>
        <w:tc>
          <w:tcPr>
            <w:tcW w:w="7088" w:type="dxa"/>
            <w:vAlign w:val="center"/>
          </w:tcPr>
          <w:p w:rsidR="002914A6" w:rsidRDefault="002914A6" w:rsidP="002914A6">
            <w:pPr>
              <w:pStyle w:val="3"/>
              <w:numPr>
                <w:ilvl w:val="0"/>
                <w:numId w:val="0"/>
              </w:numPr>
              <w:ind w:firstLine="601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…</w:t>
            </w:r>
          </w:p>
          <w:p w:rsidR="002914A6" w:rsidRPr="001C2D45" w:rsidRDefault="002914A6" w:rsidP="002914A6">
            <w:pPr>
              <w:pStyle w:val="ConsNormal"/>
              <w:spacing w:before="120" w:after="120"/>
              <w:ind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Для осуществления купли-продажи электроэнергии и (или) мощности с использовани</w:t>
            </w:r>
            <w:r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ем указанных выше механизмов, участники оптового рынка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заключают договоры:</w:t>
            </w:r>
          </w:p>
          <w:p w:rsidR="002914A6" w:rsidRPr="00F64B75" w:rsidRDefault="002914A6" w:rsidP="002914A6">
            <w:pPr>
              <w:pStyle w:val="ConsNormal"/>
              <w:spacing w:before="120" w:after="120"/>
              <w:ind w:right="0"/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…</w:t>
            </w:r>
          </w:p>
          <w:p w:rsidR="002914A6" w:rsidRDefault="002914A6" w:rsidP="002914A6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ценовых заявок на сутки вперед </w:t>
            </w:r>
            <w:r w:rsidR="00714323" w:rsidRPr="00A11962">
              <w:rPr>
                <w:rFonts w:ascii="Garamond" w:hAnsi="Garamond"/>
                <w:i/>
                <w:sz w:val="22"/>
                <w:szCs w:val="22"/>
                <w:highlight w:val="yellow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="00714323"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―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="00593661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для </w:t>
            </w:r>
            <w:r w:rsidR="00593661" w:rsidRPr="00593661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п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оставщиков электрической энергии по балансу </w:t>
            </w:r>
            <w:r w:rsidRPr="008E4F27">
              <w:rPr>
                <w:rFonts w:ascii="Garamond" w:hAnsi="Garamond"/>
                <w:bCs/>
                <w:color w:val="000000"/>
                <w:sz w:val="22"/>
                <w:szCs w:val="22"/>
              </w:rPr>
              <w:t>ФАС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;</w:t>
            </w:r>
          </w:p>
          <w:p w:rsidR="002914A6" w:rsidRDefault="002914A6" w:rsidP="002914A6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по результатам конкурентного отбора ценовых заявок на сутки вперед </w:t>
            </w:r>
            <w:r w:rsidR="00714323" w:rsidRPr="00C62C6D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="00714323"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―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593661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для </w:t>
            </w:r>
            <w:r w:rsidR="00593661" w:rsidRPr="00593661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у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частников оптового рынка – потребителей электроэнергии (мощности) в соответствии со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сводным прогнозным балансом </w:t>
            </w:r>
            <w:r w:rsidRPr="008E4F27">
              <w:rPr>
                <w:rFonts w:ascii="Garamond" w:hAnsi="Garamond"/>
                <w:bCs/>
                <w:color w:val="000000"/>
                <w:sz w:val="22"/>
                <w:szCs w:val="22"/>
              </w:rPr>
              <w:t>ФАС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, за исключением ФСК;</w:t>
            </w:r>
          </w:p>
          <w:p w:rsidR="00714323" w:rsidRPr="007A4216" w:rsidRDefault="002914A6" w:rsidP="007A4216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="00714323" w:rsidRPr="00EE37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по результатам конкурентного отбора заявок для</w:t>
            </w:r>
            <w:r w:rsidR="00714323"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>балансирования системы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14323" w:rsidRPr="00EE37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="00714323" w:rsidRPr="001C2D4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и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</w:t>
            </w:r>
            <w:r w:rsidR="00714323" w:rsidRPr="00EE37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по результатам конкурентного отбора заявок для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балансирования системы</w:t>
            </w:r>
            <w:r w:rsidR="00714323" w:rsidRPr="00EE37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 xml:space="preserve"> в обеспечение поставки электрической энергии в объеме перетока по границе с ценовыми зонами оптового рынка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―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="00593661">
              <w:rPr>
                <w:rFonts w:ascii="Garamond" w:hAnsi="Garamond"/>
                <w:sz w:val="22"/>
                <w:szCs w:val="22"/>
              </w:rPr>
              <w:t xml:space="preserve">для всех </w:t>
            </w:r>
            <w:r w:rsidR="00593661" w:rsidRPr="00593661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частников оптового </w:t>
            </w:r>
            <w:r w:rsidRPr="001C2D45">
              <w:rPr>
                <w:rFonts w:ascii="Garamond" w:hAnsi="Garamond"/>
                <w:sz w:val="22"/>
                <w:szCs w:val="22"/>
              </w:rPr>
              <w:lastRenderedPageBreak/>
              <w:t>рынка;</w:t>
            </w:r>
          </w:p>
          <w:p w:rsidR="002914A6" w:rsidRPr="007A4216" w:rsidRDefault="002914A6" w:rsidP="002914A6">
            <w:pPr>
              <w:pStyle w:val="3"/>
              <w:numPr>
                <w:ilvl w:val="0"/>
                <w:numId w:val="0"/>
              </w:numPr>
              <w:ind w:firstLine="601"/>
              <w:rPr>
                <w:rFonts w:ascii="Garamond" w:hAnsi="Garamond"/>
                <w:b w:val="0"/>
                <w:sz w:val="22"/>
                <w:szCs w:val="22"/>
              </w:rPr>
            </w:pPr>
            <w:r w:rsidRPr="007A4216">
              <w:rPr>
                <w:b w:val="0"/>
              </w:rPr>
              <w:t>…</w:t>
            </w:r>
          </w:p>
        </w:tc>
      </w:tr>
      <w:tr w:rsidR="00F90A8C" w:rsidRPr="00E569AF" w:rsidTr="007F6A80">
        <w:trPr>
          <w:trHeight w:val="435"/>
        </w:trPr>
        <w:tc>
          <w:tcPr>
            <w:tcW w:w="1008" w:type="dxa"/>
            <w:vAlign w:val="center"/>
          </w:tcPr>
          <w:p w:rsidR="00F90A8C" w:rsidRPr="00BB2DCE" w:rsidRDefault="00F90A8C" w:rsidP="007F6A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5.3</w:t>
            </w:r>
          </w:p>
        </w:tc>
        <w:tc>
          <w:tcPr>
            <w:tcW w:w="6755" w:type="dxa"/>
            <w:vAlign w:val="center"/>
          </w:tcPr>
          <w:p w:rsidR="004E4754" w:rsidRDefault="00C62C6D" w:rsidP="00272C87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>
              <w:rPr>
                <w:rFonts w:ascii="Garamond" w:hAnsi="Garamond" w:cs="Times New Roman"/>
                <w:sz w:val="22"/>
                <w:szCs w:val="22"/>
                <w:lang w:eastAsia="en-US"/>
              </w:rPr>
              <w:t>….</w:t>
            </w:r>
          </w:p>
          <w:p w:rsidR="00C62C6D" w:rsidRPr="001C2D45" w:rsidRDefault="00C62C6D" w:rsidP="00C62C6D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– </w:t>
            </w:r>
            <w:r w:rsidRPr="001C2D45">
              <w:rPr>
                <w:rFonts w:ascii="Garamond" w:hAnsi="Garamond" w:cs="Times New Roman"/>
                <w:caps/>
                <w:sz w:val="22"/>
                <w:szCs w:val="22"/>
                <w:lang w:eastAsia="en-US"/>
              </w:rPr>
              <w:t>о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рганизация, осуществляющая функции Единого закупщика на территории второй неценовой зоны заключает следующие договоры:</w:t>
            </w:r>
          </w:p>
          <w:p w:rsidR="00C62C6D" w:rsidRPr="001C2D45" w:rsidRDefault="00C62C6D" w:rsidP="00C62C6D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>Договор купли-продажи электрической энергии по результатам конкурентного отбора ценовых заявок на сутки вперед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;</w:t>
            </w:r>
          </w:p>
          <w:p w:rsidR="00C62C6D" w:rsidRPr="001C2D45" w:rsidRDefault="00C62C6D" w:rsidP="00C62C6D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Pr="00AC632F">
              <w:rPr>
                <w:rFonts w:ascii="Garamond" w:hAnsi="Garamond" w:cs="Times New Roman"/>
                <w:i/>
                <w:sz w:val="22"/>
                <w:szCs w:val="22"/>
                <w:highlight w:val="yellow"/>
                <w:lang w:eastAsia="en-US"/>
              </w:rPr>
              <w:t>в целях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балансирования системы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</w:t>
            </w:r>
            <w:r w:rsidRPr="00AC632F">
              <w:rPr>
                <w:rFonts w:ascii="Garamond" w:hAnsi="Garamond" w:cs="Times New Roman"/>
                <w:i/>
                <w:sz w:val="22"/>
                <w:szCs w:val="22"/>
                <w:highlight w:val="yellow"/>
                <w:lang w:eastAsia="en-US"/>
              </w:rPr>
              <w:t>в целях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балансирования системы</w:t>
            </w:r>
            <w:r w:rsidRPr="001C2D45">
              <w:rPr>
                <w:rFonts w:ascii="Garamond" w:hAnsi="Garamond"/>
                <w:sz w:val="22"/>
                <w:szCs w:val="22"/>
              </w:rPr>
              <w:t>;</w:t>
            </w:r>
          </w:p>
          <w:p w:rsidR="00272C87" w:rsidRDefault="00F90A8C" w:rsidP="00272C87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>
              <w:rPr>
                <w:rFonts w:ascii="Garamond" w:hAnsi="Garamond" w:cs="Times New Roman"/>
                <w:sz w:val="22"/>
                <w:szCs w:val="22"/>
                <w:lang w:eastAsia="en-US"/>
              </w:rPr>
              <w:t>….</w:t>
            </w:r>
          </w:p>
          <w:p w:rsidR="00272C87" w:rsidRDefault="00272C87" w:rsidP="00272C87">
            <w:pPr>
              <w:pStyle w:val="ConsNormal"/>
              <w:spacing w:before="120" w:after="120"/>
              <w:ind w:right="0" w:firstLine="552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DC45B2">
              <w:rPr>
                <w:rFonts w:ascii="Garamond" w:hAnsi="Garamond"/>
                <w:sz w:val="22"/>
                <w:szCs w:val="22"/>
                <w:highlight w:val="yellow"/>
              </w:rPr>
              <w:t>Организация, исполняющая функции единого закупщика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в отношении ГТП потребления, расположенных на территории второй ценовой зоны и включающих ВЭ, временно электрически изолированные от второй ценовой зоны и работающие синхронно со второй </w:t>
            </w:r>
            <w:r w:rsidRPr="00DC45B2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не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ценовой зоной,</w:t>
            </w:r>
            <w:r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осуществляют куплю-продажу электроэнергии (мощности) по границе со второй неценовой зоной, в том числе по точкам поставки, располагающимся на электрических сетях, принадлежащих на праве собственности или ином законном основании организации по управлению единой национальной (общероссийской) электрической сетью,</w:t>
            </w:r>
            <w:r w:rsidRPr="001C2D4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с использованием механизмов:</w:t>
            </w:r>
          </w:p>
          <w:p w:rsidR="00272C87" w:rsidRPr="001C2D45" w:rsidRDefault="00272C87" w:rsidP="00272C87">
            <w:pPr>
              <w:pStyle w:val="ConsNormal"/>
              <w:widowControl/>
              <w:numPr>
                <w:ilvl w:val="0"/>
                <w:numId w:val="9"/>
              </w:numPr>
              <w:spacing w:before="120" w:after="120"/>
              <w:ind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sz w:val="22"/>
                <w:szCs w:val="22"/>
              </w:rPr>
              <w:t xml:space="preserve">указанных в разделе 7 настоящего Регламента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―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для второй неценовой зоны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:rsidR="00272C87" w:rsidRPr="001C2D45" w:rsidRDefault="00272C87" w:rsidP="00272C87">
            <w:pPr>
              <w:pStyle w:val="ConsNormal"/>
              <w:widowControl/>
              <w:numPr>
                <w:ilvl w:val="0"/>
                <w:numId w:val="9"/>
              </w:numPr>
              <w:spacing w:before="120" w:after="120"/>
              <w:ind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sz w:val="22"/>
                <w:szCs w:val="22"/>
              </w:rPr>
              <w:t xml:space="preserve">конкурентного отбора ценовых заявок на сутки вперед в отношении объемов, формирующих переток с ценовой зоной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―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в соответствии с 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Регламентом проведения конкурентного отбора ценовых заявок на сутки вперед </w:t>
            </w:r>
            <w:r w:rsidRPr="001C2D45">
              <w:rPr>
                <w:rFonts w:ascii="Garamond" w:hAnsi="Garamond"/>
                <w:sz w:val="22"/>
                <w:szCs w:val="22"/>
              </w:rPr>
              <w:t>(Приложение № 7 к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1C2D45">
              <w:rPr>
                <w:rFonts w:ascii="Garamond" w:hAnsi="Garamond"/>
                <w:sz w:val="22"/>
                <w:szCs w:val="22"/>
              </w:rPr>
              <w:t>.</w:t>
            </w:r>
          </w:p>
          <w:p w:rsidR="00126534" w:rsidRPr="001C2D45" w:rsidRDefault="00126534" w:rsidP="00126534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– Поставщики электрической энергии и мощности заключают следующие договоры:</w:t>
            </w:r>
          </w:p>
          <w:p w:rsidR="00126534" w:rsidRPr="001C2D45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Четырехсторонние договоры купли-продажи электроэнергии на 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lastRenderedPageBreak/>
              <w:t xml:space="preserve">территориях субъектов Российской Федерации, не объединенных в ценовые зоны оптового рынка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Организацией, осуществляющей функции Единого закупщика на территории второй неценовой зоны, в качестве продавца</w:t>
            </w:r>
            <w:r w:rsidRPr="001C2D45">
              <w:rPr>
                <w:rFonts w:ascii="Garamond" w:hAnsi="Garamond"/>
                <w:sz w:val="22"/>
                <w:szCs w:val="22"/>
              </w:rPr>
              <w:t>;</w:t>
            </w:r>
          </w:p>
          <w:p w:rsidR="00126534" w:rsidRPr="001C2D45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</w:rPr>
              <w:t>Четырехсторонние договоры купли-продажи электроэнергии на территориях субъектов Российской Федерации, не объединенны</w:t>
            </w:r>
            <w:r>
              <w:rPr>
                <w:rFonts w:ascii="Garamond" w:hAnsi="Garamond"/>
                <w:i/>
                <w:sz w:val="22"/>
                <w:szCs w:val="22"/>
              </w:rPr>
              <w:t>х в ценовые зоны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Организацией, осуществляющей функции Единого закупщика на территории второй неценовой зоны, в качестве покупателя;</w:t>
            </w:r>
          </w:p>
          <w:p w:rsidR="00126534" w:rsidRPr="001C2D45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</w:rPr>
              <w:t>Четырехсторонние договоры купли-продажи мощности на территориях субъектов Российской Федерации, не объединенны</w:t>
            </w:r>
            <w:r>
              <w:rPr>
                <w:rFonts w:ascii="Garamond" w:hAnsi="Garamond"/>
                <w:i/>
                <w:sz w:val="22"/>
                <w:szCs w:val="22"/>
              </w:rPr>
              <w:t>х в ценовые зоны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Организацией, осуществляющей функции Единого закупщика на территории второй неценовой зоны, в качестве продавца; </w:t>
            </w:r>
          </w:p>
          <w:p w:rsidR="00126534" w:rsidRPr="001C2D45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>Договор комиссии на продажу электрической энергии по результатам конкурентн</w:t>
            </w:r>
            <w:r w:rsidRPr="00A11962">
              <w:rPr>
                <w:rFonts w:ascii="Garamond" w:hAnsi="Garamond" w:cs="Times New Roman"/>
                <w:i/>
                <w:sz w:val="22"/>
                <w:szCs w:val="22"/>
                <w:highlight w:val="yellow"/>
                <w:lang w:eastAsia="en-US"/>
              </w:rPr>
              <w:t>ых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отбор</w:t>
            </w:r>
            <w:r w:rsidRPr="00A11962">
              <w:rPr>
                <w:rFonts w:ascii="Garamond" w:hAnsi="Garamond" w:cs="Times New Roman"/>
                <w:i/>
                <w:sz w:val="22"/>
                <w:szCs w:val="22"/>
                <w:highlight w:val="yellow"/>
                <w:lang w:eastAsia="en-US"/>
              </w:rPr>
              <w:t>ов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ценовых заявок на сутки вперед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только 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5936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частников оптового рынка, осуществляющих производство электроэнергии на тепловых электростанциях;</w:t>
            </w:r>
          </w:p>
          <w:p w:rsidR="00126534" w:rsidRPr="001C2D45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по результатам конкурентного отбора заявок для балансирования системы ―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только 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5936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частников оптового рынка, осуществляющих производство электроэнергии на тепловых электростанциях;</w:t>
            </w:r>
          </w:p>
          <w:p w:rsidR="00126534" w:rsidRPr="001C2D45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Pr="00000B92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в целях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балансирования системы ― 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только для </w:t>
            </w:r>
            <w:r w:rsidRPr="005936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частников оптового рынка, осуществляющих производство электроэнергии на тепловых электростанциях.</w:t>
            </w:r>
          </w:p>
          <w:p w:rsidR="00F90A8C" w:rsidRPr="001C2D45" w:rsidRDefault="00F90A8C" w:rsidP="00F90A8C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– Покупатели электрической энергии и мощности, не исполняющие функции Единого закупщика, в том числе ФСК и </w:t>
            </w:r>
            <w:r w:rsidRPr="00593661">
              <w:rPr>
                <w:rFonts w:ascii="Garamond" w:hAnsi="Garamond" w:cs="Times New Roman"/>
                <w:caps/>
                <w:sz w:val="22"/>
                <w:szCs w:val="22"/>
                <w:highlight w:val="yellow"/>
                <w:lang w:eastAsia="en-US"/>
              </w:rPr>
              <w:t>у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частники оптового рынка, осуществляющие экспортно-импортные операции заключают следующие договоры:</w:t>
            </w:r>
          </w:p>
          <w:p w:rsidR="00F90A8C" w:rsidRPr="001C2D45" w:rsidRDefault="00F90A8C" w:rsidP="00F90A8C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</w:rPr>
              <w:lastRenderedPageBreak/>
              <w:t>Четырехсторонние договоры купли-продажи электроэнергии на территориях субъектов Российской Федерации, не объединенны</w:t>
            </w:r>
            <w:r>
              <w:rPr>
                <w:rFonts w:ascii="Garamond" w:hAnsi="Garamond"/>
                <w:i/>
                <w:sz w:val="22"/>
                <w:szCs w:val="22"/>
              </w:rPr>
              <w:t>х в ценовые зоны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Организацией, осуществляющей функции Единого закупщика на территории второй неценовой зоны, в качестве покупателя</w:t>
            </w:r>
            <w:r w:rsidRPr="001C2D45">
              <w:rPr>
                <w:rFonts w:ascii="Garamond" w:hAnsi="Garamond"/>
                <w:sz w:val="22"/>
                <w:szCs w:val="22"/>
              </w:rPr>
              <w:t>;</w:t>
            </w:r>
          </w:p>
          <w:p w:rsidR="00F90A8C" w:rsidRPr="001C2D45" w:rsidRDefault="00F90A8C" w:rsidP="00F90A8C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</w:rPr>
              <w:t>Четырехсторонние договоры купли-продажи мощности на территориях субъектов Российской Федерации, не объединенны</w:t>
            </w:r>
            <w:r>
              <w:rPr>
                <w:rFonts w:ascii="Garamond" w:hAnsi="Garamond"/>
                <w:i/>
                <w:sz w:val="22"/>
                <w:szCs w:val="22"/>
              </w:rPr>
              <w:t>х в ценовые зоны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Организацией, осуществляющей функции Единого закупщика на территории второй неценовой зоны, в качестве покупателя;</w:t>
            </w:r>
          </w:p>
          <w:p w:rsidR="00F90A8C" w:rsidRPr="001C2D45" w:rsidRDefault="00F90A8C" w:rsidP="00F90A8C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Другие соглашения и договоры, предусмотренные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Договором о присоединении к торговой системе оптового рынка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для участников оптового рынка, группы точек поставки которых зарегистрированы на территориях неценовых зон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.</w:t>
            </w:r>
          </w:p>
          <w:p w:rsidR="00F90A8C" w:rsidRPr="001C2D45" w:rsidRDefault="00F90A8C" w:rsidP="00F90A8C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Участники оптового рынка в отношении ГТП потребления (экспорта) и ГТП генерации (импорта), расположенных на территории второй неценовой зоны, могут заключать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>Д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вусторонние договоры купли-продажи электрической энергии на территориях субъектов Российской Федерации, не объединенных в ценовые зоны оптового рынка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, в порядке, определ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е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нном разделом 6 настоящего Регламента.</w:t>
            </w:r>
          </w:p>
          <w:p w:rsidR="00F90A8C" w:rsidRPr="0047096A" w:rsidRDefault="00F90A8C" w:rsidP="0047096A">
            <w:pPr>
              <w:pStyle w:val="3"/>
              <w:numPr>
                <w:ilvl w:val="0"/>
                <w:numId w:val="0"/>
              </w:numPr>
              <w:ind w:firstLine="601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:rsidR="00C62C6D" w:rsidRDefault="00C62C6D" w:rsidP="00C62C6D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>
              <w:rPr>
                <w:rFonts w:ascii="Garamond" w:hAnsi="Garamond" w:cs="Times New Roman"/>
                <w:sz w:val="22"/>
                <w:szCs w:val="22"/>
                <w:lang w:eastAsia="en-US"/>
              </w:rPr>
              <w:lastRenderedPageBreak/>
              <w:t>….</w:t>
            </w:r>
          </w:p>
          <w:p w:rsidR="00C62C6D" w:rsidRPr="001C2D45" w:rsidRDefault="00C62C6D" w:rsidP="00C62C6D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– </w:t>
            </w:r>
            <w:r w:rsidRPr="001C2D45">
              <w:rPr>
                <w:rFonts w:ascii="Garamond" w:hAnsi="Garamond" w:cs="Times New Roman"/>
                <w:caps/>
                <w:sz w:val="22"/>
                <w:szCs w:val="22"/>
                <w:lang w:eastAsia="en-US"/>
              </w:rPr>
              <w:t>о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рганизация, осуществляющая функции Единого закупщика на территории второй неценовой зоны заключает следующие договоры:</w:t>
            </w:r>
          </w:p>
          <w:p w:rsidR="00C62C6D" w:rsidRPr="001C2D45" w:rsidRDefault="00C62C6D" w:rsidP="00C62C6D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>Договор купли-продажи электрической энергии по результатам конкурентного отбора ценовых заявок на сутки вперед</w:t>
            </w:r>
            <w:r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C62C6D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C62C6D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;</w:t>
            </w:r>
          </w:p>
          <w:p w:rsidR="00C62C6D" w:rsidRPr="00C62C6D" w:rsidRDefault="00C62C6D" w:rsidP="00C62C6D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="00AC632F" w:rsidRPr="00EE37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по результатам конкурентного отбора заявок для</w:t>
            </w:r>
            <w:r w:rsidR="00AC632F" w:rsidRPr="00AC632F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>балансирования системы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AC632F" w:rsidRPr="00EE37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="00AC632F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и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 комиссии на продажу электрической энергии </w:t>
            </w:r>
            <w:r w:rsidR="00EE3771" w:rsidRPr="00EE37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по результатам конкурентного отбора заявок для</w:t>
            </w:r>
            <w:r w:rsidR="00EE3771" w:rsidRPr="00AC632F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>балансирования системы</w:t>
            </w:r>
            <w:r w:rsidR="00EE3771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</w:t>
            </w:r>
            <w:r w:rsidR="00EE3771" w:rsidRPr="00EE3771">
              <w:rPr>
                <w:rFonts w:ascii="Garamond" w:hAnsi="Garamond"/>
                <w:i/>
                <w:sz w:val="22"/>
                <w:szCs w:val="22"/>
                <w:highlight w:val="yellow"/>
                <w:lang w:eastAsia="en-US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EE3771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C62C6D" w:rsidRDefault="00C62C6D" w:rsidP="00C62C6D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>
              <w:rPr>
                <w:rFonts w:ascii="Garamond" w:hAnsi="Garamond" w:cs="Times New Roman"/>
                <w:sz w:val="22"/>
                <w:szCs w:val="22"/>
                <w:lang w:eastAsia="en-US"/>
              </w:rPr>
              <w:t>….</w:t>
            </w:r>
          </w:p>
          <w:p w:rsidR="001F3199" w:rsidRDefault="001F3199" w:rsidP="001F3199">
            <w:pPr>
              <w:pStyle w:val="ConsNormal"/>
              <w:spacing w:before="120" w:after="120"/>
              <w:ind w:right="0" w:firstLine="601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DC45B2">
              <w:rPr>
                <w:rFonts w:ascii="Garamond" w:hAnsi="Garamond"/>
                <w:sz w:val="22"/>
                <w:szCs w:val="22"/>
                <w:highlight w:val="yellow"/>
              </w:rPr>
              <w:t>Участники оптового рынка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в отношении ГТП потребления, расположенных на территории второй </w:t>
            </w:r>
            <w:r w:rsidRPr="00DC45B2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не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ценовой зоны и включающих ВЭ, временно электрически изолированные от второй </w:t>
            </w:r>
            <w:r w:rsidRPr="00DC45B2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не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ценовой зоны и работающие синхронно со второй ценовой зоной,</w:t>
            </w:r>
            <w:r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 </w:t>
            </w:r>
            <w:r w:rsidRPr="002939D4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а также участники оптового рынка, осуществляющие производство электроэнергии на тепловых электростанциях</w:t>
            </w:r>
            <w:r w:rsidR="00061991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 xml:space="preserve"> на территории второй неценовой зоны</w:t>
            </w:r>
            <w:r w:rsidRPr="002939D4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,</w:t>
            </w:r>
            <w:r w:rsidR="00503BB3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 xml:space="preserve"> – в случае если переток электрической энергии направлен из второй неценовой зоны во вторую ценовую зону</w:t>
            </w:r>
            <w:r w:rsidR="00503BB3" w:rsidRPr="002939D4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,</w:t>
            </w:r>
            <w:r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осуществляют куплю-продажу электроэнергии (мощности) по границе со второй ценовой зоной, в том числе по точкам поставки, располагающимся на электрических сетях, принадлежащих на праве собственности или ином законном основании организации по управлению единой национальной (общероссийской) электрической сетью,</w:t>
            </w:r>
            <w:r w:rsidRPr="001C2D45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с использованием механизмов:</w:t>
            </w:r>
          </w:p>
          <w:p w:rsidR="001F3199" w:rsidRPr="001C2D45" w:rsidRDefault="001F3199" w:rsidP="001F3199">
            <w:pPr>
              <w:pStyle w:val="ConsNormal"/>
              <w:widowControl/>
              <w:numPr>
                <w:ilvl w:val="0"/>
                <w:numId w:val="9"/>
              </w:numPr>
              <w:spacing w:before="120" w:after="120"/>
              <w:ind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sz w:val="22"/>
                <w:szCs w:val="22"/>
              </w:rPr>
              <w:t xml:space="preserve">указанных в разделе 7 настоящего Регламента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―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для второй неценовой зоны</w:t>
            </w:r>
            <w:r>
              <w:rPr>
                <w:rFonts w:ascii="Garamond" w:hAnsi="Garamond"/>
                <w:sz w:val="22"/>
                <w:szCs w:val="22"/>
              </w:rPr>
              <w:t>;</w:t>
            </w:r>
          </w:p>
          <w:p w:rsidR="001F3199" w:rsidRPr="001C2D45" w:rsidRDefault="001F3199" w:rsidP="001F3199">
            <w:pPr>
              <w:pStyle w:val="ConsNormal"/>
              <w:widowControl/>
              <w:numPr>
                <w:ilvl w:val="0"/>
                <w:numId w:val="9"/>
              </w:numPr>
              <w:spacing w:before="120" w:after="120"/>
              <w:ind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sz w:val="22"/>
                <w:szCs w:val="22"/>
              </w:rPr>
              <w:t xml:space="preserve">конкурентного отбора ценовых заявок на сутки вперед в </w:t>
            </w:r>
            <w:r w:rsidRPr="001C2D45">
              <w:rPr>
                <w:rFonts w:ascii="Garamond" w:hAnsi="Garamond"/>
                <w:sz w:val="22"/>
                <w:szCs w:val="22"/>
              </w:rPr>
              <w:lastRenderedPageBreak/>
              <w:t xml:space="preserve">отношении объемов, формирующих переток с ценовой зоной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―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 в соответствии с 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Регламентом проведения конкурентного отбора ценовых заявок на сутки вперед </w:t>
            </w:r>
            <w:r w:rsidRPr="001C2D45">
              <w:rPr>
                <w:rFonts w:ascii="Garamond" w:hAnsi="Garamond"/>
                <w:sz w:val="22"/>
                <w:szCs w:val="22"/>
              </w:rPr>
              <w:t>(Приложение № 7 к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1C2D45">
              <w:rPr>
                <w:rFonts w:ascii="Garamond" w:hAnsi="Garamond"/>
                <w:sz w:val="22"/>
                <w:szCs w:val="22"/>
              </w:rPr>
              <w:t>.</w:t>
            </w:r>
          </w:p>
          <w:p w:rsidR="00714323" w:rsidRDefault="00126534" w:rsidP="00126534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– Поставщики электрической энергии и мощности заключают следующие </w:t>
            </w:r>
          </w:p>
          <w:p w:rsidR="00126534" w:rsidRPr="001C2D45" w:rsidRDefault="00126534" w:rsidP="00126534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договоры:</w:t>
            </w:r>
          </w:p>
          <w:p w:rsidR="00126534" w:rsidRPr="001C2D45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Четырехсторонние договоры купли-продажи электроэнергии на территориях субъектов Российской Федерации, не объединенных в ценовые зоны оптового рынка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Организацией, осуществляющей функции Единого закупщика на территории второй неценовой зоны, в качестве продавца</w:t>
            </w:r>
            <w:r w:rsidRPr="001C2D45">
              <w:rPr>
                <w:rFonts w:ascii="Garamond" w:hAnsi="Garamond"/>
                <w:sz w:val="22"/>
                <w:szCs w:val="22"/>
              </w:rPr>
              <w:t>;</w:t>
            </w:r>
          </w:p>
          <w:p w:rsidR="00126534" w:rsidRPr="001C2D45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</w:rPr>
              <w:t>Четырехсторонние договоры купли-продажи электроэнергии на территориях субъектов Российской Федерации, не объединенны</w:t>
            </w:r>
            <w:r>
              <w:rPr>
                <w:rFonts w:ascii="Garamond" w:hAnsi="Garamond"/>
                <w:i/>
                <w:sz w:val="22"/>
                <w:szCs w:val="22"/>
              </w:rPr>
              <w:t>х в ценовые зоны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Организацией, осуществляющей функции Единого закупщика на территории второй неценовой зоны, в качестве покупателя;</w:t>
            </w:r>
          </w:p>
          <w:p w:rsidR="00126534" w:rsidRPr="001C2D45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</w:rPr>
              <w:t>Четырехсторонние договоры купли-продажи мощности на территориях субъектов Российской Федерации, не объединенны</w:t>
            </w:r>
            <w:r>
              <w:rPr>
                <w:rFonts w:ascii="Garamond" w:hAnsi="Garamond"/>
                <w:i/>
                <w:sz w:val="22"/>
                <w:szCs w:val="22"/>
              </w:rPr>
              <w:t>х в ценовые зоны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Организацией, осуществляющей функции Единого закупщика на территории второй неценовой зоны, в качестве продавца; </w:t>
            </w:r>
          </w:p>
          <w:p w:rsidR="00126534" w:rsidRPr="00A11962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>Договор комиссии на продажу электрической энергии по результатам конкурентн</w:t>
            </w:r>
            <w:r w:rsidR="00A11962" w:rsidRPr="00A11962">
              <w:rPr>
                <w:rFonts w:ascii="Garamond" w:hAnsi="Garamond" w:cs="Times New Roman"/>
                <w:i/>
                <w:sz w:val="22"/>
                <w:szCs w:val="22"/>
                <w:highlight w:val="yellow"/>
                <w:lang w:eastAsia="en-US"/>
              </w:rPr>
              <w:t>ого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отбор</w:t>
            </w:r>
            <w:r w:rsidR="00A11962" w:rsidRPr="00A11962">
              <w:rPr>
                <w:rFonts w:ascii="Garamond" w:hAnsi="Garamond" w:cs="Times New Roman"/>
                <w:i/>
                <w:sz w:val="22"/>
                <w:szCs w:val="22"/>
                <w:highlight w:val="yellow"/>
                <w:lang w:eastAsia="en-US"/>
              </w:rPr>
              <w:t>а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 ценовых заявок на сутки вперед </w:t>
            </w:r>
            <w:r w:rsidR="00A11962" w:rsidRPr="00A11962">
              <w:rPr>
                <w:rFonts w:ascii="Garamond" w:hAnsi="Garamond"/>
                <w:i/>
                <w:sz w:val="22"/>
                <w:szCs w:val="22"/>
                <w:highlight w:val="yellow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="00A11962" w:rsidRPr="00A11962">
              <w:rPr>
                <w:rFonts w:ascii="Roboto bold" w:hAnsi="Roboto bold"/>
              </w:rPr>
              <w:t xml:space="preserve">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–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только </w:t>
            </w:r>
            <w:r w:rsidR="00593661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="00593661" w:rsidRPr="005936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частников оптового рынка, осуществляющих производство электроэнергии на тепловых электростанциях;</w:t>
            </w:r>
          </w:p>
          <w:p w:rsidR="00126534" w:rsidRPr="00A11962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Договор комиссии на продажу электрической энергии по результатам конкурентного отбора заявок для балансирования системы</w:t>
            </w:r>
            <w:r w:rsidR="00A11962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="00A11962" w:rsidRPr="00A11962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― 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только </w:t>
            </w:r>
            <w:r w:rsidR="00593661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="00593661" w:rsidRPr="005936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 xml:space="preserve">частников оптового рынка, осуществляющих 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производство электроэнергии на тепловых электростанциях;</w:t>
            </w:r>
          </w:p>
          <w:p w:rsidR="00126534" w:rsidRPr="00000B92" w:rsidRDefault="00126534" w:rsidP="00126534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Договор купли-продажи электрической энергии </w:t>
            </w:r>
            <w:r w:rsidR="00000B92" w:rsidRPr="00000B92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по результатам конкурентного отбора заявок для</w:t>
            </w:r>
            <w:r w:rsidR="00000B92"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балансирования системы</w:t>
            </w:r>
            <w:r w:rsidR="00000B92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="00000B92" w:rsidRPr="00000B92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― </w:t>
            </w:r>
            <w:r w:rsidR="00593661">
              <w:rPr>
                <w:rFonts w:ascii="Garamond" w:hAnsi="Garamond"/>
                <w:sz w:val="22"/>
                <w:szCs w:val="22"/>
                <w:lang w:eastAsia="en-US"/>
              </w:rPr>
              <w:t xml:space="preserve">только для </w:t>
            </w:r>
            <w:r w:rsidR="00593661" w:rsidRPr="005936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частников оптового рынка, осуществляющих производство электроэнергии на тепловых электростанциях.</w:t>
            </w:r>
          </w:p>
          <w:p w:rsidR="001F3199" w:rsidRPr="001C2D45" w:rsidRDefault="001F3199" w:rsidP="001F3199">
            <w:pPr>
              <w:pStyle w:val="ConsNormal"/>
              <w:spacing w:before="120" w:after="120"/>
              <w:ind w:right="0" w:firstLine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– Покупатели электрической энергии и мощности, не исполняющие функции Единого закупщика, в том числе ФСК и </w:t>
            </w:r>
            <w:r w:rsidR="00593661" w:rsidRPr="00593661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частники оптового рынка, осуществляющие экспортно-импортные операции заключают следующие договоры:</w:t>
            </w:r>
          </w:p>
          <w:p w:rsidR="001F3199" w:rsidRPr="001C2D45" w:rsidRDefault="001F3199" w:rsidP="001F3199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</w:rPr>
              <w:t>Четырехсторонние договоры купли-продажи электроэнергии на территориях субъектов Российской Федерации, не объединенны</w:t>
            </w:r>
            <w:r>
              <w:rPr>
                <w:rFonts w:ascii="Garamond" w:hAnsi="Garamond"/>
                <w:i/>
                <w:sz w:val="22"/>
                <w:szCs w:val="22"/>
              </w:rPr>
              <w:t>х в ценовые зоны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Организацией, осуществляющей функции Единого закупщика на территории второй неценовой зоны, в качестве покупателя</w:t>
            </w:r>
            <w:r w:rsidRPr="001C2D45">
              <w:rPr>
                <w:rFonts w:ascii="Garamond" w:hAnsi="Garamond"/>
                <w:sz w:val="22"/>
                <w:szCs w:val="22"/>
              </w:rPr>
              <w:t>;</w:t>
            </w:r>
          </w:p>
          <w:p w:rsidR="001F3199" w:rsidRPr="001C2D45" w:rsidRDefault="001F3199" w:rsidP="001F3199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C2D45">
              <w:rPr>
                <w:rFonts w:ascii="Garamond" w:hAnsi="Garamond"/>
                <w:i/>
                <w:sz w:val="22"/>
                <w:szCs w:val="22"/>
              </w:rPr>
              <w:t>Четырехсторонние договоры купли-продажи мощности на территориях субъектов Российской Федерации, не объединенны</w:t>
            </w:r>
            <w:r>
              <w:rPr>
                <w:rFonts w:ascii="Garamond" w:hAnsi="Garamond"/>
                <w:i/>
                <w:sz w:val="22"/>
                <w:szCs w:val="22"/>
              </w:rPr>
              <w:t>х в ценовые зоны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/>
                <w:sz w:val="22"/>
                <w:szCs w:val="22"/>
              </w:rPr>
              <w:t xml:space="preserve">с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Организацией, осуществляющей функции Единого закупщика на территории второй неценовой зоны, в качестве покупателя;</w:t>
            </w:r>
          </w:p>
          <w:p w:rsidR="001F3199" w:rsidRPr="00F90A8C" w:rsidRDefault="001F3199" w:rsidP="001F3199">
            <w:pPr>
              <w:pStyle w:val="ConsNormal"/>
              <w:numPr>
                <w:ilvl w:val="1"/>
                <w:numId w:val="4"/>
              </w:numPr>
              <w:tabs>
                <w:tab w:val="clear" w:pos="2520"/>
              </w:tabs>
              <w:spacing w:before="120" w:after="120"/>
              <w:ind w:left="1440" w:right="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Другие соглашения и договоры, предусмотренные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 xml:space="preserve">Договором о присоединении к торговой системе оптового рынка </w:t>
            </w: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>для участников оптового рынка, группы точек поставки которых зарегистрированы на территориях неценовых зон оптового рынка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.</w:t>
            </w:r>
          </w:p>
          <w:p w:rsidR="001F3199" w:rsidRPr="0030401E" w:rsidRDefault="001F3199" w:rsidP="00593661">
            <w:pPr>
              <w:pStyle w:val="ConsNormal"/>
              <w:spacing w:before="120" w:after="120"/>
              <w:ind w:right="0" w:firstLine="459"/>
              <w:jc w:val="both"/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</w:pPr>
            <w:r w:rsidRPr="0030401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Кроме </w:t>
            </w:r>
            <w:r w:rsidR="003571D6" w:rsidRPr="0030401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указанных выше договоров</w:t>
            </w:r>
            <w:r w:rsidRPr="0030401E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 покупатели электрической энергии и мощности, не исполняющие функции Единого закупщика, ГТП потребления которых включает ВЭ, </w:t>
            </w:r>
            <w:r w:rsidRPr="0030401E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заключают:</w:t>
            </w:r>
          </w:p>
          <w:p w:rsidR="00E9349B" w:rsidRPr="0030401E" w:rsidRDefault="001F3199" w:rsidP="00593661">
            <w:pPr>
              <w:pStyle w:val="ConsNormal"/>
              <w:numPr>
                <w:ilvl w:val="0"/>
                <w:numId w:val="32"/>
              </w:numPr>
              <w:spacing w:before="120" w:after="120"/>
              <w:ind w:left="884" w:right="0"/>
              <w:jc w:val="both"/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</w:pPr>
            <w:r w:rsidRPr="0030401E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Договор купли-продажи электрической энергии по результатам конкурентного отбора ценовых заявок на сутки вперед</w:t>
            </w:r>
            <w:r w:rsidR="00E9349B" w:rsidRPr="0030401E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="00E9349B" w:rsidRPr="0030401E">
              <w:rPr>
                <w:rFonts w:ascii="Garamond" w:hAnsi="Garamond"/>
                <w:color w:val="252525"/>
                <w:sz w:val="22"/>
                <w:szCs w:val="22"/>
                <w:highlight w:val="yellow"/>
              </w:rPr>
              <w:t xml:space="preserve">в </w:t>
            </w:r>
            <w:r w:rsidR="00E9349B" w:rsidRPr="0030401E">
              <w:rPr>
                <w:rFonts w:ascii="Garamond" w:hAnsi="Garamond"/>
                <w:color w:val="252525"/>
                <w:sz w:val="22"/>
                <w:szCs w:val="22"/>
                <w:highlight w:val="yellow"/>
              </w:rPr>
              <w:lastRenderedPageBreak/>
              <w:t>обеспечение поставки электрической энергии в объеме перетока по границе с ценовыми зонами оптового рынка</w:t>
            </w:r>
            <w:r w:rsidRPr="0030401E"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  <w:t>;</w:t>
            </w:r>
          </w:p>
          <w:p w:rsidR="00E9349B" w:rsidRPr="0030401E" w:rsidRDefault="00E9349B" w:rsidP="00593661">
            <w:pPr>
              <w:pStyle w:val="ConsNormal"/>
              <w:numPr>
                <w:ilvl w:val="0"/>
                <w:numId w:val="32"/>
              </w:numPr>
              <w:spacing w:before="120" w:after="120"/>
              <w:ind w:left="884" w:right="0"/>
              <w:jc w:val="both"/>
              <w:rPr>
                <w:rFonts w:ascii="Garamond" w:hAnsi="Garamond" w:cs="Times New Roman"/>
                <w:sz w:val="22"/>
                <w:szCs w:val="22"/>
                <w:highlight w:val="yellow"/>
                <w:lang w:eastAsia="en-US"/>
              </w:rPr>
            </w:pPr>
            <w:r w:rsidRPr="0030401E">
              <w:rPr>
                <w:rFonts w:ascii="Garamond" w:hAnsi="Garamond"/>
                <w:color w:val="252525"/>
                <w:sz w:val="22"/>
                <w:szCs w:val="22"/>
                <w:highlight w:val="yellow"/>
              </w:rPr>
              <w:t>Договор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рынка;</w:t>
            </w:r>
          </w:p>
          <w:p w:rsidR="001E35CE" w:rsidRPr="0030401E" w:rsidRDefault="00E9349B" w:rsidP="00593661">
            <w:pPr>
              <w:pStyle w:val="ConsNormal"/>
              <w:numPr>
                <w:ilvl w:val="0"/>
                <w:numId w:val="32"/>
              </w:numPr>
              <w:spacing w:before="120" w:after="120"/>
              <w:ind w:left="884" w:right="0"/>
              <w:jc w:val="both"/>
              <w:rPr>
                <w:rFonts w:ascii="Garamond" w:hAnsi="Garamond"/>
                <w:color w:val="252525"/>
                <w:sz w:val="22"/>
                <w:szCs w:val="22"/>
                <w:highlight w:val="yellow"/>
              </w:rPr>
            </w:pPr>
            <w:r w:rsidRPr="0030401E">
              <w:rPr>
                <w:rFonts w:ascii="Garamond" w:hAnsi="Garamond"/>
                <w:color w:val="252525"/>
                <w:sz w:val="22"/>
                <w:szCs w:val="22"/>
                <w:highlight w:val="yellow"/>
              </w:rPr>
              <w:t>Договор комиссии на продажу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рынка.</w:t>
            </w:r>
          </w:p>
          <w:p w:rsidR="001F3199" w:rsidRPr="001C2D45" w:rsidRDefault="001F3199" w:rsidP="001F3199">
            <w:pPr>
              <w:pStyle w:val="ConsNormal"/>
              <w:spacing w:before="120" w:after="120"/>
              <w:ind w:right="0" w:firstLine="600"/>
              <w:jc w:val="both"/>
              <w:rPr>
                <w:rFonts w:ascii="Garamond" w:hAnsi="Garamond" w:cs="Times New Roman"/>
                <w:sz w:val="22"/>
                <w:szCs w:val="22"/>
                <w:lang w:eastAsia="en-US"/>
              </w:rPr>
            </w:pPr>
            <w:r w:rsidRPr="001C2D45">
              <w:rPr>
                <w:rFonts w:ascii="Garamond" w:hAnsi="Garamond" w:cs="Times New Roman"/>
                <w:sz w:val="22"/>
                <w:szCs w:val="22"/>
                <w:lang w:eastAsia="en-US"/>
              </w:rPr>
              <w:t xml:space="preserve">Участники оптового рынка в отношении ГТП потребления (экспорта) и ГТП генерации (импорта), расположенных на территории второй неценовой зоны, могут заключать </w:t>
            </w:r>
            <w:r w:rsidRPr="001C2D45">
              <w:rPr>
                <w:rFonts w:ascii="Garamond" w:hAnsi="Garamond" w:cs="Times New Roman"/>
                <w:i/>
                <w:sz w:val="22"/>
                <w:szCs w:val="22"/>
                <w:lang w:eastAsia="en-US"/>
              </w:rPr>
              <w:t>Д</w:t>
            </w:r>
            <w:r w:rsidRPr="001C2D45">
              <w:rPr>
                <w:rFonts w:ascii="Garamond" w:hAnsi="Garamond"/>
                <w:i/>
                <w:sz w:val="22"/>
                <w:szCs w:val="22"/>
                <w:lang w:eastAsia="en-US"/>
              </w:rPr>
              <w:t>вусторонние договоры купли-продажи электрической энергии на территориях субъектов Российской Федерации, не объединенных в ценовые зоны оптового рынка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, в порядке, определ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>е</w:t>
            </w:r>
            <w:r w:rsidRPr="001C2D45">
              <w:rPr>
                <w:rFonts w:ascii="Garamond" w:hAnsi="Garamond"/>
                <w:sz w:val="22"/>
                <w:szCs w:val="22"/>
                <w:lang w:eastAsia="en-US"/>
              </w:rPr>
              <w:t>нном разделом 6 настоящего Регламента.</w:t>
            </w:r>
          </w:p>
          <w:p w:rsidR="00F90A8C" w:rsidRPr="0047096A" w:rsidRDefault="00F90A8C" w:rsidP="00AD1BDE">
            <w:pPr>
              <w:pStyle w:val="3"/>
              <w:numPr>
                <w:ilvl w:val="0"/>
                <w:numId w:val="0"/>
              </w:numPr>
              <w:ind w:firstLine="601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</w:tr>
      <w:tr w:rsidR="004C2CCC" w:rsidRPr="00E569AF" w:rsidTr="007F6A80">
        <w:trPr>
          <w:trHeight w:val="435"/>
        </w:trPr>
        <w:tc>
          <w:tcPr>
            <w:tcW w:w="1008" w:type="dxa"/>
            <w:vAlign w:val="center"/>
          </w:tcPr>
          <w:p w:rsidR="004C2CCC" w:rsidRPr="00BB2DCE" w:rsidRDefault="004C2CCC" w:rsidP="007F6A80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B2DCE">
              <w:rPr>
                <w:rFonts w:ascii="Garamond" w:hAnsi="Garamond"/>
                <w:b/>
                <w:sz w:val="22"/>
                <w:szCs w:val="22"/>
              </w:rPr>
              <w:lastRenderedPageBreak/>
              <w:t>7.2.1</w:t>
            </w:r>
          </w:p>
        </w:tc>
        <w:tc>
          <w:tcPr>
            <w:tcW w:w="6755" w:type="dxa"/>
            <w:vAlign w:val="center"/>
          </w:tcPr>
          <w:p w:rsidR="0047096A" w:rsidRPr="0047096A" w:rsidRDefault="0047096A" w:rsidP="0047096A">
            <w:pPr>
              <w:pStyle w:val="40"/>
              <w:numPr>
                <w:ilvl w:val="0"/>
                <w:numId w:val="0"/>
              </w:numPr>
              <w:ind w:firstLine="601"/>
              <w:rPr>
                <w:rFonts w:ascii="Garamond" w:hAnsi="Garamond"/>
                <w:szCs w:val="22"/>
              </w:rPr>
            </w:pPr>
            <w:r w:rsidRPr="0047096A">
              <w:rPr>
                <w:rFonts w:ascii="Garamond" w:hAnsi="Garamond"/>
                <w:szCs w:val="22"/>
              </w:rPr>
              <w:t xml:space="preserve">Участник оптового рынка, осуществляющий покупку электроэнергии по границе с ценовой зоной, ГТП потребления которого </w:t>
            </w:r>
            <w:r w:rsidRPr="00452055">
              <w:rPr>
                <w:rFonts w:ascii="Garamond" w:hAnsi="Garamond"/>
                <w:szCs w:val="22"/>
                <w:highlight w:val="yellow"/>
              </w:rPr>
              <w:t>отнесена ко второй неценовой зоне</w:t>
            </w:r>
            <w:r w:rsidRPr="0047096A">
              <w:rPr>
                <w:rFonts w:ascii="Garamond" w:hAnsi="Garamond"/>
                <w:szCs w:val="22"/>
              </w:rPr>
              <w:t xml:space="preserve"> и включает ВЭ, покупает по границе с ценовой зоной объем электроэнергии, составляющий величину пл</w:t>
            </w:r>
            <w:r w:rsidR="00593661">
              <w:rPr>
                <w:rFonts w:ascii="Garamond" w:hAnsi="Garamond"/>
                <w:szCs w:val="22"/>
              </w:rPr>
              <w:t xml:space="preserve">анового почасового потребления </w:t>
            </w:r>
            <w:r w:rsidRPr="0047096A">
              <w:rPr>
                <w:rFonts w:ascii="Garamond" w:hAnsi="Garamond"/>
                <w:szCs w:val="22"/>
              </w:rPr>
              <w:t xml:space="preserve">указанного внезонального энергорайона </w:t>
            </w:r>
            <w:r w:rsidRPr="0047096A">
              <w:rPr>
                <w:position w:val="-14"/>
                <w:szCs w:val="22"/>
              </w:rPr>
              <w:object w:dxaOrig="1400" w:dyaOrig="400">
                <v:shape id="_x0000_i1047" type="#_x0000_t75" style="width:70.5pt;height:20.25pt" o:ole="">
                  <v:imagedata r:id="rId43" o:title=""/>
                </v:shape>
                <o:OLEObject Type="Embed" ProgID="Equation.3" ShapeID="_x0000_i1047" DrawAspect="Content" ObjectID="_1541322803" r:id="rId44"/>
              </w:object>
            </w:r>
            <w:r w:rsidRPr="0047096A">
              <w:rPr>
                <w:szCs w:val="22"/>
              </w:rPr>
              <w:t xml:space="preserve">, </w:t>
            </w:r>
            <w:r w:rsidRPr="0047096A">
              <w:rPr>
                <w:rFonts w:ascii="Garamond" w:hAnsi="Garamond"/>
                <w:szCs w:val="22"/>
              </w:rPr>
              <w:t>определенную в соответствии с пунктом 4.4.4, увеличенную на объем перетока электрической энергии из второй ценовой зоны во вторую неценовую зону (за исключением перетока электрической энергии в изолированные узлы второй неценовой зоны работающие синхронно со второй ценовой зоной)</w:t>
            </w:r>
            <w:r w:rsidRPr="00A657C7">
              <w:rPr>
                <w:rFonts w:ascii="Garamond" w:hAnsi="Garamond"/>
                <w:szCs w:val="22"/>
                <w:highlight w:val="yellow"/>
              </w:rPr>
              <w:t xml:space="preserve">, по средневзвешенной цене на электроэнергию на границе между неценовой зоной и ценовой зоной </w:t>
            </w:r>
            <w:r w:rsidRPr="00A657C7">
              <w:rPr>
                <w:rFonts w:ascii="Garamond" w:hAnsi="Garamond"/>
                <w:szCs w:val="22"/>
                <w:highlight w:val="yellow"/>
              </w:rPr>
              <w:object w:dxaOrig="720" w:dyaOrig="400">
                <v:shape id="_x0000_i1048" type="#_x0000_t75" style="width:48pt;height:26.25pt" o:ole="">
                  <v:imagedata r:id="rId45" o:title=""/>
                </v:shape>
                <o:OLEObject Type="Embed" ProgID="Equation.DSMT4" ShapeID="_x0000_i1048" DrawAspect="Content" ObjectID="_1541322804" r:id="rId46"/>
              </w:object>
            </w:r>
            <w:r w:rsidRPr="00A657C7">
              <w:rPr>
                <w:rFonts w:ascii="Garamond" w:hAnsi="Garamond"/>
                <w:szCs w:val="22"/>
                <w:highlight w:val="yellow"/>
              </w:rPr>
              <w:t xml:space="preserve">, определяемой в соответствии с </w:t>
            </w:r>
            <w:r w:rsidRPr="00A657C7">
              <w:rPr>
                <w:rFonts w:ascii="Garamond" w:hAnsi="Garamond"/>
                <w:i/>
                <w:szCs w:val="22"/>
                <w:highlight w:val="yellow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A657C7">
              <w:rPr>
                <w:rFonts w:ascii="Garamond" w:hAnsi="Garamond"/>
                <w:szCs w:val="22"/>
                <w:highlight w:val="yellow"/>
              </w:rPr>
              <w:t xml:space="preserve"> (Приложение № 8 к </w:t>
            </w:r>
            <w:r w:rsidRPr="00A657C7">
              <w:rPr>
                <w:rFonts w:ascii="Garamond" w:hAnsi="Garamond"/>
                <w:i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A657C7">
              <w:rPr>
                <w:rFonts w:ascii="Garamond" w:hAnsi="Garamond"/>
                <w:szCs w:val="22"/>
                <w:highlight w:val="yellow"/>
              </w:rPr>
              <w:t>)</w:t>
            </w:r>
            <w:r w:rsidRPr="0047096A">
              <w:rPr>
                <w:rFonts w:ascii="Garamond" w:hAnsi="Garamond"/>
                <w:szCs w:val="22"/>
              </w:rPr>
              <w:t>:</w:t>
            </w:r>
          </w:p>
          <w:p w:rsidR="0047096A" w:rsidRPr="0047096A" w:rsidRDefault="0047096A" w:rsidP="0047096A">
            <w:pPr>
              <w:pStyle w:val="3"/>
              <w:numPr>
                <w:ilvl w:val="0"/>
                <w:numId w:val="0"/>
              </w:numPr>
              <w:rPr>
                <w:b w:val="0"/>
                <w:sz w:val="22"/>
                <w:szCs w:val="22"/>
              </w:rPr>
            </w:pPr>
            <w:r w:rsidRPr="0047096A">
              <w:rPr>
                <w:b w:val="0"/>
                <w:position w:val="-14"/>
                <w:sz w:val="22"/>
                <w:szCs w:val="22"/>
              </w:rPr>
              <w:object w:dxaOrig="3860" w:dyaOrig="400">
                <v:shape id="_x0000_i1049" type="#_x0000_t75" style="width:274.5pt;height:29.25pt" o:ole="">
                  <v:imagedata r:id="rId47" o:title=""/>
                </v:shape>
                <o:OLEObject Type="Embed" ProgID="Equation.3" ShapeID="_x0000_i1049" DrawAspect="Content" ObjectID="_1541322805" r:id="rId48"/>
              </w:object>
            </w:r>
            <w:r w:rsidRPr="0047096A">
              <w:rPr>
                <w:b w:val="0"/>
                <w:sz w:val="22"/>
                <w:szCs w:val="22"/>
              </w:rPr>
              <w:t>,</w:t>
            </w:r>
          </w:p>
          <w:p w:rsidR="004C2CCC" w:rsidRPr="006230EB" w:rsidRDefault="0047096A" w:rsidP="0047096A">
            <w:pPr>
              <w:pStyle w:val="3"/>
              <w:numPr>
                <w:ilvl w:val="0"/>
                <w:numId w:val="0"/>
              </w:numPr>
              <w:rPr>
                <w:rFonts w:ascii="Garamond" w:hAnsi="Garamond"/>
                <w:b w:val="0"/>
                <w:sz w:val="22"/>
                <w:szCs w:val="22"/>
              </w:rPr>
            </w:pPr>
            <w:r w:rsidRPr="0047096A">
              <w:rPr>
                <w:rFonts w:ascii="Garamond" w:hAnsi="Garamond"/>
                <w:b w:val="0"/>
                <w:sz w:val="22"/>
                <w:szCs w:val="22"/>
              </w:rPr>
              <w:t xml:space="preserve"> где</w:t>
            </w:r>
            <w:r w:rsidRPr="0047096A">
              <w:rPr>
                <w:b w:val="0"/>
                <w:position w:val="-14"/>
                <w:sz w:val="22"/>
                <w:szCs w:val="22"/>
              </w:rPr>
              <w:object w:dxaOrig="1300" w:dyaOrig="400">
                <v:shape id="_x0000_i1050" type="#_x0000_t75" style="width:65.25pt;height:20.25pt" o:ole="">
                  <v:imagedata r:id="rId49" o:title=""/>
                </v:shape>
                <o:OLEObject Type="Embed" ProgID="Equation.3" ShapeID="_x0000_i1050" DrawAspect="Content" ObjectID="_1541322806" r:id="rId50"/>
              </w:object>
            </w:r>
            <w:r w:rsidRPr="0047096A">
              <w:rPr>
                <w:rFonts w:ascii="Garamond" w:hAnsi="Garamond"/>
                <w:b w:val="0"/>
                <w:sz w:val="22"/>
                <w:szCs w:val="22"/>
              </w:rPr>
              <w:t xml:space="preserve"> –</w:t>
            </w:r>
            <w:r w:rsidRPr="0047096A">
              <w:rPr>
                <w:rFonts w:ascii="Garamond" w:hAnsi="Garamond"/>
                <w:b w:val="0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объем перетока электрической энергии из второй ценовой зоны во вторую неценовую зону (за исключением перетока электрической энергии в изолированные узлы второй неценовой зоны работающие синхронно со второй ценовой зоной), переданный СО в КО в составе актуализированной расчетной модели.</w:t>
            </w:r>
          </w:p>
        </w:tc>
        <w:tc>
          <w:tcPr>
            <w:tcW w:w="7088" w:type="dxa"/>
            <w:vAlign w:val="center"/>
          </w:tcPr>
          <w:p w:rsidR="004C2CCC" w:rsidRPr="0047096A" w:rsidRDefault="004C2CCC" w:rsidP="00AD1BDE">
            <w:pPr>
              <w:pStyle w:val="40"/>
              <w:numPr>
                <w:ilvl w:val="0"/>
                <w:numId w:val="0"/>
              </w:numPr>
              <w:ind w:firstLine="601"/>
              <w:rPr>
                <w:rFonts w:ascii="Garamond" w:hAnsi="Garamond"/>
                <w:szCs w:val="22"/>
              </w:rPr>
            </w:pPr>
            <w:r w:rsidRPr="0047096A">
              <w:rPr>
                <w:rFonts w:ascii="Garamond" w:hAnsi="Garamond"/>
                <w:szCs w:val="22"/>
              </w:rPr>
              <w:lastRenderedPageBreak/>
              <w:t xml:space="preserve">Участник оптового рынка, осуществляющий покупку электроэнергии по границе с ценовой зоной, ГТП потребления которого </w:t>
            </w:r>
            <w:r w:rsidR="00272C87">
              <w:rPr>
                <w:rFonts w:ascii="Garamond" w:hAnsi="Garamond"/>
                <w:szCs w:val="22"/>
                <w:highlight w:val="yellow"/>
              </w:rPr>
              <w:t>расположена</w:t>
            </w:r>
            <w:r w:rsidR="00272C87" w:rsidRPr="00452055">
              <w:rPr>
                <w:rFonts w:ascii="Garamond" w:hAnsi="Garamond"/>
                <w:szCs w:val="22"/>
                <w:highlight w:val="yellow"/>
              </w:rPr>
              <w:t xml:space="preserve"> на территории Амурской области</w:t>
            </w:r>
            <w:r w:rsidR="00272C87" w:rsidRPr="0047096A">
              <w:rPr>
                <w:rFonts w:ascii="Garamond" w:hAnsi="Garamond"/>
                <w:szCs w:val="22"/>
              </w:rPr>
              <w:t xml:space="preserve"> </w:t>
            </w:r>
            <w:r w:rsidRPr="0047096A">
              <w:rPr>
                <w:rFonts w:ascii="Garamond" w:hAnsi="Garamond"/>
                <w:szCs w:val="22"/>
              </w:rPr>
              <w:t>и включает ВЭ, покупает по границе с ценовой зоной объем электроэнергии, составляющий величину пл</w:t>
            </w:r>
            <w:r w:rsidR="00593661">
              <w:rPr>
                <w:rFonts w:ascii="Garamond" w:hAnsi="Garamond"/>
                <w:szCs w:val="22"/>
              </w:rPr>
              <w:t xml:space="preserve">анового почасового потребления </w:t>
            </w:r>
            <w:r w:rsidRPr="0047096A">
              <w:rPr>
                <w:rFonts w:ascii="Garamond" w:hAnsi="Garamond"/>
                <w:szCs w:val="22"/>
              </w:rPr>
              <w:t xml:space="preserve">указанного внезонального энергорайона </w:t>
            </w:r>
            <w:r w:rsidR="00483CFC" w:rsidRPr="0047096A">
              <w:rPr>
                <w:position w:val="-14"/>
                <w:szCs w:val="22"/>
              </w:rPr>
              <w:object w:dxaOrig="1400" w:dyaOrig="400">
                <v:shape id="_x0000_i1051" type="#_x0000_t75" style="width:70.5pt;height:20.25pt" o:ole="">
                  <v:imagedata r:id="rId43" o:title=""/>
                </v:shape>
                <o:OLEObject Type="Embed" ProgID="Equation.3" ShapeID="_x0000_i1051" DrawAspect="Content" ObjectID="_1541322807" r:id="rId51"/>
              </w:object>
            </w:r>
            <w:r w:rsidRPr="0047096A">
              <w:rPr>
                <w:szCs w:val="22"/>
              </w:rPr>
              <w:t xml:space="preserve">, </w:t>
            </w:r>
            <w:r w:rsidRPr="0047096A">
              <w:rPr>
                <w:rFonts w:ascii="Garamond" w:hAnsi="Garamond"/>
                <w:szCs w:val="22"/>
              </w:rPr>
              <w:t xml:space="preserve">определенную в соответствии с пунктом 4.4.4, </w:t>
            </w:r>
            <w:r w:rsidR="00483CFC" w:rsidRPr="0047096A">
              <w:rPr>
                <w:rFonts w:ascii="Garamond" w:hAnsi="Garamond"/>
                <w:szCs w:val="22"/>
              </w:rPr>
              <w:t>увеличенную на объем перетока электрической энергии из второй ценовой зоны во вторую неценовую зону (за исключением перетока электрической энергии в изолированные узлы второй неценовой зоны работающие синхронно со второй ценовой зоной)</w:t>
            </w:r>
            <w:r w:rsidR="00A657C7" w:rsidRPr="00A657C7">
              <w:rPr>
                <w:rFonts w:ascii="Garamond" w:hAnsi="Garamond"/>
                <w:szCs w:val="22"/>
              </w:rPr>
              <w:t>:</w:t>
            </w:r>
            <w:r w:rsidR="00483CFC" w:rsidRPr="0047096A">
              <w:rPr>
                <w:rFonts w:ascii="Garamond" w:hAnsi="Garamond"/>
                <w:szCs w:val="22"/>
              </w:rPr>
              <w:t xml:space="preserve"> </w:t>
            </w:r>
          </w:p>
          <w:p w:rsidR="00DD60DB" w:rsidRPr="0047096A" w:rsidRDefault="00B638E6" w:rsidP="007F6A80">
            <w:pPr>
              <w:pStyle w:val="3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47096A">
              <w:rPr>
                <w:position w:val="-14"/>
                <w:sz w:val="22"/>
                <w:szCs w:val="22"/>
              </w:rPr>
              <w:object w:dxaOrig="3860" w:dyaOrig="400">
                <v:shape id="_x0000_i1052" type="#_x0000_t75" style="width:274.5pt;height:29.25pt" o:ole="">
                  <v:imagedata r:id="rId47" o:title=""/>
                </v:shape>
                <o:OLEObject Type="Embed" ProgID="Equation.3" ShapeID="_x0000_i1052" DrawAspect="Content" ObjectID="_1541322808" r:id="rId52"/>
              </w:object>
            </w:r>
            <w:r w:rsidR="00AD1BDE" w:rsidRPr="0047096A">
              <w:rPr>
                <w:b w:val="0"/>
                <w:sz w:val="22"/>
                <w:szCs w:val="22"/>
              </w:rPr>
              <w:t>,</w:t>
            </w:r>
          </w:p>
          <w:p w:rsidR="004C2CCC" w:rsidRDefault="00DD60DB" w:rsidP="00AD1BDE">
            <w:pPr>
              <w:spacing w:before="120" w:after="120"/>
              <w:ind w:left="459" w:hanging="425"/>
              <w:jc w:val="both"/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</w:pPr>
            <w:r w:rsidRPr="0047096A">
              <w:rPr>
                <w:rFonts w:ascii="Garamond" w:hAnsi="Garamond"/>
                <w:sz w:val="22"/>
                <w:szCs w:val="22"/>
              </w:rPr>
              <w:t xml:space="preserve"> где</w:t>
            </w:r>
            <w:r w:rsidR="00AD1BDE" w:rsidRPr="0047096A">
              <w:rPr>
                <w:position w:val="-14"/>
                <w:sz w:val="22"/>
                <w:szCs w:val="22"/>
              </w:rPr>
              <w:object w:dxaOrig="1300" w:dyaOrig="400">
                <v:shape id="_x0000_i1053" type="#_x0000_t75" style="width:65.25pt;height:20.25pt" o:ole="">
                  <v:imagedata r:id="rId49" o:title=""/>
                </v:shape>
                <o:OLEObject Type="Embed" ProgID="Equation.3" ShapeID="_x0000_i1053" DrawAspect="Content" ObjectID="_1541322809" r:id="rId53"/>
              </w:object>
            </w:r>
            <w:r w:rsidR="00AD1BDE" w:rsidRPr="0047096A">
              <w:rPr>
                <w:rFonts w:ascii="Garamond" w:hAnsi="Garamond"/>
                <w:sz w:val="22"/>
                <w:szCs w:val="22"/>
              </w:rPr>
              <w:t xml:space="preserve"> –</w:t>
            </w:r>
            <w:r w:rsidR="00AD1BDE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t xml:space="preserve"> объем перетока электрической энергии из второй ценовой зоны во вторую неценовую зону (за исключением перетока электрической энергии в изолированные узлы второй неценовой зоны работающие синхронно со второй ценовой зоной), переданный </w:t>
            </w:r>
            <w:r w:rsidR="00AD1BDE" w:rsidRPr="0047096A"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  <w:lastRenderedPageBreak/>
              <w:t>СО в КО в составе актуализированной расчетной модели.</w:t>
            </w:r>
          </w:p>
          <w:p w:rsidR="00452055" w:rsidRPr="00452055" w:rsidRDefault="00452055" w:rsidP="00452055">
            <w:pPr>
              <w:pStyle w:val="40"/>
              <w:numPr>
                <w:ilvl w:val="0"/>
                <w:numId w:val="0"/>
              </w:numPr>
              <w:ind w:firstLine="601"/>
              <w:rPr>
                <w:rFonts w:ascii="Garamond" w:hAnsi="Garamond"/>
                <w:szCs w:val="22"/>
                <w:highlight w:val="yellow"/>
              </w:rPr>
            </w:pPr>
            <w:r w:rsidRPr="00452055">
              <w:rPr>
                <w:rFonts w:ascii="Garamond" w:hAnsi="Garamond"/>
                <w:szCs w:val="22"/>
                <w:highlight w:val="yellow"/>
              </w:rPr>
              <w:t xml:space="preserve">Участник оптового рынка, осуществляющий покупку электроэнергии по границе с ценовой зоной, ГТП потребления которого </w:t>
            </w:r>
            <w:r w:rsidR="00272C87">
              <w:rPr>
                <w:rFonts w:ascii="Garamond" w:hAnsi="Garamond"/>
                <w:szCs w:val="22"/>
                <w:highlight w:val="yellow"/>
              </w:rPr>
              <w:t>расположена</w:t>
            </w:r>
            <w:r w:rsidRPr="00452055">
              <w:rPr>
                <w:rFonts w:ascii="Garamond" w:hAnsi="Garamond"/>
                <w:szCs w:val="22"/>
                <w:highlight w:val="yellow"/>
              </w:rPr>
              <w:t xml:space="preserve"> на территории Республики Саха (Якутия) и включает ВЭ, покупает по границе с ценовой зоной объем электроэнергии в размере величины пл</w:t>
            </w:r>
            <w:r w:rsidR="006A4538">
              <w:rPr>
                <w:rFonts w:ascii="Garamond" w:hAnsi="Garamond"/>
                <w:szCs w:val="22"/>
                <w:highlight w:val="yellow"/>
              </w:rPr>
              <w:t xml:space="preserve">анового почасового потребления </w:t>
            </w:r>
            <w:r w:rsidRPr="00452055">
              <w:rPr>
                <w:rFonts w:ascii="Garamond" w:hAnsi="Garamond"/>
                <w:szCs w:val="22"/>
                <w:highlight w:val="yellow"/>
              </w:rPr>
              <w:t xml:space="preserve">указанного внезонального энергорайона </w:t>
            </w:r>
            <w:r w:rsidRPr="00452055">
              <w:rPr>
                <w:position w:val="-14"/>
                <w:szCs w:val="22"/>
                <w:highlight w:val="yellow"/>
              </w:rPr>
              <w:object w:dxaOrig="1400" w:dyaOrig="400">
                <v:shape id="_x0000_i1054" type="#_x0000_t75" style="width:70.5pt;height:20.25pt" o:ole="">
                  <v:imagedata r:id="rId43" o:title=""/>
                </v:shape>
                <o:OLEObject Type="Embed" ProgID="Equation.3" ShapeID="_x0000_i1054" DrawAspect="Content" ObjectID="_1541322810" r:id="rId54"/>
              </w:object>
            </w:r>
            <w:r w:rsidRPr="00452055">
              <w:rPr>
                <w:szCs w:val="22"/>
                <w:highlight w:val="yellow"/>
              </w:rPr>
              <w:t xml:space="preserve">, </w:t>
            </w:r>
            <w:r w:rsidRPr="00452055">
              <w:rPr>
                <w:rFonts w:ascii="Garamond" w:hAnsi="Garamond"/>
                <w:szCs w:val="22"/>
                <w:highlight w:val="yellow"/>
              </w:rPr>
              <w:t xml:space="preserve">определенной в </w:t>
            </w:r>
            <w:r w:rsidR="00593661">
              <w:rPr>
                <w:rFonts w:ascii="Garamond" w:hAnsi="Garamond"/>
                <w:szCs w:val="22"/>
                <w:highlight w:val="yellow"/>
              </w:rPr>
              <w:t>соответствии с пунктом 4.4.4</w:t>
            </w:r>
            <w:r w:rsidR="000C5A9D">
              <w:rPr>
                <w:rFonts w:ascii="Garamond" w:hAnsi="Garamond"/>
                <w:szCs w:val="22"/>
                <w:highlight w:val="yellow"/>
              </w:rPr>
              <w:t xml:space="preserve"> </w:t>
            </w:r>
            <w:r w:rsidR="00C44F9E" w:rsidRPr="00C44F9E">
              <w:rPr>
                <w:rFonts w:ascii="Garamond" w:hAnsi="Garamond"/>
                <w:szCs w:val="22"/>
                <w:highlight w:val="yellow"/>
              </w:rPr>
              <w:t>настоящего регламента:</w:t>
            </w:r>
          </w:p>
          <w:p w:rsidR="00452055" w:rsidRDefault="00452055" w:rsidP="00452055">
            <w:pPr>
              <w:spacing w:before="120" w:after="120"/>
              <w:ind w:left="459" w:hanging="425"/>
              <w:jc w:val="both"/>
              <w:rPr>
                <w:rFonts w:ascii="Garamond" w:hAnsi="Garamond"/>
                <w:noProof/>
                <w:color w:val="000000"/>
                <w:position w:val="-12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highlight w:val="yellow"/>
              </w:rPr>
              <w:tab/>
            </w:r>
            <w:r w:rsidR="00A86EC0" w:rsidRPr="00452055">
              <w:rPr>
                <w:position w:val="-14"/>
                <w:sz w:val="22"/>
                <w:szCs w:val="22"/>
                <w:highlight w:val="yellow"/>
              </w:rPr>
              <w:object w:dxaOrig="2380" w:dyaOrig="400">
                <v:shape id="_x0000_i1055" type="#_x0000_t75" style="width:168.75pt;height:29.25pt" o:ole="">
                  <v:imagedata r:id="rId55" o:title=""/>
                </v:shape>
                <o:OLEObject Type="Embed" ProgID="Equation.3" ShapeID="_x0000_i1055" DrawAspect="Content" ObjectID="_1541322811" r:id="rId56"/>
              </w:object>
            </w:r>
            <w:r w:rsidR="0030401E">
              <w:rPr>
                <w:sz w:val="22"/>
                <w:szCs w:val="22"/>
              </w:rPr>
              <w:t>.</w:t>
            </w:r>
          </w:p>
          <w:p w:rsidR="00452055" w:rsidRPr="0030401E" w:rsidRDefault="00295AE8" w:rsidP="00593661">
            <w:pPr>
              <w:spacing w:before="120" w:after="120"/>
              <w:ind w:left="34" w:firstLine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401E">
              <w:rPr>
                <w:rFonts w:ascii="Garamond" w:hAnsi="Garamond"/>
                <w:sz w:val="22"/>
                <w:szCs w:val="22"/>
                <w:highlight w:val="yellow"/>
              </w:rPr>
              <w:t>Стоимость у</w:t>
            </w:r>
            <w:r w:rsidR="0030401E">
              <w:rPr>
                <w:rFonts w:ascii="Garamond" w:hAnsi="Garamond"/>
                <w:sz w:val="22"/>
                <w:szCs w:val="22"/>
                <w:highlight w:val="yellow"/>
              </w:rPr>
              <w:t>казанных в настоящем пункте объе</w:t>
            </w:r>
            <w:r w:rsidRPr="0030401E">
              <w:rPr>
                <w:rFonts w:ascii="Garamond" w:hAnsi="Garamond"/>
                <w:sz w:val="22"/>
                <w:szCs w:val="22"/>
                <w:highlight w:val="yellow"/>
              </w:rPr>
              <w:t xml:space="preserve">мов электроэнергии определяется в соответствии с </w:t>
            </w:r>
            <w:r w:rsidRPr="0030401E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30401E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8 к </w:t>
            </w:r>
            <w:r w:rsidRPr="0030401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30401E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A657C7" w:rsidRPr="0030401E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  <w:tr w:rsidR="00876BC9" w:rsidRPr="00E569AF" w:rsidTr="007D6F88">
        <w:trPr>
          <w:trHeight w:val="435"/>
        </w:trPr>
        <w:tc>
          <w:tcPr>
            <w:tcW w:w="1008" w:type="dxa"/>
            <w:vAlign w:val="center"/>
          </w:tcPr>
          <w:p w:rsidR="00876BC9" w:rsidRPr="00BB2DCE" w:rsidRDefault="00876BC9" w:rsidP="00876BC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8</w:t>
            </w:r>
            <w:r w:rsidRPr="00BB2DCE">
              <w:rPr>
                <w:rFonts w:ascii="Garamond" w:hAnsi="Garamond"/>
                <w:b/>
                <w:sz w:val="22"/>
                <w:szCs w:val="22"/>
              </w:rPr>
              <w:t>.</w:t>
            </w:r>
            <w:r>
              <w:rPr>
                <w:rFonts w:ascii="Garamond" w:hAnsi="Garamond"/>
                <w:b/>
                <w:sz w:val="22"/>
                <w:szCs w:val="22"/>
              </w:rPr>
              <w:t>2</w:t>
            </w:r>
            <w:r w:rsidRPr="00BB2DCE">
              <w:rPr>
                <w:rFonts w:ascii="Garamond" w:hAnsi="Garamond"/>
                <w:b/>
                <w:sz w:val="22"/>
                <w:szCs w:val="22"/>
              </w:rPr>
              <w:t>.</w:t>
            </w:r>
            <w:r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755" w:type="dxa"/>
            <w:vAlign w:val="center"/>
          </w:tcPr>
          <w:p w:rsidR="00876BC9" w:rsidRPr="001B36F5" w:rsidRDefault="001B36F5" w:rsidP="001B36F5">
            <w:pPr>
              <w:pStyle w:val="7"/>
              <w:numPr>
                <w:ilvl w:val="6"/>
                <w:numId w:val="29"/>
              </w:numPr>
              <w:spacing w:before="120" w:after="120"/>
              <w:ind w:left="0" w:firstLine="600"/>
              <w:jc w:val="both"/>
              <w:rPr>
                <w:szCs w:val="22"/>
                <w:lang w:val="ru-RU"/>
              </w:rPr>
            </w:pPr>
            <w:r w:rsidRPr="001C2D45">
              <w:rPr>
                <w:szCs w:val="22"/>
                <w:lang w:val="ru-RU"/>
              </w:rPr>
              <w:t>Для участников оптового рынка – энергосбытовых (энергоснабжающих) организаций, ГТП потребления которых отнесены к соответствующей неценовой зоне, КО в целях расчета предварительной стоимости определяет предварительную плановую величину объема покупки электрической энергии по четыр</w:t>
            </w:r>
            <w:r>
              <w:rPr>
                <w:szCs w:val="22"/>
                <w:lang w:val="ru-RU"/>
              </w:rPr>
              <w:t>е</w:t>
            </w:r>
            <w:r w:rsidRPr="001C2D45">
              <w:rPr>
                <w:szCs w:val="22"/>
                <w:lang w:val="ru-RU"/>
              </w:rPr>
              <w:t>хсторонним договорам, в соответствии с приведенной ниже формулой:</w:t>
            </w:r>
            <w:r w:rsidRPr="00245053">
              <w:rPr>
                <w:position w:val="-10"/>
              </w:rPr>
              <w:object w:dxaOrig="180" w:dyaOrig="340">
                <v:shape id="_x0000_i1056" type="#_x0000_t75" style="width:9pt;height:16.5pt" o:ole="">
                  <v:imagedata r:id="rId57" o:title=""/>
                </v:shape>
                <o:OLEObject Type="Embed" ProgID="Equation.3" ShapeID="_x0000_i1056" DrawAspect="Content" ObjectID="_1541322812" r:id="rId58"/>
              </w:object>
            </w:r>
            <w:r w:rsidR="006A4538" w:rsidRPr="001B36F5">
              <w:rPr>
                <w:position w:val="-28"/>
                <w:szCs w:val="22"/>
              </w:rPr>
              <w:object w:dxaOrig="6680" w:dyaOrig="540">
                <v:shape id="_x0000_i1057" type="#_x0000_t75" style="width:315pt;height:24.75pt" o:ole="">
                  <v:imagedata r:id="rId59" o:title=""/>
                </v:shape>
                <o:OLEObject Type="Embed" ProgID="Equation.3" ShapeID="_x0000_i1057" DrawAspect="Content" ObjectID="_1541322813" r:id="rId60"/>
              </w:object>
            </w:r>
            <w:r w:rsidRPr="001B36F5">
              <w:rPr>
                <w:b/>
                <w:szCs w:val="22"/>
                <w:lang w:val="ru-RU"/>
              </w:rPr>
              <w:t>.</w:t>
            </w:r>
          </w:p>
        </w:tc>
        <w:tc>
          <w:tcPr>
            <w:tcW w:w="7088" w:type="dxa"/>
            <w:vAlign w:val="center"/>
          </w:tcPr>
          <w:p w:rsidR="00876BC9" w:rsidRPr="001C2D45" w:rsidRDefault="00876BC9" w:rsidP="00876BC9">
            <w:pPr>
              <w:pStyle w:val="7"/>
              <w:numPr>
                <w:ilvl w:val="6"/>
                <w:numId w:val="29"/>
              </w:numPr>
              <w:spacing w:before="120" w:after="120"/>
              <w:ind w:left="0" w:firstLine="600"/>
              <w:jc w:val="both"/>
              <w:rPr>
                <w:szCs w:val="22"/>
                <w:lang w:val="ru-RU"/>
              </w:rPr>
            </w:pPr>
            <w:r w:rsidRPr="001C2D45">
              <w:rPr>
                <w:szCs w:val="22"/>
                <w:lang w:val="ru-RU"/>
              </w:rPr>
              <w:t xml:space="preserve">Для участников оптового рынка – </w:t>
            </w:r>
            <w:r w:rsidR="004765E1" w:rsidRPr="004765E1">
              <w:rPr>
                <w:szCs w:val="22"/>
                <w:highlight w:val="yellow"/>
                <w:lang w:val="ru-RU"/>
              </w:rPr>
              <w:t>гарантирующих поставщиков,</w:t>
            </w:r>
            <w:r w:rsidR="004765E1">
              <w:rPr>
                <w:szCs w:val="22"/>
                <w:lang w:val="ru-RU"/>
              </w:rPr>
              <w:t xml:space="preserve"> </w:t>
            </w:r>
            <w:r w:rsidRPr="001C2D45">
              <w:rPr>
                <w:szCs w:val="22"/>
                <w:lang w:val="ru-RU"/>
              </w:rPr>
              <w:t>энергосбытовых (энергоснабжающих) организаций, ГТП потребления которых отнесены к соответствующей неценовой зоне, КО в целях расчета предварительной стоимости определяет предварительную плановую величину объема покупки электрической энергии по четыр</w:t>
            </w:r>
            <w:r>
              <w:rPr>
                <w:szCs w:val="22"/>
                <w:lang w:val="ru-RU"/>
              </w:rPr>
              <w:t>е</w:t>
            </w:r>
            <w:r w:rsidRPr="001C2D45">
              <w:rPr>
                <w:szCs w:val="22"/>
                <w:lang w:val="ru-RU"/>
              </w:rPr>
              <w:t>хсторонним договорам, в соответствии с приведенной ниже формулой:</w:t>
            </w:r>
          </w:p>
          <w:p w:rsidR="00876BC9" w:rsidRPr="006230EB" w:rsidRDefault="00245053" w:rsidP="007D6F88">
            <w:pPr>
              <w:pStyle w:val="3"/>
              <w:numPr>
                <w:ilvl w:val="0"/>
                <w:numId w:val="0"/>
              </w:numPr>
              <w:rPr>
                <w:rFonts w:ascii="Garamond" w:hAnsi="Garamond"/>
                <w:b w:val="0"/>
                <w:sz w:val="22"/>
                <w:szCs w:val="22"/>
              </w:rPr>
            </w:pPr>
            <w:r w:rsidRPr="00245053">
              <w:rPr>
                <w:position w:val="-10"/>
              </w:rPr>
              <w:object w:dxaOrig="180" w:dyaOrig="340">
                <v:shape id="_x0000_i1058" type="#_x0000_t75" style="width:9pt;height:16.5pt" o:ole="">
                  <v:imagedata r:id="rId57" o:title=""/>
                </v:shape>
                <o:OLEObject Type="Embed" ProgID="Equation.3" ShapeID="_x0000_i1058" DrawAspect="Content" ObjectID="_1541322814" r:id="rId61"/>
              </w:object>
            </w:r>
            <w:r w:rsidR="008335FC" w:rsidRPr="001B36F5">
              <w:rPr>
                <w:position w:val="-28"/>
                <w:sz w:val="22"/>
                <w:szCs w:val="22"/>
              </w:rPr>
              <w:object w:dxaOrig="6680" w:dyaOrig="540">
                <v:shape id="_x0000_i1059" type="#_x0000_t75" style="width:324.75pt;height:26.25pt" o:ole="">
                  <v:imagedata r:id="rId59" o:title=""/>
                </v:shape>
                <o:OLEObject Type="Embed" ProgID="Equation.3" ShapeID="_x0000_i1059" DrawAspect="Content" ObjectID="_1541322815" r:id="rId62"/>
              </w:object>
            </w:r>
            <w:r w:rsidR="008335FC" w:rsidRPr="001B36F5">
              <w:rPr>
                <w:b w:val="0"/>
                <w:sz w:val="22"/>
                <w:szCs w:val="22"/>
              </w:rPr>
              <w:t>.</w:t>
            </w:r>
          </w:p>
        </w:tc>
      </w:tr>
      <w:tr w:rsidR="008571D2" w:rsidRPr="00E569AF" w:rsidTr="007D6F88">
        <w:trPr>
          <w:trHeight w:val="435"/>
        </w:trPr>
        <w:tc>
          <w:tcPr>
            <w:tcW w:w="1008" w:type="dxa"/>
            <w:vAlign w:val="center"/>
          </w:tcPr>
          <w:p w:rsidR="008571D2" w:rsidRDefault="008571D2" w:rsidP="00923AA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11.5</w:t>
            </w:r>
          </w:p>
        </w:tc>
        <w:tc>
          <w:tcPr>
            <w:tcW w:w="6755" w:type="dxa"/>
            <w:vAlign w:val="center"/>
          </w:tcPr>
          <w:p w:rsidR="008571D2" w:rsidRPr="001C2D45" w:rsidRDefault="008571D2" w:rsidP="00923AA2">
            <w:pPr>
              <w:tabs>
                <w:tab w:val="left" w:pos="1418"/>
                <w:tab w:val="left" w:pos="1560"/>
              </w:tabs>
              <w:spacing w:before="120" w:after="120"/>
              <w:ind w:left="28" w:firstLine="572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1C2D45">
              <w:rPr>
                <w:rFonts w:ascii="Garamond" w:hAnsi="Garamond"/>
                <w:sz w:val="22"/>
                <w:szCs w:val="22"/>
              </w:rPr>
              <w:t xml:space="preserve">11.5. </w:t>
            </w:r>
            <w:r w:rsidRPr="001C2D45">
              <w:rPr>
                <w:rFonts w:ascii="Garamond" w:hAnsi="Garamond" w:cs="Courier New"/>
                <w:sz w:val="22"/>
                <w:szCs w:val="22"/>
              </w:rPr>
              <w:t xml:space="preserve">Фактические данные о величине электрической энергии </w:t>
            </w:r>
            <w:r w:rsidRPr="004E58FD">
              <w:rPr>
                <w:rFonts w:ascii="Garamond" w:hAnsi="Garamond" w:cs="Courier New"/>
                <w:sz w:val="22"/>
                <w:szCs w:val="22"/>
              </w:rPr>
              <w:t>в ГТП потребления</w:t>
            </w:r>
            <w:r w:rsidRPr="001C2D45">
              <w:rPr>
                <w:rFonts w:ascii="Garamond" w:hAnsi="Garamond" w:cs="Courier New"/>
                <w:sz w:val="22"/>
                <w:szCs w:val="22"/>
              </w:rPr>
              <w:t xml:space="preserve"> ВЭ формируются </w:t>
            </w:r>
            <w:r w:rsidRPr="003525BF">
              <w:rPr>
                <w:rFonts w:ascii="Garamond" w:hAnsi="Garamond" w:cs="Courier New"/>
                <w:sz w:val="22"/>
                <w:szCs w:val="22"/>
              </w:rPr>
              <w:t xml:space="preserve">на основании величин сальдо перетоков между второй ценовой и второй неценовой зонами. 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Формирование величин потребления в ГТП потребления ВЭ осуществляется в соответствии со следующим правилом: в случае если часовая величина сальдо перетоков в соответствующей зоне принимает отрицательное значение, то КО устанавливает значение расчетного фактического потребления ВЭ для соответствующего часа, равное 0 (нулю), а расчетное значение фактического потребления ВЭ смежной зоны в тот же час принимает величину равную величине 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lastRenderedPageBreak/>
              <w:t>сальдо перетоков.</w:t>
            </w:r>
            <w:r w:rsidRPr="001C2D45"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</w:p>
          <w:p w:rsidR="008571D2" w:rsidRPr="00DE48F9" w:rsidRDefault="008571D2" w:rsidP="00DE48F9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1C2D45">
              <w:rPr>
                <w:rFonts w:ascii="Garamond" w:hAnsi="Garamond" w:cs="Courier New"/>
                <w:sz w:val="22"/>
                <w:szCs w:val="22"/>
              </w:rPr>
              <w:t xml:space="preserve">Фактические данные о потреблении в ГТП потребления </w:t>
            </w:r>
            <w:r w:rsidRPr="00593661">
              <w:rPr>
                <w:rFonts w:ascii="Garamond" w:hAnsi="Garamond" w:cs="Courier New"/>
                <w:sz w:val="22"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 w:cs="Courier New"/>
                <w:sz w:val="22"/>
                <w:szCs w:val="22"/>
              </w:rPr>
              <w:t xml:space="preserve">частников оптового рынка второй неценовой и второй ценовой зоны формируется в соответствии с </w:t>
            </w:r>
            <w:r w:rsidRPr="001C2D45">
              <w:rPr>
                <w:rFonts w:ascii="Garamond" w:hAnsi="Garamond" w:cs="Courier New"/>
                <w:i/>
                <w:sz w:val="22"/>
                <w:szCs w:val="22"/>
              </w:rPr>
              <w:t>Регламентом коммерческого учета</w:t>
            </w:r>
            <w:r w:rsidRPr="001C2D45"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1C2D45">
              <w:rPr>
                <w:rFonts w:ascii="Garamond" w:hAnsi="Garamond" w:cs="Courier New"/>
                <w:i/>
                <w:sz w:val="22"/>
                <w:szCs w:val="22"/>
              </w:rPr>
              <w:t>электроэнергии и мощности</w:t>
            </w:r>
            <w:r w:rsidRPr="001C2D45">
              <w:rPr>
                <w:rFonts w:ascii="Garamond" w:hAnsi="Garamond" w:cs="Courier New"/>
                <w:sz w:val="22"/>
                <w:szCs w:val="22"/>
              </w:rPr>
              <w:t xml:space="preserve"> (Приложение № 11</w:t>
            </w:r>
            <w:r w:rsidRPr="001C2D45">
              <w:rPr>
                <w:rFonts w:ascii="Garamond" w:hAnsi="Garamond" w:cs="Courier New"/>
                <w:i/>
                <w:sz w:val="22"/>
                <w:szCs w:val="22"/>
              </w:rPr>
              <w:t xml:space="preserve"> к Договору о присоединении к торговой системе оптового рынка</w:t>
            </w:r>
            <w:r w:rsidRPr="001C2D45">
              <w:rPr>
                <w:rFonts w:ascii="Garamond" w:hAnsi="Garamond" w:cs="Courier New"/>
                <w:sz w:val="22"/>
                <w:szCs w:val="22"/>
              </w:rPr>
              <w:t>).</w:t>
            </w:r>
            <w:bookmarkStart w:id="7" w:name="_GoBack"/>
            <w:bookmarkEnd w:id="7"/>
          </w:p>
        </w:tc>
        <w:tc>
          <w:tcPr>
            <w:tcW w:w="7088" w:type="dxa"/>
            <w:vAlign w:val="center"/>
          </w:tcPr>
          <w:p w:rsidR="008571D2" w:rsidRDefault="008571D2" w:rsidP="00923AA2">
            <w:pPr>
              <w:tabs>
                <w:tab w:val="left" w:pos="1418"/>
                <w:tab w:val="left" w:pos="1560"/>
              </w:tabs>
              <w:spacing w:before="120" w:after="120"/>
              <w:ind w:left="28" w:firstLine="572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8B762C">
              <w:rPr>
                <w:rFonts w:ascii="Garamond" w:hAnsi="Garamond"/>
                <w:sz w:val="22"/>
                <w:szCs w:val="22"/>
              </w:rPr>
              <w:lastRenderedPageBreak/>
              <w:t xml:space="preserve">11.5. </w:t>
            </w:r>
            <w:r w:rsidRPr="008B762C">
              <w:rPr>
                <w:rFonts w:ascii="Garamond" w:hAnsi="Garamond" w:cs="Courier New"/>
                <w:sz w:val="22"/>
                <w:szCs w:val="22"/>
              </w:rPr>
              <w:t xml:space="preserve">Фактические данные о величине электрической энергии в </w:t>
            </w:r>
            <w:r w:rsidR="004E58FD" w:rsidRPr="004E58FD">
              <w:rPr>
                <w:rFonts w:ascii="Garamond" w:hAnsi="Garamond" w:cs="Courier New"/>
                <w:sz w:val="22"/>
                <w:szCs w:val="22"/>
              </w:rPr>
              <w:t>ГТП потребления</w:t>
            </w:r>
            <w:r w:rsidR="004E58FD" w:rsidRPr="001C2D45"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8B762C">
              <w:rPr>
                <w:rFonts w:ascii="Garamond" w:hAnsi="Garamond" w:cs="Courier New"/>
                <w:sz w:val="22"/>
                <w:szCs w:val="22"/>
              </w:rPr>
              <w:t xml:space="preserve">ВЭ формируются на основании величин сальдо перетоков между второй ценовой и второй неценовой зонами. </w:t>
            </w:r>
          </w:p>
          <w:p w:rsidR="008571D2" w:rsidRPr="00D92A24" w:rsidRDefault="008571D2" w:rsidP="00923AA2">
            <w:pPr>
              <w:tabs>
                <w:tab w:val="left" w:pos="1418"/>
                <w:tab w:val="left" w:pos="1560"/>
              </w:tabs>
              <w:spacing w:before="120" w:after="120"/>
              <w:ind w:left="28" w:firstLine="572"/>
              <w:jc w:val="both"/>
              <w:rPr>
                <w:rFonts w:ascii="Garamond" w:hAnsi="Garamond" w:cs="Courier New"/>
                <w:sz w:val="22"/>
                <w:szCs w:val="22"/>
                <w:highlight w:val="yellow"/>
              </w:rPr>
            </w:pPr>
            <w:r w:rsidRPr="00D92A24">
              <w:rPr>
                <w:rFonts w:ascii="Garamond" w:hAnsi="Garamond" w:cs="Courier New"/>
                <w:position w:val="-14"/>
                <w:sz w:val="22"/>
                <w:szCs w:val="22"/>
                <w:highlight w:val="yellow"/>
              </w:rPr>
              <w:object w:dxaOrig="1240" w:dyaOrig="400">
                <v:shape id="_x0000_i1060" type="#_x0000_t75" style="width:62.25pt;height:20.25pt" o:ole="">
                  <v:imagedata r:id="rId63" o:title=""/>
                </v:shape>
                <o:OLEObject Type="Embed" ProgID="Equation.3" ShapeID="_x0000_i1060" DrawAspect="Content" ObjectID="_1541322816" r:id="rId64"/>
              </w:object>
            </w:r>
            <w:r w:rsidR="00593661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</w:t>
            </w:r>
            <w:r w:rsidR="00593661" w:rsidRPr="00593661">
              <w:rPr>
                <w:szCs w:val="22"/>
                <w:highlight w:val="yellow"/>
              </w:rPr>
              <w:t>–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почасовое потребление </w:t>
            </w:r>
            <w:r w:rsidR="001C75A5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в </w:t>
            </w:r>
            <w:r w:rsidR="001C75A5" w:rsidRPr="004E58FD">
              <w:rPr>
                <w:rFonts w:ascii="Garamond" w:hAnsi="Garamond" w:cs="Courier New"/>
                <w:sz w:val="22"/>
                <w:szCs w:val="22"/>
                <w:highlight w:val="yellow"/>
              </w:rPr>
              <w:t>ГТП потребления</w:t>
            </w:r>
            <w:r w:rsidR="001C75A5">
              <w:rPr>
                <w:rFonts w:ascii="Garamond" w:hAnsi="Garamond" w:cs="Courier New"/>
                <w:sz w:val="22"/>
                <w:szCs w:val="22"/>
                <w:highlight w:val="yellow"/>
              </w:rPr>
              <w:t>, отнесенное к</w:t>
            </w:r>
            <w:r w:rsidR="001C75A5" w:rsidRPr="004E58FD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</w:t>
            </w:r>
            <w:r w:rsidR="001C75A5"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>ВЭ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на территории второй ценовой зоны, в отношении которого покупка электрической энергии осуществляется во второй неценовой зоне, определяется в соответствии со следующей формулой:</w:t>
            </w:r>
          </w:p>
          <w:p w:rsidR="008571D2" w:rsidRPr="00D92A24" w:rsidRDefault="008571D2" w:rsidP="00923AA2">
            <w:pPr>
              <w:tabs>
                <w:tab w:val="left" w:pos="1418"/>
                <w:tab w:val="left" w:pos="1560"/>
              </w:tabs>
              <w:spacing w:before="120" w:after="120"/>
              <w:ind w:left="28" w:firstLine="572"/>
              <w:jc w:val="both"/>
              <w:rPr>
                <w:rFonts w:ascii="Garamond" w:hAnsi="Garamond" w:cs="Courier New"/>
                <w:sz w:val="22"/>
                <w:szCs w:val="22"/>
                <w:highlight w:val="yellow"/>
              </w:rPr>
            </w:pPr>
            <w:r w:rsidRPr="00D92A24">
              <w:rPr>
                <w:rFonts w:ascii="Garamond" w:hAnsi="Garamond" w:cs="Courier New"/>
                <w:position w:val="-14"/>
                <w:sz w:val="22"/>
                <w:szCs w:val="22"/>
                <w:highlight w:val="yellow"/>
              </w:rPr>
              <w:object w:dxaOrig="4740" w:dyaOrig="400">
                <v:shape id="_x0000_i1061" type="#_x0000_t75" style="width:237pt;height:20.25pt" o:ole="">
                  <v:imagedata r:id="rId65" o:title=""/>
                </v:shape>
                <o:OLEObject Type="Embed" ProgID="Equation.3" ShapeID="_x0000_i1061" DrawAspect="Content" ObjectID="_1541322817" r:id="rId66"/>
              </w:object>
            </w:r>
            <w:r w:rsidR="00593661">
              <w:rPr>
                <w:rFonts w:ascii="Garamond" w:hAnsi="Garamond" w:cs="Courier New"/>
                <w:sz w:val="22"/>
                <w:szCs w:val="22"/>
                <w:highlight w:val="yellow"/>
              </w:rPr>
              <w:t>,</w:t>
            </w:r>
          </w:p>
          <w:p w:rsidR="008571D2" w:rsidRPr="00593661" w:rsidRDefault="00593661" w:rsidP="00593661">
            <w:pPr>
              <w:tabs>
                <w:tab w:val="left" w:pos="1418"/>
                <w:tab w:val="left" w:pos="1560"/>
              </w:tabs>
              <w:spacing w:before="120" w:after="120"/>
              <w:ind w:left="601" w:hanging="567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lastRenderedPageBreak/>
              <w:t>г</w:t>
            </w:r>
            <w:r w:rsidR="008571D2"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>де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</w:t>
            </w:r>
            <w:r w:rsidRPr="0030401E">
              <w:rPr>
                <w:szCs w:val="22"/>
                <w:highlight w:val="yellow"/>
              </w:rPr>
              <w:t>–</w:t>
            </w:r>
            <w:r>
              <w:rPr>
                <w:szCs w:val="22"/>
                <w:highlight w:val="yellow"/>
              </w:rPr>
              <w:t xml:space="preserve"> </w:t>
            </w:r>
            <w:r w:rsidRPr="0030401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80" w:dyaOrig="380">
                <v:shape id="_x0000_i1062" type="#_x0000_t75" style="width:33.75pt;height:19.5pt" o:ole="">
                  <v:imagedata r:id="rId67" o:title=""/>
                </v:shape>
                <o:OLEObject Type="Embed" ProgID="Equation.3" ShapeID="_x0000_i1062" DrawAspect="Content" ObjectID="_1541322818" r:id="rId68"/>
              </w:object>
            </w:r>
            <w:r w:rsidRPr="0030401E">
              <w:rPr>
                <w:szCs w:val="22"/>
                <w:highlight w:val="yellow"/>
              </w:rPr>
              <w:t>–</w: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 часовое значение сальдо-перетока между ГТП потребления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, включающей</w: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 ВЭ на территории Республики Саха (Якутия), и ГТП потребления  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включающей ВЭ</w: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 на территории 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второй ценовой зоны, 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в отношении которого покупка электрической энергии осуществляется в неценовой зоне. В случае перетока электроэнергии по сальдо перетоку из Республики Саха (Якутия) во вторую ценовую зону значение </w:t>
            </w:r>
            <w:r w:rsidRPr="00D92A2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80" w:dyaOrig="380">
                <v:shape id="_x0000_i1063" type="#_x0000_t75" style="width:33.75pt;height:19.5pt" o:ole="">
                  <v:imagedata r:id="rId69" o:title=""/>
                </v:shape>
                <o:OLEObject Type="Embed" ProgID="Equation.3" ShapeID="_x0000_i1063" DrawAspect="Content" ObjectID="_1541322819" r:id="rId70"/>
              </w:objec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>положительно, при обратном направлении перетока указанное значение становится отрицательным.</w:t>
            </w:r>
          </w:p>
          <w:p w:rsidR="008571D2" w:rsidRPr="00D92A24" w:rsidRDefault="008571D2" w:rsidP="00593661">
            <w:pPr>
              <w:tabs>
                <w:tab w:val="left" w:pos="1418"/>
                <w:tab w:val="left" w:pos="1560"/>
              </w:tabs>
              <w:spacing w:before="120" w:after="120"/>
              <w:ind w:left="601"/>
              <w:jc w:val="both"/>
              <w:rPr>
                <w:rFonts w:ascii="Garamond" w:hAnsi="Garamond" w:cs="Courier New"/>
                <w:sz w:val="22"/>
                <w:szCs w:val="22"/>
                <w:highlight w:val="yellow"/>
              </w:rPr>
            </w:pPr>
            <w:r w:rsidRPr="00D92A2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60" w:dyaOrig="380">
                <v:shape id="_x0000_i1064" type="#_x0000_t75" style="width:33.75pt;height:19.5pt" o:ole="">
                  <v:imagedata r:id="rId71" o:title=""/>
                </v:shape>
                <o:OLEObject Type="Embed" ProgID="Equation.3" ShapeID="_x0000_i1064" DrawAspect="Content" ObjectID="_1541322820" r:id="rId72"/>
              </w:object>
            </w:r>
            <w:r w:rsidR="00593661" w:rsidRPr="0030401E">
              <w:rPr>
                <w:szCs w:val="22"/>
                <w:highlight w:val="yellow"/>
              </w:rPr>
              <w:t>–</w: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 часовое значение сальдо-перетока между ГТП потребления</w:t>
            </w:r>
            <w:r w:rsidR="00D57FC3">
              <w:rPr>
                <w:rFonts w:ascii="Garamond" w:hAnsi="Garamond"/>
                <w:sz w:val="22"/>
                <w:szCs w:val="22"/>
                <w:highlight w:val="yellow"/>
              </w:rPr>
              <w:t>, включающей</w: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 ВЭ на территории Амурской области, и ГТП потребления </w:t>
            </w:r>
            <w:r w:rsidR="005061F4">
              <w:rPr>
                <w:rFonts w:ascii="Garamond" w:hAnsi="Garamond" w:cs="Courier New"/>
                <w:sz w:val="22"/>
                <w:szCs w:val="22"/>
                <w:highlight w:val="yellow"/>
              </w:rPr>
              <w:t>включающей ВЭ</w:t>
            </w:r>
            <w:r w:rsidR="005061F4"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на территории </w:t>
            </w:r>
            <w:r w:rsidR="00593661">
              <w:rPr>
                <w:rFonts w:ascii="Garamond" w:hAnsi="Garamond" w:cs="Courier New"/>
                <w:sz w:val="22"/>
                <w:szCs w:val="22"/>
                <w:highlight w:val="yellow"/>
              </w:rPr>
              <w:t>второй ценовой зоны,</w:t>
            </w:r>
            <w:r w:rsidR="00D57FC3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в отношении которого покупка электрической энергии осуществляется в неценовой зоне. В случае перетока электроэнергии по сальдо перетоку из Амурской области во вторую ценовую зону значение </w:t>
            </w:r>
            <w:r w:rsidRPr="00D92A2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60" w:dyaOrig="380">
                <v:shape id="_x0000_i1065" type="#_x0000_t75" style="width:33.75pt;height:19.5pt" o:ole="">
                  <v:imagedata r:id="rId73" o:title=""/>
                </v:shape>
                <o:OLEObject Type="Embed" ProgID="Equation.3" ShapeID="_x0000_i1065" DrawAspect="Content" ObjectID="_1541322821" r:id="rId74"/>
              </w:objec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 положительно, при обратном направлении перетока указанное значение становится отрицательным.</w:t>
            </w:r>
          </w:p>
          <w:p w:rsidR="008571D2" w:rsidRPr="00D92A24" w:rsidRDefault="008571D2" w:rsidP="00593661">
            <w:pPr>
              <w:tabs>
                <w:tab w:val="left" w:pos="1418"/>
                <w:tab w:val="left" w:pos="1560"/>
              </w:tabs>
              <w:spacing w:before="120" w:after="120"/>
              <w:ind w:left="601"/>
              <w:jc w:val="both"/>
              <w:rPr>
                <w:rFonts w:ascii="Garamond" w:hAnsi="Garamond" w:cs="Courier New"/>
                <w:sz w:val="22"/>
                <w:szCs w:val="22"/>
                <w:highlight w:val="yellow"/>
              </w:rPr>
            </w:pPr>
            <w:r w:rsidRPr="00D92A24">
              <w:rPr>
                <w:rFonts w:ascii="Garamond" w:hAnsi="Garamond" w:cs="Courier New"/>
                <w:position w:val="-14"/>
                <w:sz w:val="22"/>
                <w:szCs w:val="22"/>
                <w:highlight w:val="yellow"/>
              </w:rPr>
              <w:object w:dxaOrig="1320" w:dyaOrig="400">
                <v:shape id="_x0000_i1066" type="#_x0000_t75" style="width:66pt;height:20.25pt" o:ole="">
                  <v:imagedata r:id="rId75" o:title=""/>
                </v:shape>
                <o:OLEObject Type="Embed" ProgID="Equation.3" ShapeID="_x0000_i1066" DrawAspect="Content" ObjectID="_1541322822" r:id="rId76"/>
              </w:object>
            </w:r>
            <w:r w:rsidR="00593661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</w:t>
            </w:r>
            <w:r w:rsidR="00593661" w:rsidRPr="0030401E">
              <w:rPr>
                <w:szCs w:val="22"/>
                <w:highlight w:val="yellow"/>
              </w:rPr>
              <w:t>–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почасовое потребление</w:t>
            </w:r>
            <w:r w:rsidR="004E58FD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</w:t>
            </w:r>
            <w:r w:rsidR="001C75A5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в </w:t>
            </w:r>
            <w:r w:rsidR="001C75A5" w:rsidRPr="004E58FD">
              <w:rPr>
                <w:rFonts w:ascii="Garamond" w:hAnsi="Garamond" w:cs="Courier New"/>
                <w:sz w:val="22"/>
                <w:szCs w:val="22"/>
                <w:highlight w:val="yellow"/>
              </w:rPr>
              <w:t>ГТП потребления</w:t>
            </w:r>
            <w:r w:rsidR="001C75A5">
              <w:rPr>
                <w:rFonts w:ascii="Garamond" w:hAnsi="Garamond" w:cs="Courier New"/>
                <w:sz w:val="22"/>
                <w:szCs w:val="22"/>
                <w:highlight w:val="yellow"/>
              </w:rPr>
              <w:t>, отнесенное к</w:t>
            </w:r>
            <w:r w:rsidR="001C75A5" w:rsidRPr="004E58FD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</w:t>
            </w:r>
            <w:r w:rsidR="001C75A5"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>ВЭ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на территории Республики Саха (Якутия), в отношении которого покупка электрической энергии осуществляется во второй ценовой зоне, определяется в соответствии со следующей формулой:</w:t>
            </w:r>
          </w:p>
          <w:p w:rsidR="008571D2" w:rsidRPr="00D92A24" w:rsidRDefault="008571D2" w:rsidP="00923AA2">
            <w:pPr>
              <w:tabs>
                <w:tab w:val="left" w:pos="1418"/>
                <w:tab w:val="left" w:pos="1560"/>
              </w:tabs>
              <w:spacing w:before="120" w:after="120"/>
              <w:ind w:left="28" w:firstLine="572"/>
              <w:jc w:val="both"/>
              <w:rPr>
                <w:rFonts w:ascii="Garamond" w:hAnsi="Garamond" w:cs="Courier New"/>
                <w:sz w:val="22"/>
                <w:szCs w:val="22"/>
                <w:highlight w:val="yellow"/>
              </w:rPr>
            </w:pPr>
            <w:r w:rsidRPr="00D92A24">
              <w:rPr>
                <w:rFonts w:ascii="Garamond" w:hAnsi="Garamond" w:cs="Courier New"/>
                <w:position w:val="-32"/>
                <w:sz w:val="22"/>
                <w:szCs w:val="22"/>
                <w:highlight w:val="yellow"/>
              </w:rPr>
              <w:object w:dxaOrig="5160" w:dyaOrig="760">
                <v:shape id="_x0000_i1067" type="#_x0000_t75" style="width:258pt;height:38.25pt" o:ole="">
                  <v:imagedata r:id="rId77" o:title=""/>
                </v:shape>
                <o:OLEObject Type="Embed" ProgID="Equation.3" ShapeID="_x0000_i1067" DrawAspect="Content" ObjectID="_1541322823" r:id="rId78"/>
              </w:object>
            </w:r>
            <w:r w:rsidR="00593661">
              <w:rPr>
                <w:rFonts w:ascii="Garamond" w:hAnsi="Garamond" w:cs="Courier New"/>
                <w:sz w:val="22"/>
                <w:szCs w:val="22"/>
                <w:highlight w:val="yellow"/>
              </w:rPr>
              <w:t>,</w:t>
            </w:r>
          </w:p>
          <w:p w:rsidR="008571D2" w:rsidRPr="00D92A24" w:rsidRDefault="0030401E" w:rsidP="00593661">
            <w:pPr>
              <w:tabs>
                <w:tab w:val="left" w:pos="1418"/>
                <w:tab w:val="left" w:pos="1560"/>
              </w:tabs>
              <w:spacing w:before="120" w:after="120"/>
              <w:ind w:left="28" w:firstLine="6"/>
              <w:jc w:val="both"/>
              <w:rPr>
                <w:rFonts w:ascii="Garamond" w:hAnsi="Garamond" w:cs="Courier New"/>
                <w:sz w:val="22"/>
                <w:szCs w:val="22"/>
                <w:highlight w:val="yellow"/>
              </w:rPr>
            </w:pP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г</w:t>
            </w:r>
            <w:r w:rsidR="008571D2"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>де</w: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</w:t>
            </w:r>
            <w:r w:rsidRPr="00D92A24">
              <w:rPr>
                <w:rFonts w:ascii="Garamond" w:hAnsi="Garamond" w:cs="Courier New"/>
                <w:position w:val="-12"/>
                <w:sz w:val="22"/>
                <w:szCs w:val="22"/>
                <w:highlight w:val="yellow"/>
              </w:rPr>
              <w:object w:dxaOrig="2960" w:dyaOrig="380">
                <v:shape id="_x0000_i1068" type="#_x0000_t75" style="width:146.25pt;height:20.25pt" o:ole="">
                  <v:imagedata r:id="rId79" o:title=""/>
                </v:shape>
                <o:OLEObject Type="Embed" ProgID="Equation.3" ShapeID="_x0000_i1068" DrawAspect="Content" ObjectID="_1541322824" r:id="rId80"/>
              </w:object>
            </w:r>
            <w:r>
              <w:rPr>
                <w:rFonts w:ascii="Garamond" w:hAnsi="Garamond" w:cs="Courier New"/>
                <w:sz w:val="22"/>
                <w:szCs w:val="22"/>
                <w:highlight w:val="yellow"/>
              </w:rPr>
              <w:t>,</w:t>
            </w:r>
          </w:p>
          <w:p w:rsidR="00503BB3" w:rsidRPr="00D92A24" w:rsidRDefault="00503BB3" w:rsidP="00593661">
            <w:pPr>
              <w:tabs>
                <w:tab w:val="left" w:pos="1418"/>
                <w:tab w:val="left" w:pos="1560"/>
              </w:tabs>
              <w:spacing w:before="120" w:after="120"/>
              <w:ind w:left="459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401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80" w:dyaOrig="380">
                <v:shape id="_x0000_i1069" type="#_x0000_t75" style="width:33.75pt;height:19.5pt" o:ole="">
                  <v:imagedata r:id="rId81" o:title=""/>
                </v:shape>
                <o:OLEObject Type="Embed" ProgID="Equation.3" ShapeID="_x0000_i1069" DrawAspect="Content" ObjectID="_1541322825" r:id="rId82"/>
              </w:object>
            </w:r>
            <w:r w:rsidRPr="0030401E">
              <w:rPr>
                <w:szCs w:val="22"/>
                <w:highlight w:val="yellow"/>
              </w:rPr>
              <w:t>–</w: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 часовое значение сальдо-перетока 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между входящим в ГТП потребления ВЭ на территории Республики Саха (Якутия) </w:t>
            </w:r>
            <w:r w:rsidRPr="00C44A47">
              <w:rPr>
                <w:rFonts w:ascii="Garamond" w:hAnsi="Garamond" w:cs="Courier New"/>
                <w:sz w:val="22"/>
                <w:szCs w:val="22"/>
                <w:highlight w:val="yellow"/>
              </w:rPr>
              <w:t>и энергообъектами, расположенными на территории Республики Саха (Якутия), имеющими электрическую связь с энергообъектами, расположенными во второй ценовой зоне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. В случае перетока электроэнергии в сети, отнесенные к ВЭ, входящему в ГТП потребления на территории Республики Саха (Якутия) значение </w:t>
            </w:r>
            <w:r w:rsidRPr="00D92A2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75" w:dyaOrig="375">
                <v:shape id="_x0000_i1070" type="#_x0000_t75" style="width:33.75pt;height:19.5pt" o:ole="">
                  <v:imagedata r:id="rId83" o:title=""/>
                </v:shape>
                <o:OLEObject Type="Embed" ProgID="Equation.3" ShapeID="_x0000_i1070" DrawAspect="Content" ObjectID="_1541322826" r:id="rId84"/>
              </w:objec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>положительно, при обратном направлении перетока указанное значение становится отрицательным.</w:t>
            </w:r>
          </w:p>
          <w:p w:rsidR="008571D2" w:rsidRPr="00D92A24" w:rsidRDefault="008571D2" w:rsidP="00593661">
            <w:pPr>
              <w:tabs>
                <w:tab w:val="left" w:pos="1418"/>
                <w:tab w:val="left" w:pos="1560"/>
              </w:tabs>
              <w:spacing w:before="120" w:after="120"/>
              <w:ind w:left="459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30401E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60" w:dyaOrig="380">
                <v:shape id="_x0000_i1071" type="#_x0000_t75" style="width:33.75pt;height:19.5pt" o:ole="">
                  <v:imagedata r:id="rId85" o:title=""/>
                </v:shape>
                <o:OLEObject Type="Embed" ProgID="Equation.3" ShapeID="_x0000_i1071" DrawAspect="Content" ObjectID="_1541322827" r:id="rId86"/>
              </w:object>
            </w:r>
            <w:r w:rsidR="0030401E" w:rsidRPr="0030401E">
              <w:rPr>
                <w:szCs w:val="22"/>
                <w:highlight w:val="yellow"/>
              </w:rPr>
              <w:t>–</w:t>
            </w:r>
            <w:r w:rsidRPr="0030401E">
              <w:rPr>
                <w:rFonts w:ascii="Garamond" w:hAnsi="Garamond"/>
                <w:sz w:val="22"/>
                <w:szCs w:val="22"/>
                <w:highlight w:val="yellow"/>
              </w:rPr>
              <w:t xml:space="preserve"> часовое </w: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значение сальдо-перетока 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между входящим в ГТП потребления ВЭ на территории Республики Саха (Якутия) и входящим в ГТП потребления ВЭ на территории Амурской области. В случае перетока электроэнергии из ВЭ на территории Республики Саха (Якутия) в ВЭ на территории Амурской области значение </w:t>
            </w:r>
            <w:r w:rsidRPr="00D92A24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660" w:dyaOrig="380">
                <v:shape id="_x0000_i1072" type="#_x0000_t75" style="width:33.75pt;height:19.5pt" o:ole="">
                  <v:imagedata r:id="rId87" o:title=""/>
                </v:shape>
                <o:OLEObject Type="Embed" ProgID="Equation.3" ShapeID="_x0000_i1072" DrawAspect="Content" ObjectID="_1541322828" r:id="rId88"/>
              </w:object>
            </w:r>
            <w:r w:rsidRPr="00D92A24">
              <w:rPr>
                <w:rFonts w:ascii="Garamond" w:hAnsi="Garamond"/>
                <w:sz w:val="22"/>
                <w:szCs w:val="22"/>
                <w:highlight w:val="yellow"/>
              </w:rPr>
              <w:t xml:space="preserve"> положительно, при обратном направлении перетока указанное значение становится отрицательным.</w:t>
            </w:r>
          </w:p>
          <w:p w:rsidR="008571D2" w:rsidRPr="00D92A24" w:rsidRDefault="008571D2" w:rsidP="00593661">
            <w:pPr>
              <w:tabs>
                <w:tab w:val="left" w:pos="1418"/>
                <w:tab w:val="left" w:pos="1560"/>
              </w:tabs>
              <w:spacing w:before="120" w:after="120"/>
              <w:ind w:left="459"/>
              <w:jc w:val="both"/>
              <w:rPr>
                <w:rFonts w:ascii="Garamond" w:hAnsi="Garamond" w:cs="Courier New"/>
                <w:sz w:val="22"/>
                <w:szCs w:val="22"/>
                <w:highlight w:val="yellow"/>
              </w:rPr>
            </w:pPr>
            <w:r w:rsidRPr="00D92A24">
              <w:rPr>
                <w:rFonts w:ascii="Garamond" w:hAnsi="Garamond" w:cs="Courier New"/>
                <w:position w:val="-14"/>
                <w:sz w:val="22"/>
                <w:szCs w:val="22"/>
                <w:highlight w:val="yellow"/>
              </w:rPr>
              <w:object w:dxaOrig="1920" w:dyaOrig="400">
                <v:shape id="_x0000_i1073" type="#_x0000_t75" style="width:96pt;height:20.25pt" o:ole="">
                  <v:imagedata r:id="rId89" o:title=""/>
                </v:shape>
                <o:OLEObject Type="Embed" ProgID="Equation.3" ShapeID="_x0000_i1073" DrawAspect="Content" ObjectID="_1541322829" r:id="rId90"/>
              </w:object>
            </w:r>
            <w:r w:rsidR="00593661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</w:t>
            </w:r>
            <w:r w:rsidR="00593661" w:rsidRPr="0030401E">
              <w:rPr>
                <w:szCs w:val="22"/>
                <w:highlight w:val="yellow"/>
              </w:rPr>
              <w:t>–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почасовое потребление </w:t>
            </w:r>
            <w:r w:rsidR="001C75A5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в </w:t>
            </w:r>
            <w:r w:rsidR="001C75A5" w:rsidRPr="004E58FD">
              <w:rPr>
                <w:rFonts w:ascii="Garamond" w:hAnsi="Garamond" w:cs="Courier New"/>
                <w:sz w:val="22"/>
                <w:szCs w:val="22"/>
                <w:highlight w:val="yellow"/>
              </w:rPr>
              <w:t>ГТП потребления</w:t>
            </w:r>
            <w:r w:rsidR="001C75A5">
              <w:rPr>
                <w:rFonts w:ascii="Garamond" w:hAnsi="Garamond" w:cs="Courier New"/>
                <w:sz w:val="22"/>
                <w:szCs w:val="22"/>
                <w:highlight w:val="yellow"/>
              </w:rPr>
              <w:t>, отнесенное к</w:t>
            </w:r>
            <w:r w:rsidR="001C75A5" w:rsidRPr="004E58FD">
              <w:rPr>
                <w:rFonts w:ascii="Garamond" w:hAnsi="Garamond" w:cs="Courier New"/>
                <w:sz w:val="22"/>
                <w:szCs w:val="22"/>
                <w:highlight w:val="yellow"/>
              </w:rPr>
              <w:t xml:space="preserve"> </w:t>
            </w:r>
            <w:r w:rsidRPr="00D92A24">
              <w:rPr>
                <w:rFonts w:ascii="Garamond" w:hAnsi="Garamond" w:cs="Courier New"/>
                <w:sz w:val="22"/>
                <w:szCs w:val="22"/>
                <w:highlight w:val="yellow"/>
              </w:rPr>
              <w:t>ВЭ на территории Амурской области, в отношении которого покупка электрической энергии осуществляется во второй ценовой зоне, определяется в соответствии со следующей формулой:</w:t>
            </w:r>
          </w:p>
          <w:p w:rsidR="008571D2" w:rsidRPr="00D92A24" w:rsidRDefault="008571D2" w:rsidP="00923AA2">
            <w:pPr>
              <w:tabs>
                <w:tab w:val="left" w:pos="1418"/>
                <w:tab w:val="left" w:pos="1560"/>
              </w:tabs>
              <w:spacing w:before="120" w:after="120"/>
              <w:ind w:left="28"/>
              <w:jc w:val="both"/>
              <w:rPr>
                <w:rFonts w:ascii="Garamond" w:hAnsi="Garamond" w:cs="Courier New"/>
                <w:sz w:val="22"/>
                <w:szCs w:val="22"/>
                <w:highlight w:val="yellow"/>
              </w:rPr>
            </w:pPr>
            <w:r w:rsidRPr="00D92A24">
              <w:rPr>
                <w:rFonts w:ascii="Garamond" w:hAnsi="Garamond" w:cs="Courier New"/>
                <w:position w:val="-14"/>
                <w:sz w:val="22"/>
                <w:szCs w:val="22"/>
                <w:highlight w:val="yellow"/>
              </w:rPr>
              <w:object w:dxaOrig="7280" w:dyaOrig="400">
                <v:shape id="_x0000_i1074" type="#_x0000_t75" style="width:322.5pt;height:18.75pt" o:ole="">
                  <v:imagedata r:id="rId91" o:title=""/>
                </v:shape>
                <o:OLEObject Type="Embed" ProgID="Equation.3" ShapeID="_x0000_i1074" DrawAspect="Content" ObjectID="_1541322830" r:id="rId92"/>
              </w:object>
            </w:r>
            <w:r w:rsidR="00593661">
              <w:rPr>
                <w:rFonts w:ascii="Garamond" w:hAnsi="Garamond" w:cs="Courier New"/>
                <w:sz w:val="22"/>
                <w:szCs w:val="22"/>
                <w:highlight w:val="yellow"/>
              </w:rPr>
              <w:t>.</w:t>
            </w:r>
          </w:p>
          <w:p w:rsidR="008571D2" w:rsidRPr="00593661" w:rsidRDefault="008571D2" w:rsidP="00593661">
            <w:pPr>
              <w:spacing w:before="120"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B762C">
              <w:rPr>
                <w:rFonts w:ascii="Garamond" w:hAnsi="Garamond" w:cs="Courier New"/>
                <w:sz w:val="22"/>
                <w:szCs w:val="22"/>
              </w:rPr>
              <w:t>Фактические данные о</w:t>
            </w:r>
            <w:r w:rsidR="00593661">
              <w:rPr>
                <w:rFonts w:ascii="Garamond" w:hAnsi="Garamond" w:cs="Courier New"/>
                <w:sz w:val="22"/>
                <w:szCs w:val="22"/>
              </w:rPr>
              <w:t xml:space="preserve"> потреблении в ГТП потребления </w:t>
            </w:r>
            <w:r w:rsidR="00593661" w:rsidRPr="00D92A24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Pr="008B762C">
              <w:rPr>
                <w:rFonts w:ascii="Garamond" w:hAnsi="Garamond" w:cs="Courier New"/>
                <w:sz w:val="22"/>
                <w:szCs w:val="22"/>
              </w:rPr>
              <w:t xml:space="preserve">частников оптового рынка второй неценовой и второй ценовой зоны формируется в соответствии с </w:t>
            </w:r>
            <w:r w:rsidRPr="008B762C">
              <w:rPr>
                <w:rFonts w:ascii="Garamond" w:hAnsi="Garamond" w:cs="Courier New"/>
                <w:i/>
                <w:sz w:val="22"/>
                <w:szCs w:val="22"/>
              </w:rPr>
              <w:t>Регламентом коммерческого учета</w:t>
            </w:r>
            <w:r w:rsidRPr="008B762C">
              <w:rPr>
                <w:rFonts w:ascii="Garamond" w:hAnsi="Garamond" w:cs="Courier New"/>
                <w:sz w:val="22"/>
                <w:szCs w:val="22"/>
              </w:rPr>
              <w:t xml:space="preserve"> </w:t>
            </w:r>
            <w:r w:rsidRPr="008B762C">
              <w:rPr>
                <w:rFonts w:ascii="Garamond" w:hAnsi="Garamond" w:cs="Courier New"/>
                <w:i/>
                <w:sz w:val="22"/>
                <w:szCs w:val="22"/>
              </w:rPr>
              <w:t>электроэнергии и мощности</w:t>
            </w:r>
            <w:r w:rsidRPr="008B762C">
              <w:rPr>
                <w:rFonts w:ascii="Garamond" w:hAnsi="Garamond" w:cs="Courier New"/>
                <w:sz w:val="22"/>
                <w:szCs w:val="22"/>
              </w:rPr>
              <w:t xml:space="preserve"> (Приложение № 11</w:t>
            </w:r>
            <w:r w:rsidRPr="008B762C">
              <w:rPr>
                <w:rFonts w:ascii="Garamond" w:hAnsi="Garamond" w:cs="Courier New"/>
                <w:i/>
                <w:sz w:val="22"/>
                <w:szCs w:val="22"/>
              </w:rPr>
              <w:t xml:space="preserve"> к Договору о присоединении к торговой системе оптового рынка</w:t>
            </w:r>
            <w:r w:rsidRPr="008B762C">
              <w:rPr>
                <w:rFonts w:ascii="Garamond" w:hAnsi="Garamond" w:cs="Courier New"/>
                <w:sz w:val="22"/>
                <w:szCs w:val="22"/>
              </w:rPr>
              <w:t>).</w:t>
            </w:r>
          </w:p>
        </w:tc>
      </w:tr>
      <w:tr w:rsidR="00905DD3" w:rsidRPr="00E569AF" w:rsidTr="007D6F88">
        <w:trPr>
          <w:trHeight w:val="435"/>
        </w:trPr>
        <w:tc>
          <w:tcPr>
            <w:tcW w:w="1008" w:type="dxa"/>
            <w:vAlign w:val="center"/>
          </w:tcPr>
          <w:p w:rsidR="00905DD3" w:rsidRPr="004B1707" w:rsidRDefault="00905DD3" w:rsidP="00CF3A3D">
            <w:pPr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lastRenderedPageBreak/>
              <w:t>12.5</w:t>
            </w:r>
          </w:p>
        </w:tc>
        <w:tc>
          <w:tcPr>
            <w:tcW w:w="6755" w:type="dxa"/>
            <w:vAlign w:val="center"/>
          </w:tcPr>
          <w:p w:rsidR="00905DD3" w:rsidRPr="004B1707" w:rsidRDefault="00905DD3" w:rsidP="0030401E">
            <w:pPr>
              <w:pStyle w:val="af7"/>
              <w:keepNext/>
              <w:ind w:left="576"/>
              <w:contextualSpacing w:val="0"/>
              <w:jc w:val="both"/>
              <w:outlineLvl w:val="2"/>
              <w:rPr>
                <w:rFonts w:ascii="Garamond" w:eastAsia="Times New Roman" w:hAnsi="Garamond"/>
                <w:b/>
                <w:bCs/>
                <w:iCs/>
                <w:vanish/>
                <w:sz w:val="20"/>
                <w:szCs w:val="22"/>
              </w:rPr>
            </w:pPr>
          </w:p>
          <w:p w:rsidR="00F76C67" w:rsidRPr="0020557D" w:rsidRDefault="00F76C67" w:rsidP="00F76C67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b/>
                <w:szCs w:val="22"/>
              </w:rPr>
            </w:pPr>
            <w:r w:rsidRPr="00F76C67">
              <w:rPr>
                <w:rFonts w:ascii="Garamond" w:hAnsi="Garamond"/>
                <w:b/>
                <w:szCs w:val="22"/>
                <w:highlight w:val="yellow"/>
              </w:rPr>
              <w:t xml:space="preserve">12.5 Определение объемов электроэнергии, покупаемых (продаваемых) участниками оптового рынка </w:t>
            </w:r>
            <w:r w:rsidRPr="00F76C67">
              <w:rPr>
                <w:rFonts w:ascii="Garamond" w:hAnsi="Garamond"/>
                <w:b/>
                <w:bCs/>
                <w:szCs w:val="22"/>
                <w:highlight w:val="yellow"/>
              </w:rPr>
              <w:t>в целях расчетов фактических объемов купли-продажи электроэнергии по договорам купли-продажи электрической энергии на территориях субъектов РФ, не объединенных в ценовые зоны оптового рынка</w:t>
            </w:r>
          </w:p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szCs w:val="22"/>
              </w:rPr>
            </w:pPr>
            <w:r w:rsidRPr="001C2D45">
              <w:rPr>
                <w:rFonts w:ascii="Garamond" w:hAnsi="Garamond"/>
                <w:szCs w:val="22"/>
              </w:rPr>
              <w:t xml:space="preserve">Почасовые отклонения с учетом инициатив определяются для </w:t>
            </w:r>
            <w:r w:rsidRPr="00593661">
              <w:rPr>
                <w:rFonts w:ascii="Garamond" w:hAnsi="Garamond"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/>
                <w:szCs w:val="22"/>
              </w:rPr>
              <w:t xml:space="preserve">частника в соответствии с </w:t>
            </w:r>
            <w:r w:rsidRPr="001C2D45">
              <w:rPr>
                <w:rFonts w:ascii="Garamond" w:hAnsi="Garamond"/>
                <w:i/>
                <w:szCs w:val="22"/>
              </w:rPr>
              <w:t xml:space="preserve">Регламентом определения объемов, инициатив и стоимости отклонений </w:t>
            </w:r>
            <w:r>
              <w:rPr>
                <w:rFonts w:ascii="Garamond" w:hAnsi="Garamond"/>
                <w:szCs w:val="22"/>
              </w:rPr>
              <w:t>(Приложение № 12 к</w:t>
            </w:r>
            <w:r w:rsidRPr="001C2D45">
              <w:rPr>
                <w:rFonts w:ascii="Garamond" w:hAnsi="Garamond"/>
                <w:szCs w:val="22"/>
              </w:rPr>
              <w:t xml:space="preserve"> </w:t>
            </w:r>
            <w:r w:rsidRPr="001C2D45"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 w:rsidRPr="001C2D45">
              <w:rPr>
                <w:rFonts w:ascii="Garamond" w:hAnsi="Garamond"/>
                <w:szCs w:val="22"/>
              </w:rPr>
              <w:t>)</w:t>
            </w:r>
            <w:r w:rsidRPr="001C2D45">
              <w:rPr>
                <w:rFonts w:ascii="Garamond" w:hAnsi="Garamond"/>
                <w:i/>
                <w:szCs w:val="22"/>
              </w:rPr>
              <w:t xml:space="preserve">. </w:t>
            </w:r>
          </w:p>
          <w:p w:rsidR="00905DD3" w:rsidRDefault="00905DD3" w:rsidP="00CF3A3D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szCs w:val="22"/>
              </w:rPr>
            </w:pPr>
            <w:r w:rsidRPr="001C2D45">
              <w:rPr>
                <w:rFonts w:ascii="Garamond" w:hAnsi="Garamond"/>
                <w:szCs w:val="22"/>
              </w:rPr>
              <w:t xml:space="preserve">Величины </w:t>
            </w:r>
            <w:r w:rsidRPr="001C2D45">
              <w:rPr>
                <w:rFonts w:ascii="Garamond" w:hAnsi="Garamond"/>
                <w:position w:val="-14"/>
                <w:szCs w:val="22"/>
              </w:rPr>
              <w:object w:dxaOrig="1579" w:dyaOrig="400">
                <v:shape id="_x0000_i1075" type="#_x0000_t75" style="width:98.25pt;height:24.75pt" o:ole="">
                  <v:imagedata r:id="rId93" o:title=""/>
                </v:shape>
                <o:OLEObject Type="Embed" ProgID="Equation.3" ShapeID="_x0000_i1075" DrawAspect="Content" ObjectID="_1541322831" r:id="rId94"/>
              </w:object>
            </w:r>
            <w:r w:rsidRPr="001C2D45">
              <w:rPr>
                <w:rFonts w:ascii="Garamond" w:hAnsi="Garamond"/>
                <w:szCs w:val="22"/>
              </w:rPr>
              <w:t xml:space="preserve"> и </w:t>
            </w:r>
            <w:r w:rsidRPr="001C2D45">
              <w:rPr>
                <w:rFonts w:ascii="Garamond" w:hAnsi="Garamond"/>
                <w:position w:val="-14"/>
                <w:szCs w:val="22"/>
              </w:rPr>
              <w:object w:dxaOrig="1600" w:dyaOrig="400">
                <v:shape id="_x0000_i1076" type="#_x0000_t75" style="width:86.25pt;height:21.75pt" o:ole="">
                  <v:imagedata r:id="rId95" o:title=""/>
                </v:shape>
                <o:OLEObject Type="Embed" ProgID="Equation.3" ShapeID="_x0000_i1076" DrawAspect="Content" ObjectID="_1541322832" r:id="rId96"/>
              </w:object>
            </w:r>
            <w:r w:rsidRPr="001C2D45">
              <w:rPr>
                <w:rFonts w:ascii="Garamond" w:hAnsi="Garamond"/>
                <w:szCs w:val="22"/>
              </w:rPr>
              <w:t xml:space="preserve">, </w:t>
            </w:r>
            <w:r w:rsidRPr="001C2D45">
              <w:rPr>
                <w:rFonts w:ascii="Garamond" w:hAnsi="Garamond"/>
                <w:szCs w:val="22"/>
              </w:rPr>
              <w:lastRenderedPageBreak/>
              <w:t xml:space="preserve">определяются отдельно для каждой ГТП генерации и ГТП потребления (в т.ч. ГТП потребления поставщика) </w:t>
            </w:r>
            <w:r w:rsidRPr="006A4538">
              <w:rPr>
                <w:rFonts w:ascii="Garamond" w:hAnsi="Garamond"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/>
                <w:szCs w:val="22"/>
              </w:rPr>
              <w:t>частника и вычисляются, соответственно, как сумма почасовых отклонений вверх и как сумма почасовых отклонений вниз для данного часа:</w:t>
            </w:r>
          </w:p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b/>
                <w:szCs w:val="22"/>
              </w:rPr>
            </w:pPr>
            <w:r w:rsidRPr="001C2D45">
              <w:rPr>
                <w:rFonts w:ascii="Garamond" w:hAnsi="Garamond"/>
                <w:b/>
                <w:position w:val="-14"/>
                <w:szCs w:val="22"/>
              </w:rPr>
              <w:object w:dxaOrig="4480" w:dyaOrig="400">
                <v:shape id="_x0000_i1077" type="#_x0000_t75" style="width:296.25pt;height:27pt" o:ole="">
                  <v:imagedata r:id="rId97" o:title=""/>
                </v:shape>
                <o:OLEObject Type="Embed" ProgID="Equation.3" ShapeID="_x0000_i1077" DrawAspect="Content" ObjectID="_1541322833" r:id="rId98"/>
              </w:object>
            </w:r>
          </w:p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b/>
                <w:szCs w:val="22"/>
              </w:rPr>
            </w:pPr>
            <w:r w:rsidRPr="001C2D45">
              <w:rPr>
                <w:rFonts w:ascii="Garamond" w:hAnsi="Garamond"/>
                <w:b/>
                <w:position w:val="-14"/>
                <w:szCs w:val="22"/>
              </w:rPr>
              <w:object w:dxaOrig="4480" w:dyaOrig="400">
                <v:shape id="_x0000_i1078" type="#_x0000_t75" style="width:296.25pt;height:27pt" o:ole="">
                  <v:imagedata r:id="rId99" o:title=""/>
                </v:shape>
                <o:OLEObject Type="Embed" ProgID="Equation.3" ShapeID="_x0000_i1078" DrawAspect="Content" ObjectID="_1541322834" r:id="rId100"/>
              </w:object>
            </w:r>
          </w:p>
          <w:p w:rsidR="00905DD3" w:rsidRPr="001C2D45" w:rsidRDefault="00905DD3" w:rsidP="00CF3A3D">
            <w:pPr>
              <w:pStyle w:val="3"/>
              <w:numPr>
                <w:ilvl w:val="0"/>
                <w:numId w:val="0"/>
              </w:numPr>
              <w:ind w:left="552"/>
              <w:rPr>
                <w:rFonts w:ascii="Garamond" w:hAnsi="Garamond"/>
                <w:b w:val="0"/>
                <w:szCs w:val="22"/>
              </w:rPr>
            </w:pPr>
            <w:r w:rsidRPr="001C2D45">
              <w:rPr>
                <w:rFonts w:ascii="Garamond" w:hAnsi="Garamond"/>
                <w:b w:val="0"/>
                <w:position w:val="-14"/>
                <w:szCs w:val="22"/>
              </w:rPr>
              <w:object w:dxaOrig="3379" w:dyaOrig="400">
                <v:shape id="_x0000_i1079" type="#_x0000_t75" style="width:180.75pt;height:22.5pt" o:ole="">
                  <v:imagedata r:id="rId101" o:title=""/>
                </v:shape>
                <o:OLEObject Type="Embed" ProgID="Equation.3" ShapeID="_x0000_i1079" DrawAspect="Content" ObjectID="_1541322835" r:id="rId102"/>
              </w:object>
            </w:r>
          </w:p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ind w:left="552"/>
              <w:rPr>
                <w:rFonts w:ascii="Garamond" w:hAnsi="Garamond"/>
                <w:szCs w:val="22"/>
              </w:rPr>
            </w:pPr>
            <w:r w:rsidRPr="001C2D45">
              <w:rPr>
                <w:rFonts w:ascii="Garamond" w:hAnsi="Garamond"/>
                <w:b/>
                <w:position w:val="-14"/>
                <w:szCs w:val="22"/>
              </w:rPr>
              <w:object w:dxaOrig="3379" w:dyaOrig="400">
                <v:shape id="_x0000_i1080" type="#_x0000_t75" style="width:195.75pt;height:24pt" o:ole="">
                  <v:imagedata r:id="rId103" o:title=""/>
                </v:shape>
                <o:OLEObject Type="Embed" ProgID="Equation.3" ShapeID="_x0000_i1080" DrawAspect="Content" ObjectID="_1541322836" r:id="rId104"/>
              </w:object>
            </w:r>
            <w:r w:rsidRPr="00BC592E">
              <w:rPr>
                <w:rFonts w:ascii="Garamond" w:hAnsi="Garamond"/>
                <w:position w:val="-14"/>
                <w:szCs w:val="22"/>
              </w:rPr>
              <w:t>.</w:t>
            </w:r>
          </w:p>
          <w:p w:rsidR="00905DD3" w:rsidRPr="0047096A" w:rsidRDefault="00905DD3" w:rsidP="00CF3A3D">
            <w:pPr>
              <w:pStyle w:val="3"/>
              <w:numPr>
                <w:ilvl w:val="0"/>
                <w:numId w:val="0"/>
              </w:numPr>
              <w:ind w:firstLine="601"/>
              <w:rPr>
                <w:rFonts w:ascii="Garamond" w:hAnsi="Garamond"/>
                <w:b w:val="0"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:rsidR="00905DD3" w:rsidRPr="004B1707" w:rsidRDefault="00905DD3" w:rsidP="0030401E">
            <w:pPr>
              <w:pStyle w:val="af7"/>
              <w:keepNext/>
              <w:ind w:left="576"/>
              <w:contextualSpacing w:val="0"/>
              <w:jc w:val="both"/>
              <w:outlineLvl w:val="2"/>
              <w:rPr>
                <w:rFonts w:ascii="Garamond" w:eastAsia="Times New Roman" w:hAnsi="Garamond"/>
                <w:b/>
                <w:bCs/>
                <w:iCs/>
                <w:vanish/>
                <w:sz w:val="20"/>
                <w:szCs w:val="22"/>
              </w:rPr>
            </w:pPr>
          </w:p>
          <w:p w:rsidR="00F76C67" w:rsidRPr="004A780D" w:rsidRDefault="00F76C67" w:rsidP="00F76C67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szCs w:val="22"/>
              </w:rPr>
            </w:pPr>
            <w:r w:rsidRPr="00F76C67">
              <w:rPr>
                <w:rFonts w:ascii="Garamond" w:hAnsi="Garamond"/>
                <w:szCs w:val="22"/>
                <w:highlight w:val="yellow"/>
              </w:rPr>
              <w:t>12.5</w:t>
            </w:r>
            <w:r w:rsidR="00593661">
              <w:rPr>
                <w:rFonts w:ascii="Garamond" w:hAnsi="Garamond"/>
                <w:szCs w:val="22"/>
                <w:highlight w:val="yellow"/>
              </w:rPr>
              <w:t>.</w:t>
            </w:r>
            <w:r w:rsidRPr="00F76C67">
              <w:rPr>
                <w:rFonts w:ascii="Garamond" w:hAnsi="Garamond"/>
                <w:szCs w:val="22"/>
                <w:highlight w:val="yellow"/>
              </w:rPr>
              <w:t xml:space="preserve"> Определение объемов электроэнергии, покупаемых (продаваемых) участниками оптового рынка по договорам </w:t>
            </w:r>
            <w:r w:rsidRPr="00F76C67">
              <w:rPr>
                <w:rFonts w:ascii="Garamond" w:hAnsi="Garamond"/>
                <w:bCs/>
                <w:szCs w:val="22"/>
                <w:highlight w:val="yellow"/>
              </w:rPr>
              <w:t>купли-продажи/комиссии на продажу электрической энергии в целях балансирования системы в обеспечение поставки электрической энергии в объеме перетока по границе с ценовыми зонами оптового рынка в целях расчетов фактических объемов купли-продажи электроэнергии по договорам купли-продажи электрической энергии на территориях субъектов РФ, не объединенны</w:t>
            </w:r>
            <w:r w:rsidR="00593661">
              <w:rPr>
                <w:rFonts w:ascii="Garamond" w:hAnsi="Garamond"/>
                <w:bCs/>
                <w:szCs w:val="22"/>
                <w:highlight w:val="yellow"/>
              </w:rPr>
              <w:t>х в ценовые зоны оптового рынка</w:t>
            </w:r>
          </w:p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szCs w:val="22"/>
              </w:rPr>
            </w:pPr>
            <w:r w:rsidRPr="001C2D45">
              <w:rPr>
                <w:rFonts w:ascii="Garamond" w:hAnsi="Garamond"/>
                <w:szCs w:val="22"/>
              </w:rPr>
              <w:t>Почасовые отклонения с уче</w:t>
            </w:r>
            <w:r w:rsidR="00593661">
              <w:rPr>
                <w:rFonts w:ascii="Garamond" w:hAnsi="Garamond"/>
                <w:szCs w:val="22"/>
              </w:rPr>
              <w:t xml:space="preserve">том инициатив определяются для </w:t>
            </w:r>
            <w:r w:rsidR="00593661" w:rsidRPr="00F76C67">
              <w:rPr>
                <w:rFonts w:ascii="Garamond" w:hAnsi="Garamond"/>
                <w:bCs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/>
                <w:szCs w:val="22"/>
              </w:rPr>
              <w:t xml:space="preserve">частника в соответствии с </w:t>
            </w:r>
            <w:r w:rsidRPr="001C2D45">
              <w:rPr>
                <w:rFonts w:ascii="Garamond" w:hAnsi="Garamond"/>
                <w:i/>
                <w:szCs w:val="22"/>
              </w:rPr>
              <w:t xml:space="preserve">Регламентом определения объемов, инициатив и стоимости отклонений </w:t>
            </w:r>
            <w:r>
              <w:rPr>
                <w:rFonts w:ascii="Garamond" w:hAnsi="Garamond"/>
                <w:szCs w:val="22"/>
              </w:rPr>
              <w:t>(Приложение № 12 к</w:t>
            </w:r>
            <w:r w:rsidRPr="001C2D45">
              <w:rPr>
                <w:rFonts w:ascii="Garamond" w:hAnsi="Garamond"/>
                <w:szCs w:val="22"/>
              </w:rPr>
              <w:t xml:space="preserve"> </w:t>
            </w:r>
            <w:r w:rsidRPr="001C2D45">
              <w:rPr>
                <w:rFonts w:ascii="Garamond" w:hAnsi="Garamond"/>
                <w:i/>
                <w:szCs w:val="22"/>
              </w:rPr>
              <w:t>Договору о присоединении к торговой системе оптового рынка</w:t>
            </w:r>
            <w:r w:rsidRPr="001C2D45">
              <w:rPr>
                <w:rFonts w:ascii="Garamond" w:hAnsi="Garamond"/>
                <w:szCs w:val="22"/>
              </w:rPr>
              <w:t>)</w:t>
            </w:r>
            <w:r w:rsidRPr="001C2D45">
              <w:rPr>
                <w:rFonts w:ascii="Garamond" w:hAnsi="Garamond"/>
                <w:i/>
                <w:szCs w:val="22"/>
              </w:rPr>
              <w:t xml:space="preserve">. </w:t>
            </w:r>
          </w:p>
          <w:p w:rsidR="00905DD3" w:rsidRDefault="00905DD3" w:rsidP="00CF3A3D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szCs w:val="22"/>
              </w:rPr>
            </w:pPr>
            <w:r w:rsidRPr="001C2D45">
              <w:rPr>
                <w:rFonts w:ascii="Garamond" w:hAnsi="Garamond"/>
                <w:szCs w:val="22"/>
              </w:rPr>
              <w:lastRenderedPageBreak/>
              <w:t xml:space="preserve">Величины </w:t>
            </w:r>
            <w:r w:rsidRPr="001C2D45">
              <w:rPr>
                <w:rFonts w:ascii="Garamond" w:hAnsi="Garamond"/>
                <w:position w:val="-14"/>
                <w:szCs w:val="22"/>
              </w:rPr>
              <w:object w:dxaOrig="1579" w:dyaOrig="400">
                <v:shape id="_x0000_i1081" type="#_x0000_t75" style="width:98.25pt;height:24.75pt" o:ole="">
                  <v:imagedata r:id="rId93" o:title=""/>
                </v:shape>
                <o:OLEObject Type="Embed" ProgID="Equation.3" ShapeID="_x0000_i1081" DrawAspect="Content" ObjectID="_1541322837" r:id="rId105"/>
              </w:object>
            </w:r>
            <w:r w:rsidRPr="001C2D45">
              <w:rPr>
                <w:rFonts w:ascii="Garamond" w:hAnsi="Garamond"/>
                <w:szCs w:val="22"/>
              </w:rPr>
              <w:t xml:space="preserve"> и </w:t>
            </w:r>
            <w:r w:rsidRPr="001C2D45">
              <w:rPr>
                <w:rFonts w:ascii="Garamond" w:hAnsi="Garamond"/>
                <w:position w:val="-14"/>
                <w:szCs w:val="22"/>
              </w:rPr>
              <w:object w:dxaOrig="1600" w:dyaOrig="400">
                <v:shape id="_x0000_i1082" type="#_x0000_t75" style="width:86.25pt;height:21.75pt" o:ole="">
                  <v:imagedata r:id="rId95" o:title=""/>
                </v:shape>
                <o:OLEObject Type="Embed" ProgID="Equation.3" ShapeID="_x0000_i1082" DrawAspect="Content" ObjectID="_1541322838" r:id="rId106"/>
              </w:object>
            </w:r>
            <w:r w:rsidRPr="001C2D45">
              <w:rPr>
                <w:rFonts w:ascii="Garamond" w:hAnsi="Garamond"/>
                <w:szCs w:val="22"/>
              </w:rPr>
              <w:t>, определяются отдельно для каждой ГТП генерации и ГТП потребления (в т.</w:t>
            </w:r>
            <w:r w:rsidR="006A4538">
              <w:rPr>
                <w:rFonts w:ascii="Garamond" w:hAnsi="Garamond"/>
                <w:szCs w:val="22"/>
              </w:rPr>
              <w:t xml:space="preserve">ч. ГТП потребления поставщика) </w:t>
            </w:r>
            <w:r w:rsidR="006A4538" w:rsidRPr="00F76C67">
              <w:rPr>
                <w:rFonts w:ascii="Garamond" w:hAnsi="Garamond"/>
                <w:bCs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/>
                <w:szCs w:val="22"/>
              </w:rPr>
              <w:t>частника и вычисляются, соответственно, как сумма почасовых отклонений вверх и как сумма почасовых отклонений вниз для данного часа:</w:t>
            </w:r>
          </w:p>
          <w:p w:rsidR="00905DD3" w:rsidRPr="00577DA6" w:rsidRDefault="00593661" w:rsidP="00CF3A3D">
            <w:pPr>
              <w:pStyle w:val="40"/>
              <w:numPr>
                <w:ilvl w:val="0"/>
                <w:numId w:val="44"/>
              </w:numPr>
              <w:ind w:left="601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 xml:space="preserve">в случае, если ГТП </w:t>
            </w:r>
            <w:r w:rsidRPr="00F76C67">
              <w:rPr>
                <w:rFonts w:ascii="Garamond" w:hAnsi="Garamond"/>
                <w:bCs/>
                <w:szCs w:val="22"/>
                <w:highlight w:val="yellow"/>
              </w:rPr>
              <w:t>у</w:t>
            </w:r>
            <w:r w:rsidR="00905DD3" w:rsidRPr="00577DA6">
              <w:rPr>
                <w:rFonts w:ascii="Garamond" w:hAnsi="Garamond"/>
                <w:szCs w:val="22"/>
                <w:highlight w:val="yellow"/>
              </w:rPr>
              <w:t>частника отнесена к территории неценовой зоны Архангельской области (</w:t>
            </w:r>
            <w:r w:rsidR="00905DD3" w:rsidRPr="00577DA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="00905DD3" w:rsidRPr="00577DA6">
              <w:rPr>
                <w:rFonts w:ascii="Garamond" w:hAnsi="Garamond"/>
                <w:i/>
                <w:szCs w:val="22"/>
                <w:highlight w:val="yellow"/>
              </w:rPr>
              <w:t>=1)</w:t>
            </w:r>
            <w:r w:rsidR="00905DD3" w:rsidRPr="00577DA6">
              <w:rPr>
                <w:rFonts w:ascii="Garamond" w:hAnsi="Garamond"/>
                <w:szCs w:val="22"/>
                <w:highlight w:val="yellow"/>
              </w:rPr>
              <w:t xml:space="preserve"> или Республики Коми (</w:t>
            </w:r>
            <w:r w:rsidR="00905DD3" w:rsidRPr="00577DA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="00905DD3" w:rsidRPr="00577DA6">
              <w:rPr>
                <w:rFonts w:ascii="Garamond" w:hAnsi="Garamond"/>
                <w:i/>
                <w:szCs w:val="22"/>
                <w:highlight w:val="yellow"/>
              </w:rPr>
              <w:t>=4)</w:t>
            </w:r>
            <w:r w:rsidRPr="00593661">
              <w:rPr>
                <w:rFonts w:ascii="Garamond" w:hAnsi="Garamond"/>
                <w:szCs w:val="22"/>
                <w:highlight w:val="yellow"/>
              </w:rPr>
              <w:t>:</w:t>
            </w:r>
          </w:p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b/>
                <w:szCs w:val="22"/>
              </w:rPr>
            </w:pPr>
            <w:r w:rsidRPr="001C2D45">
              <w:rPr>
                <w:rFonts w:ascii="Garamond" w:hAnsi="Garamond"/>
                <w:b/>
                <w:position w:val="-14"/>
                <w:szCs w:val="22"/>
              </w:rPr>
              <w:object w:dxaOrig="4480" w:dyaOrig="400">
                <v:shape id="_x0000_i1083" type="#_x0000_t75" style="width:296.25pt;height:27pt" o:ole="">
                  <v:imagedata r:id="rId97" o:title=""/>
                </v:shape>
                <o:OLEObject Type="Embed" ProgID="Equation.3" ShapeID="_x0000_i1083" DrawAspect="Content" ObjectID="_1541322839" r:id="rId107"/>
              </w:object>
            </w:r>
            <w:r w:rsidR="00593661" w:rsidRPr="00593661">
              <w:rPr>
                <w:rFonts w:ascii="Garamond" w:hAnsi="Garamond"/>
                <w:position w:val="-14"/>
                <w:szCs w:val="22"/>
                <w:highlight w:val="yellow"/>
              </w:rPr>
              <w:t>,</w:t>
            </w:r>
          </w:p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b/>
                <w:szCs w:val="22"/>
              </w:rPr>
            </w:pPr>
            <w:r w:rsidRPr="001C2D45">
              <w:rPr>
                <w:rFonts w:ascii="Garamond" w:hAnsi="Garamond"/>
                <w:b/>
                <w:position w:val="-14"/>
                <w:szCs w:val="22"/>
              </w:rPr>
              <w:object w:dxaOrig="4480" w:dyaOrig="400">
                <v:shape id="_x0000_i1084" type="#_x0000_t75" style="width:296.25pt;height:27pt" o:ole="">
                  <v:imagedata r:id="rId99" o:title=""/>
                </v:shape>
                <o:OLEObject Type="Embed" ProgID="Equation.3" ShapeID="_x0000_i1084" DrawAspect="Content" ObjectID="_1541322840" r:id="rId108"/>
              </w:object>
            </w:r>
            <w:r w:rsidR="00593661" w:rsidRPr="00593661">
              <w:rPr>
                <w:rFonts w:ascii="Garamond" w:hAnsi="Garamond"/>
                <w:position w:val="-14"/>
                <w:szCs w:val="22"/>
                <w:highlight w:val="yellow"/>
              </w:rPr>
              <w:t>,</w:t>
            </w:r>
          </w:p>
          <w:p w:rsidR="00905DD3" w:rsidRPr="001C2D45" w:rsidRDefault="00905DD3" w:rsidP="00CF3A3D">
            <w:pPr>
              <w:pStyle w:val="3"/>
              <w:numPr>
                <w:ilvl w:val="0"/>
                <w:numId w:val="0"/>
              </w:numPr>
              <w:ind w:left="601"/>
              <w:rPr>
                <w:rFonts w:ascii="Garamond" w:hAnsi="Garamond"/>
                <w:b w:val="0"/>
                <w:szCs w:val="22"/>
              </w:rPr>
            </w:pPr>
            <w:r w:rsidRPr="001C2D45">
              <w:rPr>
                <w:rFonts w:ascii="Garamond" w:hAnsi="Garamond"/>
                <w:b w:val="0"/>
                <w:position w:val="-14"/>
                <w:szCs w:val="22"/>
              </w:rPr>
              <w:object w:dxaOrig="3379" w:dyaOrig="400">
                <v:shape id="_x0000_i1085" type="#_x0000_t75" style="width:180.75pt;height:22.5pt" o:ole="">
                  <v:imagedata r:id="rId101" o:title=""/>
                </v:shape>
                <o:OLEObject Type="Embed" ProgID="Equation.3" ShapeID="_x0000_i1085" DrawAspect="Content" ObjectID="_1541322841" r:id="rId109"/>
              </w:object>
            </w:r>
            <w:r w:rsidR="00593661" w:rsidRPr="00593661">
              <w:rPr>
                <w:rFonts w:ascii="Garamond" w:hAnsi="Garamond"/>
                <w:b w:val="0"/>
                <w:position w:val="-14"/>
                <w:szCs w:val="22"/>
                <w:highlight w:val="yellow"/>
              </w:rPr>
              <w:t>,</w:t>
            </w:r>
          </w:p>
          <w:p w:rsidR="00905DD3" w:rsidRPr="00577DA6" w:rsidRDefault="00905DD3" w:rsidP="00CF3A3D">
            <w:pPr>
              <w:pStyle w:val="40"/>
              <w:numPr>
                <w:ilvl w:val="0"/>
                <w:numId w:val="0"/>
              </w:numPr>
              <w:ind w:left="601"/>
              <w:rPr>
                <w:rFonts w:ascii="Garamond" w:hAnsi="Garamond"/>
                <w:szCs w:val="22"/>
              </w:rPr>
            </w:pPr>
            <w:r w:rsidRPr="001C2D45">
              <w:rPr>
                <w:rFonts w:ascii="Garamond" w:hAnsi="Garamond"/>
                <w:b/>
                <w:position w:val="-14"/>
                <w:szCs w:val="22"/>
              </w:rPr>
              <w:object w:dxaOrig="3379" w:dyaOrig="400">
                <v:shape id="_x0000_i1086" type="#_x0000_t75" style="width:195.75pt;height:24pt" o:ole="">
                  <v:imagedata r:id="rId103" o:title=""/>
                </v:shape>
                <o:OLEObject Type="Embed" ProgID="Equation.3" ShapeID="_x0000_i1086" DrawAspect="Content" ObjectID="_1541322842" r:id="rId110"/>
              </w:object>
            </w:r>
            <w:r>
              <w:rPr>
                <w:rFonts w:ascii="Garamond" w:hAnsi="Garamond"/>
                <w:position w:val="-14"/>
                <w:szCs w:val="22"/>
              </w:rPr>
              <w:t>,</w:t>
            </w:r>
          </w:p>
          <w:p w:rsidR="00905DD3" w:rsidRPr="00577DA6" w:rsidRDefault="00593661" w:rsidP="00CF3A3D">
            <w:pPr>
              <w:pStyle w:val="40"/>
              <w:numPr>
                <w:ilvl w:val="0"/>
                <w:numId w:val="44"/>
              </w:numPr>
              <w:ind w:left="601"/>
              <w:jc w:val="left"/>
              <w:rPr>
                <w:rFonts w:ascii="Garamond" w:hAnsi="Garamond"/>
                <w:szCs w:val="22"/>
                <w:highlight w:val="yellow"/>
              </w:rPr>
            </w:pPr>
            <w:r>
              <w:rPr>
                <w:rFonts w:ascii="Garamond" w:hAnsi="Garamond"/>
                <w:szCs w:val="22"/>
                <w:highlight w:val="yellow"/>
              </w:rPr>
              <w:t xml:space="preserve">в случае, если ГТП </w:t>
            </w:r>
            <w:r w:rsidRPr="00F76C67">
              <w:rPr>
                <w:rFonts w:ascii="Garamond" w:hAnsi="Garamond"/>
                <w:bCs/>
                <w:szCs w:val="22"/>
                <w:highlight w:val="yellow"/>
              </w:rPr>
              <w:t>у</w:t>
            </w:r>
            <w:r w:rsidR="00905DD3" w:rsidRPr="00577DA6">
              <w:rPr>
                <w:rFonts w:ascii="Garamond" w:hAnsi="Garamond"/>
                <w:szCs w:val="22"/>
                <w:highlight w:val="yellow"/>
              </w:rPr>
              <w:t>частника отнесена к территории неценовой зоны Дальнего Востока (</w:t>
            </w:r>
            <w:r w:rsidR="00905DD3" w:rsidRPr="00577DA6">
              <w:rPr>
                <w:rFonts w:ascii="Garamond" w:hAnsi="Garamond"/>
                <w:i/>
                <w:szCs w:val="22"/>
                <w:highlight w:val="yellow"/>
                <w:lang w:val="en-US"/>
              </w:rPr>
              <w:t>z</w:t>
            </w:r>
            <w:r w:rsidR="00905DD3" w:rsidRPr="00577DA6">
              <w:rPr>
                <w:rFonts w:ascii="Garamond" w:hAnsi="Garamond"/>
                <w:i/>
                <w:szCs w:val="22"/>
                <w:highlight w:val="yellow"/>
              </w:rPr>
              <w:t>=2)</w:t>
            </w:r>
            <w:r>
              <w:rPr>
                <w:rFonts w:ascii="Garamond" w:hAnsi="Garamond"/>
                <w:szCs w:val="22"/>
                <w:highlight w:val="yellow"/>
              </w:rPr>
              <w:t>:</w:t>
            </w:r>
          </w:p>
          <w:p w:rsidR="00905DD3" w:rsidRPr="00577DA6" w:rsidRDefault="00905DD3" w:rsidP="00CF3A3D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b/>
                <w:szCs w:val="22"/>
                <w:highlight w:val="yellow"/>
              </w:rPr>
            </w:pPr>
            <w:r w:rsidRPr="00577DA6">
              <w:rPr>
                <w:rFonts w:ascii="Garamond" w:hAnsi="Garamond"/>
                <w:b/>
                <w:position w:val="-14"/>
                <w:szCs w:val="22"/>
                <w:highlight w:val="yellow"/>
              </w:rPr>
              <w:object w:dxaOrig="2000" w:dyaOrig="400">
                <v:shape id="_x0000_i1087" type="#_x0000_t75" style="width:132pt;height:27pt" o:ole="">
                  <v:imagedata r:id="rId111" o:title=""/>
                </v:shape>
                <o:OLEObject Type="Embed" ProgID="Equation.3" ShapeID="_x0000_i1087" DrawAspect="Content" ObjectID="_1541322843" r:id="rId112"/>
              </w:object>
            </w:r>
            <w:r w:rsidR="0030401E" w:rsidRPr="00593661">
              <w:rPr>
                <w:rFonts w:ascii="Garamond" w:hAnsi="Garamond"/>
                <w:position w:val="-14"/>
                <w:szCs w:val="22"/>
                <w:highlight w:val="yellow"/>
              </w:rPr>
              <w:t>,</w:t>
            </w:r>
          </w:p>
          <w:p w:rsidR="00905DD3" w:rsidRPr="00577DA6" w:rsidRDefault="00905DD3" w:rsidP="00CF3A3D">
            <w:pPr>
              <w:pStyle w:val="40"/>
              <w:numPr>
                <w:ilvl w:val="0"/>
                <w:numId w:val="0"/>
              </w:numPr>
              <w:ind w:firstLine="552"/>
              <w:rPr>
                <w:rFonts w:ascii="Garamond" w:hAnsi="Garamond"/>
                <w:b/>
                <w:szCs w:val="22"/>
                <w:highlight w:val="yellow"/>
              </w:rPr>
            </w:pPr>
            <w:r w:rsidRPr="00577DA6">
              <w:rPr>
                <w:rFonts w:ascii="Garamond" w:hAnsi="Garamond"/>
                <w:b/>
                <w:position w:val="-14"/>
                <w:szCs w:val="22"/>
                <w:highlight w:val="yellow"/>
              </w:rPr>
              <w:object w:dxaOrig="2000" w:dyaOrig="400">
                <v:shape id="_x0000_i1088" type="#_x0000_t75" style="width:132pt;height:27pt" o:ole="">
                  <v:imagedata r:id="rId113" o:title=""/>
                </v:shape>
                <o:OLEObject Type="Embed" ProgID="Equation.3" ShapeID="_x0000_i1088" DrawAspect="Content" ObjectID="_1541322844" r:id="rId114"/>
              </w:object>
            </w:r>
            <w:r w:rsidR="0030401E" w:rsidRPr="00593661">
              <w:rPr>
                <w:rFonts w:ascii="Garamond" w:hAnsi="Garamond"/>
                <w:position w:val="-14"/>
                <w:szCs w:val="22"/>
                <w:highlight w:val="yellow"/>
              </w:rPr>
              <w:t>,</w:t>
            </w:r>
          </w:p>
          <w:p w:rsidR="00905DD3" w:rsidRPr="00577DA6" w:rsidRDefault="00905DD3" w:rsidP="00CF3A3D">
            <w:pPr>
              <w:pStyle w:val="3"/>
              <w:numPr>
                <w:ilvl w:val="0"/>
                <w:numId w:val="0"/>
              </w:numPr>
              <w:ind w:left="601"/>
              <w:rPr>
                <w:rFonts w:ascii="Garamond" w:hAnsi="Garamond"/>
                <w:b w:val="0"/>
                <w:szCs w:val="22"/>
                <w:highlight w:val="yellow"/>
              </w:rPr>
            </w:pPr>
            <w:r w:rsidRPr="00577DA6">
              <w:rPr>
                <w:rFonts w:ascii="Garamond" w:hAnsi="Garamond"/>
                <w:b w:val="0"/>
                <w:position w:val="-14"/>
                <w:szCs w:val="22"/>
                <w:highlight w:val="yellow"/>
              </w:rPr>
              <w:object w:dxaOrig="2120" w:dyaOrig="400">
                <v:shape id="_x0000_i1089" type="#_x0000_t75" style="width:114pt;height:22.5pt" o:ole="">
                  <v:imagedata r:id="rId115" o:title=""/>
                </v:shape>
                <o:OLEObject Type="Embed" ProgID="Equation.3" ShapeID="_x0000_i1089" DrawAspect="Content" ObjectID="_1541322845" r:id="rId116"/>
              </w:object>
            </w:r>
            <w:r w:rsidR="0030401E">
              <w:rPr>
                <w:rFonts w:ascii="Garamond" w:hAnsi="Garamond"/>
                <w:b w:val="0"/>
                <w:position w:val="-14"/>
                <w:szCs w:val="22"/>
                <w:highlight w:val="yellow"/>
              </w:rPr>
              <w:t>,</w:t>
            </w:r>
          </w:p>
          <w:p w:rsidR="00905DD3" w:rsidRPr="0030401E" w:rsidRDefault="00905DD3" w:rsidP="0030401E">
            <w:pPr>
              <w:pStyle w:val="40"/>
              <w:numPr>
                <w:ilvl w:val="0"/>
                <w:numId w:val="0"/>
              </w:numPr>
              <w:ind w:left="601"/>
              <w:rPr>
                <w:rFonts w:ascii="Garamond" w:hAnsi="Garamond"/>
                <w:szCs w:val="22"/>
              </w:rPr>
            </w:pPr>
            <w:r w:rsidRPr="00577DA6">
              <w:rPr>
                <w:rFonts w:ascii="Garamond" w:hAnsi="Garamond"/>
                <w:b/>
                <w:position w:val="-14"/>
                <w:szCs w:val="22"/>
                <w:highlight w:val="yellow"/>
              </w:rPr>
              <w:object w:dxaOrig="2100" w:dyaOrig="400">
                <v:shape id="_x0000_i1090" type="#_x0000_t75" style="width:122.25pt;height:24pt" o:ole="">
                  <v:imagedata r:id="rId117" o:title=""/>
                </v:shape>
                <o:OLEObject Type="Embed" ProgID="Equation.3" ShapeID="_x0000_i1090" DrawAspect="Content" ObjectID="_1541322846" r:id="rId118"/>
              </w:object>
            </w:r>
            <w:r w:rsidRPr="00577DA6">
              <w:rPr>
                <w:rFonts w:ascii="Garamond" w:hAnsi="Garamond"/>
                <w:position w:val="-14"/>
                <w:szCs w:val="22"/>
                <w:highlight w:val="yellow"/>
              </w:rPr>
              <w:t>.</w:t>
            </w:r>
          </w:p>
        </w:tc>
      </w:tr>
      <w:tr w:rsidR="00905DD3" w:rsidRPr="00E569AF" w:rsidTr="007D6F88">
        <w:trPr>
          <w:trHeight w:val="435"/>
        </w:trPr>
        <w:tc>
          <w:tcPr>
            <w:tcW w:w="1008" w:type="dxa"/>
            <w:vAlign w:val="center"/>
          </w:tcPr>
          <w:p w:rsidR="00905DD3" w:rsidRPr="00577DA6" w:rsidRDefault="00905DD3" w:rsidP="00CF3A3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14</w:t>
            </w:r>
          </w:p>
        </w:tc>
        <w:tc>
          <w:tcPr>
            <w:tcW w:w="6755" w:type="dxa"/>
            <w:vAlign w:val="center"/>
          </w:tcPr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rPr>
                <w:rFonts w:ascii="Garamond" w:hAnsi="Garamond"/>
                <w:bCs/>
                <w:szCs w:val="22"/>
              </w:rPr>
            </w:pPr>
            <w:r w:rsidRPr="001C2D45">
              <w:rPr>
                <w:rFonts w:ascii="Garamond" w:hAnsi="Garamond"/>
                <w:bCs/>
                <w:szCs w:val="22"/>
              </w:rPr>
              <w:t>14.1.3</w:t>
            </w:r>
            <w:r w:rsidRPr="00902CD2">
              <w:rPr>
                <w:rFonts w:ascii="Garamond" w:hAnsi="Garamond"/>
                <w:bCs/>
                <w:szCs w:val="22"/>
              </w:rPr>
              <w:t>.</w:t>
            </w:r>
            <w:r w:rsidRPr="001C2D45">
              <w:rPr>
                <w:rFonts w:ascii="Garamond" w:hAnsi="Garamond"/>
                <w:bCs/>
                <w:szCs w:val="22"/>
              </w:rPr>
              <w:t xml:space="preserve"> Описание объемов отклонений, отнесенных на договоры купли-продажи/комиссии на продажу электрической энергии в целях балансирования системы, используемых для определения фактических объемов по четырехсторонним договорам в неценовых зонах оптового </w:t>
            </w:r>
            <w:r w:rsidRPr="001C2D45">
              <w:rPr>
                <w:rFonts w:ascii="Garamond" w:hAnsi="Garamond"/>
                <w:bCs/>
                <w:szCs w:val="22"/>
              </w:rPr>
              <w:lastRenderedPageBreak/>
              <w:t>рынка</w:t>
            </w:r>
          </w:p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rPr>
                <w:rFonts w:ascii="Garamond" w:hAnsi="Garamond"/>
                <w:bCs/>
                <w:szCs w:val="22"/>
              </w:rPr>
            </w:pPr>
            <w:r w:rsidRPr="001C2D45">
              <w:rPr>
                <w:rFonts w:ascii="Garamond" w:hAnsi="Garamond"/>
                <w:bCs/>
                <w:position w:val="-14"/>
                <w:szCs w:val="22"/>
              </w:rPr>
              <w:object w:dxaOrig="1660" w:dyaOrig="400">
                <v:shape id="_x0000_i1091" type="#_x0000_t75" style="width:84pt;height:20.25pt" o:ole="">
                  <v:imagedata r:id="rId119" o:title=""/>
                </v:shape>
                <o:OLEObject Type="Embed" ProgID="Equation.3" ShapeID="_x0000_i1091" DrawAspect="Content" ObjectID="_1541322847" r:id="rId120"/>
              </w:object>
            </w:r>
            <w:r w:rsidRPr="001C2D45">
              <w:rPr>
                <w:rFonts w:ascii="Garamond" w:hAnsi="Garamond"/>
                <w:bCs/>
                <w:szCs w:val="22"/>
              </w:rPr>
              <w:t xml:space="preserve">― объемы отклонений на увеличение, отнесенные на договор купли-продажи/комиссии на продажу электрической энергии в целях балансирования системы, для </w:t>
            </w:r>
            <w:r w:rsidRPr="006A4538">
              <w:rPr>
                <w:rFonts w:ascii="Garamond" w:hAnsi="Garamond"/>
                <w:bCs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/>
                <w:bCs/>
                <w:szCs w:val="22"/>
              </w:rPr>
              <w:t xml:space="preserve">частников оптового рынка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i</w:t>
            </w:r>
            <w:r w:rsidRPr="001C2D45">
              <w:rPr>
                <w:rFonts w:ascii="Garamond" w:hAnsi="Garamond"/>
                <w:bCs/>
                <w:szCs w:val="22"/>
              </w:rPr>
              <w:t xml:space="preserve"> в отношении ГТП потребления (в т.ч. ГТП потребления поставщиков)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p</w:t>
            </w:r>
            <w:r w:rsidRPr="001C2D45">
              <w:rPr>
                <w:rFonts w:ascii="Garamond" w:hAnsi="Garamond"/>
                <w:bCs/>
                <w:szCs w:val="22"/>
              </w:rPr>
              <w:t xml:space="preserve">, ГТП генерации </w:t>
            </w:r>
            <w:r w:rsidRPr="001C2D45">
              <w:rPr>
                <w:rFonts w:ascii="Garamond" w:hAnsi="Garamond"/>
                <w:bCs/>
                <w:i/>
                <w:szCs w:val="22"/>
                <w:lang w:val="en-US"/>
              </w:rPr>
              <w:t>q</w:t>
            </w:r>
            <w:r w:rsidRPr="001C2D45">
              <w:rPr>
                <w:rFonts w:ascii="Garamond" w:hAnsi="Garamond"/>
                <w:bCs/>
                <w:szCs w:val="22"/>
              </w:rPr>
              <w:t xml:space="preserve"> в неценовой зоне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z</w:t>
            </w:r>
            <w:r w:rsidRPr="001C2D45">
              <w:rPr>
                <w:rFonts w:ascii="Garamond" w:hAnsi="Garamond"/>
                <w:bCs/>
                <w:szCs w:val="22"/>
              </w:rPr>
              <w:t>, определенные в соответствии с п. 12 настоящего Регламента;</w:t>
            </w:r>
          </w:p>
          <w:p w:rsidR="00905DD3" w:rsidRPr="004B1707" w:rsidRDefault="00905DD3" w:rsidP="00CF3A3D">
            <w:pPr>
              <w:pStyle w:val="40"/>
              <w:numPr>
                <w:ilvl w:val="0"/>
                <w:numId w:val="0"/>
              </w:numPr>
              <w:rPr>
                <w:rFonts w:ascii="Garamond" w:hAnsi="Garamond"/>
                <w:b/>
                <w:bCs/>
                <w:iCs/>
                <w:vanish/>
                <w:sz w:val="20"/>
                <w:szCs w:val="22"/>
              </w:rPr>
            </w:pPr>
            <w:r w:rsidRPr="001C2D45">
              <w:rPr>
                <w:rFonts w:ascii="Garamond" w:hAnsi="Garamond"/>
                <w:bCs/>
                <w:position w:val="-14"/>
                <w:szCs w:val="22"/>
              </w:rPr>
              <w:object w:dxaOrig="1660" w:dyaOrig="400">
                <v:shape id="_x0000_i1092" type="#_x0000_t75" style="width:84pt;height:20.25pt" o:ole="">
                  <v:imagedata r:id="rId121" o:title=""/>
                </v:shape>
                <o:OLEObject Type="Embed" ProgID="Equation.3" ShapeID="_x0000_i1092" DrawAspect="Content" ObjectID="_1541322848" r:id="rId122"/>
              </w:object>
            </w:r>
            <w:r w:rsidRPr="001C2D45">
              <w:rPr>
                <w:rFonts w:ascii="Garamond" w:hAnsi="Garamond"/>
                <w:bCs/>
                <w:szCs w:val="22"/>
              </w:rPr>
              <w:t xml:space="preserve">― объемы отклонений на уменьшение, отнесенные на договор купли-продажи/комиссии на продажу электрической энергии в целях балансирования системы, для </w:t>
            </w:r>
            <w:r w:rsidRPr="006A4538">
              <w:rPr>
                <w:rFonts w:ascii="Garamond" w:hAnsi="Garamond"/>
                <w:bCs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/>
                <w:bCs/>
                <w:szCs w:val="22"/>
              </w:rPr>
              <w:t xml:space="preserve">частников оптового рынка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i</w:t>
            </w:r>
            <w:r w:rsidRPr="001C2D45">
              <w:rPr>
                <w:rFonts w:ascii="Garamond" w:hAnsi="Garamond"/>
                <w:bCs/>
                <w:szCs w:val="22"/>
              </w:rPr>
              <w:t xml:space="preserve"> в отношении ГТП потребления (в т.ч. ГТП потребления поставщиков)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p</w:t>
            </w:r>
            <w:r w:rsidRPr="001C2D45">
              <w:rPr>
                <w:rFonts w:ascii="Garamond" w:hAnsi="Garamond"/>
                <w:bCs/>
                <w:szCs w:val="22"/>
              </w:rPr>
              <w:t xml:space="preserve">, ГТП генерации </w:t>
            </w:r>
            <w:r w:rsidRPr="001C2D45">
              <w:rPr>
                <w:rFonts w:ascii="Garamond" w:hAnsi="Garamond"/>
                <w:bCs/>
                <w:i/>
                <w:szCs w:val="22"/>
                <w:lang w:val="en-US"/>
              </w:rPr>
              <w:t>q</w:t>
            </w:r>
            <w:r w:rsidRPr="001C2D45">
              <w:rPr>
                <w:rFonts w:ascii="Garamond" w:hAnsi="Garamond"/>
                <w:bCs/>
                <w:szCs w:val="22"/>
              </w:rPr>
              <w:t xml:space="preserve"> в неценовой зоне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z</w:t>
            </w:r>
            <w:r w:rsidRPr="001C2D45">
              <w:rPr>
                <w:rFonts w:ascii="Garamond" w:hAnsi="Garamond"/>
                <w:bCs/>
                <w:szCs w:val="22"/>
              </w:rPr>
              <w:t>, определенные в соответствии с п. 12 настоящего Регламента.</w:t>
            </w:r>
          </w:p>
        </w:tc>
        <w:tc>
          <w:tcPr>
            <w:tcW w:w="7088" w:type="dxa"/>
            <w:vAlign w:val="center"/>
          </w:tcPr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rPr>
                <w:rFonts w:ascii="Garamond" w:hAnsi="Garamond"/>
                <w:bCs/>
                <w:szCs w:val="22"/>
              </w:rPr>
            </w:pPr>
            <w:r w:rsidRPr="001C2D45">
              <w:rPr>
                <w:rFonts w:ascii="Garamond" w:hAnsi="Garamond"/>
                <w:bCs/>
                <w:szCs w:val="22"/>
              </w:rPr>
              <w:lastRenderedPageBreak/>
              <w:t>14.1.3</w:t>
            </w:r>
            <w:r w:rsidRPr="00902CD2">
              <w:rPr>
                <w:rFonts w:ascii="Garamond" w:hAnsi="Garamond"/>
                <w:bCs/>
                <w:szCs w:val="22"/>
              </w:rPr>
              <w:t>.</w:t>
            </w:r>
            <w:r w:rsidRPr="001C2D45">
              <w:rPr>
                <w:rFonts w:ascii="Garamond" w:hAnsi="Garamond"/>
                <w:bCs/>
                <w:szCs w:val="22"/>
              </w:rPr>
              <w:t xml:space="preserve"> Описание объемов отклонений, отнесенных на договоры купли-продажи/комиссии на продажу электрической энергии в целях балансирования системы, используемых для определения фактических объемов по четырехсторонним договорам в неценовых зонах оптового </w:t>
            </w:r>
            <w:r w:rsidRPr="001C2D45">
              <w:rPr>
                <w:rFonts w:ascii="Garamond" w:hAnsi="Garamond"/>
                <w:bCs/>
                <w:szCs w:val="22"/>
              </w:rPr>
              <w:lastRenderedPageBreak/>
              <w:t>рынка</w:t>
            </w:r>
          </w:p>
          <w:p w:rsidR="00905DD3" w:rsidRPr="001C2D45" w:rsidRDefault="00905DD3" w:rsidP="00CF3A3D">
            <w:pPr>
              <w:pStyle w:val="40"/>
              <w:numPr>
                <w:ilvl w:val="0"/>
                <w:numId w:val="0"/>
              </w:numPr>
              <w:rPr>
                <w:rFonts w:ascii="Garamond" w:hAnsi="Garamond"/>
                <w:bCs/>
                <w:szCs w:val="22"/>
              </w:rPr>
            </w:pPr>
            <w:r w:rsidRPr="001C2D45">
              <w:rPr>
                <w:rFonts w:ascii="Garamond" w:hAnsi="Garamond"/>
                <w:bCs/>
                <w:position w:val="-14"/>
                <w:szCs w:val="22"/>
              </w:rPr>
              <w:object w:dxaOrig="1660" w:dyaOrig="400">
                <v:shape id="_x0000_i1093" type="#_x0000_t75" style="width:84pt;height:20.25pt" o:ole="">
                  <v:imagedata r:id="rId119" o:title=""/>
                </v:shape>
                <o:OLEObject Type="Embed" ProgID="Equation.3" ShapeID="_x0000_i1093" DrawAspect="Content" ObjectID="_1541322849" r:id="rId123"/>
              </w:object>
            </w:r>
            <w:r w:rsidRPr="001C2D45">
              <w:rPr>
                <w:rFonts w:ascii="Garamond" w:hAnsi="Garamond"/>
                <w:bCs/>
                <w:szCs w:val="22"/>
              </w:rPr>
              <w:t>― объемы отклонений на увеличение, отнесенные на договор купли-продажи/комиссии на продажу электрической энергии в целях балансирования системы</w:t>
            </w:r>
            <w:r>
              <w:rPr>
                <w:rFonts w:ascii="Garamond" w:hAnsi="Garamond"/>
                <w:bCs/>
                <w:szCs w:val="22"/>
              </w:rPr>
              <w:t xml:space="preserve"> </w:t>
            </w:r>
            <w:r w:rsidRPr="00577DA6">
              <w:rPr>
                <w:rFonts w:ascii="Garamond" w:hAnsi="Garamond"/>
                <w:bCs/>
                <w:szCs w:val="22"/>
                <w:highlight w:val="yellow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="006A4538">
              <w:rPr>
                <w:rFonts w:ascii="Garamond" w:hAnsi="Garamond"/>
                <w:bCs/>
                <w:szCs w:val="22"/>
              </w:rPr>
              <w:t xml:space="preserve">, для </w:t>
            </w:r>
            <w:r w:rsidR="006A4538" w:rsidRPr="006A4538">
              <w:rPr>
                <w:rFonts w:ascii="Garamond" w:hAnsi="Garamond"/>
                <w:bCs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/>
                <w:bCs/>
                <w:szCs w:val="22"/>
              </w:rPr>
              <w:t xml:space="preserve">частников оптового рынка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i</w:t>
            </w:r>
            <w:r w:rsidRPr="001C2D45">
              <w:rPr>
                <w:rFonts w:ascii="Garamond" w:hAnsi="Garamond"/>
                <w:bCs/>
                <w:szCs w:val="22"/>
              </w:rPr>
              <w:t xml:space="preserve"> в отношении ГТП потребления (в т.ч. ГТП потребления поставщиков)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p</w:t>
            </w:r>
            <w:r w:rsidRPr="001C2D45">
              <w:rPr>
                <w:rFonts w:ascii="Garamond" w:hAnsi="Garamond"/>
                <w:bCs/>
                <w:szCs w:val="22"/>
              </w:rPr>
              <w:t xml:space="preserve">, ГТП генерации </w:t>
            </w:r>
            <w:r w:rsidRPr="001C2D45">
              <w:rPr>
                <w:rFonts w:ascii="Garamond" w:hAnsi="Garamond"/>
                <w:bCs/>
                <w:i/>
                <w:szCs w:val="22"/>
                <w:lang w:val="en-US"/>
              </w:rPr>
              <w:t>q</w:t>
            </w:r>
            <w:r w:rsidRPr="001C2D45">
              <w:rPr>
                <w:rFonts w:ascii="Garamond" w:hAnsi="Garamond"/>
                <w:bCs/>
                <w:szCs w:val="22"/>
              </w:rPr>
              <w:t xml:space="preserve"> в неценовой зоне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z</w:t>
            </w:r>
            <w:r w:rsidRPr="001C2D45">
              <w:rPr>
                <w:rFonts w:ascii="Garamond" w:hAnsi="Garamond"/>
                <w:bCs/>
                <w:szCs w:val="22"/>
              </w:rPr>
              <w:t>, определенные в соответствии с п. 12 настоящего Регламента;</w:t>
            </w:r>
          </w:p>
          <w:p w:rsidR="00905DD3" w:rsidRPr="004B1707" w:rsidRDefault="00905DD3" w:rsidP="006A4538">
            <w:pPr>
              <w:pStyle w:val="40"/>
              <w:numPr>
                <w:ilvl w:val="0"/>
                <w:numId w:val="0"/>
              </w:numPr>
              <w:rPr>
                <w:rFonts w:ascii="Garamond" w:hAnsi="Garamond"/>
                <w:b/>
                <w:bCs/>
                <w:iCs/>
                <w:vanish/>
                <w:sz w:val="20"/>
                <w:szCs w:val="22"/>
              </w:rPr>
            </w:pPr>
            <w:r w:rsidRPr="001C2D45">
              <w:rPr>
                <w:rFonts w:ascii="Garamond" w:hAnsi="Garamond"/>
                <w:bCs/>
                <w:position w:val="-14"/>
                <w:szCs w:val="22"/>
              </w:rPr>
              <w:object w:dxaOrig="1660" w:dyaOrig="400">
                <v:shape id="_x0000_i1094" type="#_x0000_t75" style="width:84pt;height:20.25pt" o:ole="">
                  <v:imagedata r:id="rId121" o:title=""/>
                </v:shape>
                <o:OLEObject Type="Embed" ProgID="Equation.3" ShapeID="_x0000_i1094" DrawAspect="Content" ObjectID="_1541322850" r:id="rId124"/>
              </w:object>
            </w:r>
            <w:r w:rsidRPr="001C2D45">
              <w:rPr>
                <w:rFonts w:ascii="Garamond" w:hAnsi="Garamond"/>
                <w:bCs/>
                <w:szCs w:val="22"/>
              </w:rPr>
              <w:t>― объемы отклонений на уменьшение, отнесенные на договор купли-продажи/комиссии на продажу электрической энергии в целях балансирования системы</w:t>
            </w:r>
            <w:r w:rsidRPr="006328E1">
              <w:rPr>
                <w:rFonts w:ascii="Garamond" w:hAnsi="Garamond"/>
                <w:bCs/>
                <w:szCs w:val="22"/>
              </w:rPr>
              <w:t xml:space="preserve"> </w:t>
            </w:r>
            <w:r w:rsidRPr="00577DA6">
              <w:rPr>
                <w:rFonts w:ascii="Garamond" w:hAnsi="Garamond"/>
                <w:bCs/>
                <w:szCs w:val="22"/>
                <w:highlight w:val="yellow"/>
              </w:rPr>
              <w:t>в обеспечение поставки электрической энергии в объеме перетока по границе с ценовыми зонами оптового рынка</w:t>
            </w:r>
            <w:r w:rsidRPr="001C2D45">
              <w:rPr>
                <w:rFonts w:ascii="Garamond" w:hAnsi="Garamond"/>
                <w:bCs/>
                <w:szCs w:val="22"/>
              </w:rPr>
              <w:t xml:space="preserve">, для </w:t>
            </w:r>
            <w:r w:rsidR="006A4538" w:rsidRPr="006A4538">
              <w:rPr>
                <w:rFonts w:ascii="Garamond" w:hAnsi="Garamond"/>
                <w:bCs/>
                <w:szCs w:val="22"/>
                <w:highlight w:val="yellow"/>
              </w:rPr>
              <w:t>у</w:t>
            </w:r>
            <w:r w:rsidRPr="001C2D45">
              <w:rPr>
                <w:rFonts w:ascii="Garamond" w:hAnsi="Garamond"/>
                <w:bCs/>
                <w:szCs w:val="22"/>
              </w:rPr>
              <w:t xml:space="preserve">частников оптового рынка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i</w:t>
            </w:r>
            <w:r w:rsidRPr="001C2D45">
              <w:rPr>
                <w:rFonts w:ascii="Garamond" w:hAnsi="Garamond"/>
                <w:bCs/>
                <w:szCs w:val="22"/>
              </w:rPr>
              <w:t xml:space="preserve"> в отношении ГТП потребления (в т.ч. ГТП потребления поставщиков)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p</w:t>
            </w:r>
            <w:r w:rsidRPr="001C2D45">
              <w:rPr>
                <w:rFonts w:ascii="Garamond" w:hAnsi="Garamond"/>
                <w:bCs/>
                <w:szCs w:val="22"/>
              </w:rPr>
              <w:t xml:space="preserve">, ГТП генерации </w:t>
            </w:r>
            <w:r w:rsidRPr="001C2D45">
              <w:rPr>
                <w:rFonts w:ascii="Garamond" w:hAnsi="Garamond"/>
                <w:bCs/>
                <w:i/>
                <w:szCs w:val="22"/>
                <w:lang w:val="en-US"/>
              </w:rPr>
              <w:t>q</w:t>
            </w:r>
            <w:r w:rsidRPr="001C2D45">
              <w:rPr>
                <w:rFonts w:ascii="Garamond" w:hAnsi="Garamond"/>
                <w:bCs/>
                <w:szCs w:val="22"/>
              </w:rPr>
              <w:t xml:space="preserve"> в неценовой зоне </w:t>
            </w:r>
            <w:r w:rsidRPr="001C2D45">
              <w:rPr>
                <w:rFonts w:ascii="Garamond" w:hAnsi="Garamond"/>
                <w:bCs/>
                <w:i/>
                <w:szCs w:val="22"/>
              </w:rPr>
              <w:t>z</w:t>
            </w:r>
            <w:r w:rsidRPr="001C2D45">
              <w:rPr>
                <w:rFonts w:ascii="Garamond" w:hAnsi="Garamond"/>
                <w:bCs/>
                <w:szCs w:val="22"/>
              </w:rPr>
              <w:t>, определенные в соответствии с п. 12 настоящего Регламента.</w:t>
            </w:r>
          </w:p>
        </w:tc>
      </w:tr>
    </w:tbl>
    <w:p w:rsidR="009313DB" w:rsidRDefault="009313DB" w:rsidP="00272C87">
      <w:pPr>
        <w:tabs>
          <w:tab w:val="left" w:pos="1134"/>
        </w:tabs>
        <w:ind w:left="-142"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</w:p>
    <w:p w:rsidR="00272C87" w:rsidRPr="00E569AF" w:rsidRDefault="00272C87" w:rsidP="00272C87">
      <w:pPr>
        <w:tabs>
          <w:tab w:val="left" w:pos="1134"/>
        </w:tabs>
        <w:ind w:left="-142"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  <w:r w:rsidRPr="00E569AF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E569AF"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E569AF">
        <w:rPr>
          <w:rFonts w:ascii="Garamond" w:eastAsia="Batang" w:hAnsi="Garamond"/>
          <w:b/>
          <w:bCs/>
          <w:sz w:val="26"/>
          <w:szCs w:val="26"/>
        </w:rPr>
        <w:t>в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E569AF">
        <w:rPr>
          <w:rFonts w:ascii="Garamond" w:eastAsia="Batang" w:hAnsi="Garamond"/>
          <w:b/>
          <w:bCs/>
          <w:caps/>
          <w:color w:val="000000"/>
          <w:sz w:val="26"/>
          <w:szCs w:val="26"/>
        </w:rPr>
        <w:t xml:space="preserve">РЕГЛАМЕНТ </w:t>
      </w:r>
      <w:r>
        <w:rPr>
          <w:rFonts w:ascii="Garamond" w:eastAsia="Batang" w:hAnsi="Garamond"/>
          <w:b/>
          <w:bCs/>
          <w:caps/>
          <w:color w:val="000000"/>
          <w:sz w:val="26"/>
          <w:szCs w:val="26"/>
        </w:rPr>
        <w:t>ДОПУСКА К ТОРГОВОЙ СИСТЕМЕ ОПТОВОГО РЫНКА</w:t>
      </w:r>
      <w:r w:rsidRPr="00E569AF">
        <w:rPr>
          <w:rFonts w:ascii="Garamond" w:eastAsia="Batang" w:hAnsi="Garamond"/>
          <w:b/>
          <w:bCs/>
          <w:caps/>
          <w:color w:val="000000"/>
          <w:sz w:val="26"/>
          <w:szCs w:val="26"/>
        </w:rPr>
        <w:t xml:space="preserve"> 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>(П</w:t>
      </w:r>
      <w:r w:rsidRPr="00E569AF"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>
        <w:rPr>
          <w:rFonts w:ascii="Garamond" w:eastAsia="Batang" w:hAnsi="Garamond"/>
          <w:b/>
          <w:bCs/>
          <w:caps/>
          <w:sz w:val="26"/>
          <w:szCs w:val="26"/>
        </w:rPr>
        <w:t>№ 1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E569AF">
        <w:rPr>
          <w:rFonts w:ascii="Garamond" w:eastAsia="Batang" w:hAnsi="Garamond"/>
          <w:b/>
          <w:bCs/>
          <w:sz w:val="26"/>
          <w:szCs w:val="26"/>
        </w:rPr>
        <w:t>к Договору о присоединении к торговой системе оптового рынка</w:t>
      </w:r>
      <w:r w:rsidRPr="00E569AF"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:rsidR="00272C87" w:rsidRPr="008765B0" w:rsidRDefault="00272C87" w:rsidP="00272C87">
      <w:pPr>
        <w:widowControl w:val="0"/>
        <w:jc w:val="both"/>
        <w:rPr>
          <w:rFonts w:ascii="Garamond" w:hAnsi="Garamond"/>
          <w:b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755"/>
        <w:gridCol w:w="7088"/>
      </w:tblGrid>
      <w:tr w:rsidR="00272C87" w:rsidRPr="00E569AF" w:rsidTr="00961EE2">
        <w:trPr>
          <w:trHeight w:val="435"/>
        </w:trPr>
        <w:tc>
          <w:tcPr>
            <w:tcW w:w="1008" w:type="dxa"/>
            <w:vAlign w:val="center"/>
          </w:tcPr>
          <w:p w:rsidR="00272C87" w:rsidRPr="00E569AF" w:rsidRDefault="00272C87" w:rsidP="00961EE2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272C87" w:rsidRPr="00E569AF" w:rsidRDefault="00272C87" w:rsidP="00961EE2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755" w:type="dxa"/>
            <w:vAlign w:val="center"/>
          </w:tcPr>
          <w:p w:rsidR="00272C87" w:rsidRPr="00E569AF" w:rsidRDefault="00272C87" w:rsidP="00961EE2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272C87" w:rsidRPr="00E569AF" w:rsidRDefault="00272C87" w:rsidP="00961EE2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  <w:vAlign w:val="center"/>
          </w:tcPr>
          <w:p w:rsidR="00AB4DE1" w:rsidRPr="00D540CF" w:rsidRDefault="00AB4DE1" w:rsidP="00AB4DE1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</w:rPr>
              <w:t>Предлагаем</w:t>
            </w:r>
            <w:r>
              <w:rPr>
                <w:rFonts w:ascii="Garamond" w:hAnsi="Garamond"/>
                <w:b/>
                <w:sz w:val="22"/>
                <w:szCs w:val="22"/>
              </w:rPr>
              <w:t>ая</w:t>
            </w:r>
            <w:r w:rsidRPr="00D540C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b/>
                <w:sz w:val="22"/>
                <w:szCs w:val="22"/>
              </w:rPr>
              <w:t>редакция</w:t>
            </w:r>
          </w:p>
          <w:p w:rsidR="00272C87" w:rsidRPr="00AD661E" w:rsidRDefault="00AB4DE1" w:rsidP="00AB4DE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569AF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72C87" w:rsidRPr="00E569AF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272C87" w:rsidRPr="00E569AF" w:rsidTr="00961EE2">
        <w:trPr>
          <w:trHeight w:val="435"/>
        </w:trPr>
        <w:tc>
          <w:tcPr>
            <w:tcW w:w="1008" w:type="dxa"/>
            <w:vAlign w:val="center"/>
          </w:tcPr>
          <w:p w:rsidR="00272C87" w:rsidRPr="00BB2DCE" w:rsidRDefault="00272C87" w:rsidP="00961EE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2.7</w:t>
            </w:r>
          </w:p>
        </w:tc>
        <w:tc>
          <w:tcPr>
            <w:tcW w:w="6755" w:type="dxa"/>
            <w:vAlign w:val="center"/>
          </w:tcPr>
          <w:p w:rsidR="00272C87" w:rsidRDefault="00272C87" w:rsidP="00961EE2">
            <w:pPr>
              <w:pStyle w:val="afb"/>
              <w:spacing w:after="120"/>
              <w:ind w:firstLine="612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  <w:p w:rsidR="00272C87" w:rsidRPr="006328E1" w:rsidRDefault="00272C87" w:rsidP="00961EE2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328E1">
              <w:rPr>
                <w:rFonts w:ascii="Garamond" w:hAnsi="Garamond"/>
                <w:bCs/>
                <w:sz w:val="22"/>
                <w:szCs w:val="22"/>
              </w:rPr>
              <w:t>Субъект оптового рынка, группы точек поставки которого расположены на территории неценовой зоны оптового рынка, заключает следующие договоры, обеспечивающие покупку-продажу электрической энергии и (или) мощности на оптовом рынке:</w:t>
            </w:r>
          </w:p>
          <w:p w:rsidR="00272C87" w:rsidRPr="006328E1" w:rsidRDefault="00272C87" w:rsidP="00961EE2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328E1">
              <w:rPr>
                <w:rFonts w:ascii="Garamond" w:hAnsi="Garamond"/>
                <w:bCs/>
                <w:sz w:val="22"/>
                <w:szCs w:val="22"/>
              </w:rPr>
              <w:t>– договоры купли-продажи электрической энергии на территориях субъектов Российской Федерации, не объединенных в ценовые зоны оптового рынка;</w:t>
            </w:r>
          </w:p>
          <w:p w:rsidR="00272C87" w:rsidRPr="006328E1" w:rsidRDefault="00272C87" w:rsidP="00961EE2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328E1">
              <w:rPr>
                <w:rFonts w:ascii="Garamond" w:hAnsi="Garamond"/>
                <w:bCs/>
                <w:sz w:val="22"/>
                <w:szCs w:val="22"/>
              </w:rPr>
              <w:t>– договоры купли-продажи мощности на территориях субъектов Российской Федерации, не объединенных в ценовые зоны оптового рынка;</w:t>
            </w:r>
          </w:p>
          <w:p w:rsidR="00272C87" w:rsidRPr="006328E1" w:rsidRDefault="00272C87" w:rsidP="00961EE2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328E1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– договоры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– заключаются субъектами оптового рынка – покупателями электрической энергии и мощности, группы точек поставки которых расположены на территории неценовой зоны Республики Коми или неценовой зоны Архангельской области, </w:t>
            </w:r>
            <w:r w:rsidRPr="001B5A73">
              <w:rPr>
                <w:rFonts w:ascii="Garamond" w:hAnsi="Garamond"/>
                <w:bCs/>
                <w:sz w:val="22"/>
                <w:szCs w:val="22"/>
                <w:highlight w:val="yellow"/>
              </w:rPr>
              <w:t>и энергосбытовой организацией, созданной в результате реорганизации функционировавших на территории Дальнего Востока акционерных обществ энергетики и электрификации и поставляющей электрическую энергию на розничном рынке для большинства потребителей электрической энергии на территории Дальнего Востока</w:t>
            </w:r>
            <w:r w:rsidRPr="006328E1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72C87" w:rsidRPr="006328E1" w:rsidRDefault="00272C87" w:rsidP="00961EE2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328E1">
              <w:rPr>
                <w:rFonts w:ascii="Garamond" w:hAnsi="Garamond"/>
                <w:bCs/>
                <w:sz w:val="22"/>
                <w:szCs w:val="22"/>
              </w:rPr>
              <w:t xml:space="preserve">– договоры комиссии на продажу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– заключаются субъектами оптового рынка – поставщиками электрической энергии и мощности, группы точек поставки которых расположены на территории неценовой зоны Республики Коми или неценовой зоны Архангельской области, а также неценовой зоны Дальнего Востока, в случаях, указанных в </w:t>
            </w:r>
            <w:r w:rsidRPr="006328E1">
              <w:rPr>
                <w:rFonts w:ascii="Garamond" w:hAnsi="Garamond"/>
                <w:bCs/>
                <w:i/>
                <w:sz w:val="22"/>
                <w:szCs w:val="22"/>
              </w:rPr>
              <w:t>Регламенте функционирования участников оптового рынка на территории неценовых зон</w:t>
            </w:r>
            <w:r w:rsidRPr="006328E1">
              <w:rPr>
                <w:rFonts w:ascii="Garamond" w:hAnsi="Garamond"/>
                <w:bCs/>
                <w:sz w:val="22"/>
                <w:szCs w:val="22"/>
              </w:rPr>
              <w:t xml:space="preserve"> (Приложение № 14 к </w:t>
            </w:r>
            <w:r w:rsidRPr="006328E1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328E1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:rsidR="00272C87" w:rsidRPr="0047096A" w:rsidRDefault="00272C87" w:rsidP="00961EE2">
            <w:pPr>
              <w:pStyle w:val="3"/>
              <w:numPr>
                <w:ilvl w:val="0"/>
                <w:numId w:val="0"/>
              </w:numPr>
              <w:ind w:firstLine="601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…</w:t>
            </w:r>
          </w:p>
        </w:tc>
        <w:tc>
          <w:tcPr>
            <w:tcW w:w="7088" w:type="dxa"/>
            <w:vAlign w:val="center"/>
          </w:tcPr>
          <w:p w:rsidR="00272C87" w:rsidRDefault="00272C87" w:rsidP="00961EE2">
            <w:pPr>
              <w:pStyle w:val="afb"/>
              <w:spacing w:after="120"/>
              <w:ind w:firstLine="612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lastRenderedPageBreak/>
              <w:t>…</w:t>
            </w:r>
          </w:p>
          <w:p w:rsidR="00272C87" w:rsidRPr="006328E1" w:rsidRDefault="00272C87" w:rsidP="00961EE2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328E1">
              <w:rPr>
                <w:rFonts w:ascii="Garamond" w:hAnsi="Garamond"/>
                <w:bCs/>
                <w:sz w:val="22"/>
                <w:szCs w:val="22"/>
              </w:rPr>
              <w:t>Субъект оптового рынка, группы точек поставки которого расположены на территории неценовой зоны оптового рынка, заключает следующие договоры, обеспечивающие покупку-продажу электрической энергии и (или) мощности на оптовом рынке:</w:t>
            </w:r>
          </w:p>
          <w:p w:rsidR="00272C87" w:rsidRPr="006328E1" w:rsidRDefault="00272C87" w:rsidP="00961EE2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328E1">
              <w:rPr>
                <w:rFonts w:ascii="Garamond" w:hAnsi="Garamond"/>
                <w:bCs/>
                <w:sz w:val="22"/>
                <w:szCs w:val="22"/>
              </w:rPr>
              <w:t>– договоры купли-продажи электрической энергии на территориях субъектов Российской Федерации, не объединенных в ценовые зоны оптового рынка;</w:t>
            </w:r>
          </w:p>
          <w:p w:rsidR="00272C87" w:rsidRPr="006328E1" w:rsidRDefault="00272C87" w:rsidP="00961EE2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328E1">
              <w:rPr>
                <w:rFonts w:ascii="Garamond" w:hAnsi="Garamond"/>
                <w:bCs/>
                <w:sz w:val="22"/>
                <w:szCs w:val="22"/>
              </w:rPr>
              <w:t>– договоры купли-продажи мощности на территориях субъектов Российской Федерации, не объединенных в ценовые зоны оптового рынка;</w:t>
            </w:r>
          </w:p>
          <w:p w:rsidR="00272C87" w:rsidRPr="006328E1" w:rsidRDefault="00272C87" w:rsidP="00961EE2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328E1">
              <w:rPr>
                <w:rFonts w:ascii="Garamond" w:hAnsi="Garamond"/>
                <w:bCs/>
                <w:sz w:val="22"/>
                <w:szCs w:val="22"/>
              </w:rPr>
              <w:lastRenderedPageBreak/>
              <w:t xml:space="preserve">– договоры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– заключаются субъектами оптового рынка – покупателями электрической энергии и мощности, группы точек поставки которых расположены на территории неценовой зоны Республики Коми или неценовой зоны Архангельской области, </w:t>
            </w:r>
            <w:r w:rsidRPr="001B5A7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а также неценовой зоны Дальнего Востока в случаях, указанных в </w:t>
            </w:r>
            <w:r w:rsidRPr="001B5A73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Регламенте функционирования участников оптового рынка на территории неценовых зон</w:t>
            </w:r>
            <w:r w:rsidRPr="001B5A73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(Приложение № 14 к </w:t>
            </w:r>
            <w:r w:rsidRPr="001B5A73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1B5A73">
              <w:rPr>
                <w:rFonts w:ascii="Garamond" w:hAnsi="Garamond"/>
                <w:bCs/>
                <w:sz w:val="22"/>
                <w:szCs w:val="22"/>
                <w:highlight w:val="yellow"/>
              </w:rPr>
              <w:t>)</w:t>
            </w:r>
            <w:r w:rsidRPr="006328E1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272C87" w:rsidRPr="006328E1" w:rsidRDefault="00272C87" w:rsidP="00961EE2">
            <w:pPr>
              <w:pStyle w:val="afb"/>
              <w:spacing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6328E1">
              <w:rPr>
                <w:rFonts w:ascii="Garamond" w:hAnsi="Garamond"/>
                <w:bCs/>
                <w:sz w:val="22"/>
                <w:szCs w:val="22"/>
              </w:rPr>
              <w:t xml:space="preserve">– договоры комиссии на продажу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– заключаются субъектами оптового рынка – поставщиками электрической энергии и мощности, группы точек поставки которых расположены на территории неценовой зоны Республики Коми или неценовой зоны Архангельской области, а также неценовой зоны Дальнего Востока, в случаях, указанных в </w:t>
            </w:r>
            <w:r w:rsidRPr="006328E1">
              <w:rPr>
                <w:rFonts w:ascii="Garamond" w:hAnsi="Garamond"/>
                <w:bCs/>
                <w:i/>
                <w:sz w:val="22"/>
                <w:szCs w:val="22"/>
              </w:rPr>
              <w:t>Регламенте функционирования участников оптового рынка на территории неценовых зон</w:t>
            </w:r>
            <w:r w:rsidRPr="006328E1">
              <w:rPr>
                <w:rFonts w:ascii="Garamond" w:hAnsi="Garamond"/>
                <w:bCs/>
                <w:sz w:val="22"/>
                <w:szCs w:val="22"/>
              </w:rPr>
              <w:t xml:space="preserve"> (Приложение № 14 к </w:t>
            </w:r>
            <w:r w:rsidRPr="006328E1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6328E1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:rsidR="00272C87" w:rsidRPr="0047096A" w:rsidRDefault="00272C87" w:rsidP="00961EE2">
            <w:pPr>
              <w:pStyle w:val="3"/>
              <w:numPr>
                <w:ilvl w:val="0"/>
                <w:numId w:val="0"/>
              </w:numPr>
              <w:rPr>
                <w:rFonts w:ascii="Garamond" w:hAnsi="Garamond"/>
                <w:b w:val="0"/>
                <w:sz w:val="22"/>
                <w:szCs w:val="22"/>
              </w:rPr>
            </w:pPr>
            <w:r>
              <w:rPr>
                <w:rFonts w:ascii="Garamond" w:hAnsi="Garamond"/>
                <w:b w:val="0"/>
                <w:sz w:val="22"/>
                <w:szCs w:val="22"/>
              </w:rPr>
              <w:t>…</w:t>
            </w:r>
          </w:p>
        </w:tc>
      </w:tr>
    </w:tbl>
    <w:p w:rsidR="00EF20EE" w:rsidRDefault="00EF20EE" w:rsidP="00FE0EE7">
      <w:pPr>
        <w:jc w:val="both"/>
        <w:rPr>
          <w:b/>
          <w:color w:val="000000"/>
        </w:rPr>
      </w:pPr>
    </w:p>
    <w:p w:rsidR="003571D6" w:rsidRDefault="003571D6" w:rsidP="003571D6">
      <w:pPr>
        <w:tabs>
          <w:tab w:val="left" w:pos="1134"/>
        </w:tabs>
        <w:ind w:left="-142"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  <w:r w:rsidRPr="00F30362">
        <w:rPr>
          <w:rFonts w:ascii="Garamond" w:eastAsia="Batang" w:hAnsi="Garamond"/>
          <w:b/>
          <w:bCs/>
          <w:caps/>
          <w:sz w:val="26"/>
          <w:szCs w:val="26"/>
        </w:rPr>
        <w:t>П</w:t>
      </w:r>
      <w:r w:rsidRPr="00F30362"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 w:rsidRPr="00F30362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F30362">
        <w:rPr>
          <w:rFonts w:ascii="Garamond" w:eastAsia="Batang" w:hAnsi="Garamond"/>
          <w:b/>
          <w:bCs/>
          <w:sz w:val="26"/>
          <w:szCs w:val="26"/>
        </w:rPr>
        <w:t>в</w:t>
      </w:r>
      <w:r w:rsidRPr="00F30362"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 w:rsidRPr="00F30362">
        <w:rPr>
          <w:rFonts w:ascii="Garamond" w:eastAsia="Batang" w:hAnsi="Garamond"/>
          <w:b/>
          <w:bCs/>
          <w:sz w:val="26"/>
          <w:szCs w:val="26"/>
        </w:rPr>
        <w:t xml:space="preserve">РЕГЛАМЕНТ ФИНАНСОВЫХ РАСЧЕТОВ НА ОПТОВОМ РЫНКЕ ЭЛЕКТРОЭНЕРГИИ </w:t>
      </w:r>
      <w:r w:rsidRPr="00F30362">
        <w:rPr>
          <w:rFonts w:ascii="Garamond" w:eastAsia="Batang" w:hAnsi="Garamond"/>
          <w:b/>
          <w:bCs/>
          <w:caps/>
          <w:sz w:val="26"/>
          <w:szCs w:val="26"/>
        </w:rPr>
        <w:t>(П</w:t>
      </w:r>
      <w:r w:rsidRPr="00F30362"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 w:rsidRPr="00F30362">
        <w:rPr>
          <w:rFonts w:ascii="Garamond" w:eastAsia="Batang" w:hAnsi="Garamond"/>
          <w:b/>
          <w:bCs/>
          <w:caps/>
          <w:sz w:val="26"/>
          <w:szCs w:val="26"/>
        </w:rPr>
        <w:t xml:space="preserve">№ 16 </w:t>
      </w:r>
      <w:r w:rsidRPr="00F30362">
        <w:rPr>
          <w:rFonts w:ascii="Garamond" w:eastAsia="Batang" w:hAnsi="Garamond"/>
          <w:b/>
          <w:bCs/>
          <w:sz w:val="26"/>
          <w:szCs w:val="26"/>
        </w:rPr>
        <w:t>к Договору о присоединении к торговой системе оптового рынка</w:t>
      </w:r>
      <w:r w:rsidRPr="00F30362"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:rsidR="00D540CF" w:rsidRPr="00D540CF" w:rsidRDefault="00D540CF" w:rsidP="003571D6">
      <w:pPr>
        <w:tabs>
          <w:tab w:val="left" w:pos="1134"/>
        </w:tabs>
        <w:ind w:left="-142"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</w:p>
    <w:tbl>
      <w:tblPr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755"/>
        <w:gridCol w:w="7088"/>
      </w:tblGrid>
      <w:tr w:rsidR="003571D6" w:rsidRPr="00D540CF" w:rsidTr="00853E59">
        <w:trPr>
          <w:trHeight w:val="435"/>
        </w:trPr>
        <w:tc>
          <w:tcPr>
            <w:tcW w:w="1101" w:type="dxa"/>
            <w:vAlign w:val="center"/>
          </w:tcPr>
          <w:p w:rsidR="003571D6" w:rsidRPr="00D540CF" w:rsidRDefault="003571D6" w:rsidP="00853E5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3571D6" w:rsidRPr="00D540CF" w:rsidRDefault="003571D6" w:rsidP="00853E5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755" w:type="dxa"/>
            <w:vAlign w:val="center"/>
          </w:tcPr>
          <w:p w:rsidR="003571D6" w:rsidRPr="00D540CF" w:rsidRDefault="003571D6" w:rsidP="00853E5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3571D6" w:rsidRPr="00D540CF" w:rsidRDefault="003571D6" w:rsidP="00853E5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8" w:type="dxa"/>
            <w:vAlign w:val="center"/>
          </w:tcPr>
          <w:p w:rsidR="003571D6" w:rsidRPr="00D540CF" w:rsidRDefault="003571D6" w:rsidP="00853E59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</w:rPr>
              <w:t>Предлагаем</w:t>
            </w:r>
            <w:r w:rsidR="00AB4DE1">
              <w:rPr>
                <w:rFonts w:ascii="Garamond" w:hAnsi="Garamond"/>
                <w:b/>
                <w:sz w:val="22"/>
                <w:szCs w:val="22"/>
              </w:rPr>
              <w:t>ая</w:t>
            </w:r>
            <w:r w:rsidRPr="00D540C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AB4DE1">
              <w:rPr>
                <w:rFonts w:ascii="Garamond" w:hAnsi="Garamond"/>
                <w:b/>
                <w:sz w:val="22"/>
                <w:szCs w:val="22"/>
              </w:rPr>
              <w:t>редакция</w:t>
            </w:r>
          </w:p>
          <w:p w:rsidR="003571D6" w:rsidRPr="00D540CF" w:rsidRDefault="003571D6" w:rsidP="00853E5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D540CF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3571D6" w:rsidRPr="00D540CF" w:rsidTr="00853E59">
        <w:trPr>
          <w:trHeight w:val="435"/>
        </w:trPr>
        <w:tc>
          <w:tcPr>
            <w:tcW w:w="1101" w:type="dxa"/>
            <w:vAlign w:val="center"/>
          </w:tcPr>
          <w:p w:rsidR="003571D6" w:rsidRPr="00D540CF" w:rsidRDefault="003571D6" w:rsidP="00AB4DE1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</w:rPr>
              <w:t>11.1.3.2.2</w:t>
            </w:r>
          </w:p>
        </w:tc>
        <w:tc>
          <w:tcPr>
            <w:tcW w:w="6755" w:type="dxa"/>
            <w:vAlign w:val="center"/>
          </w:tcPr>
          <w:p w:rsidR="003571D6" w:rsidRPr="00D540CF" w:rsidRDefault="003571D6" w:rsidP="00AB4DE1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bookmarkStart w:id="8" w:name="_Toc188262607"/>
            <w:bookmarkStart w:id="9" w:name="_Toc191110163"/>
            <w:bookmarkStart w:id="10" w:name="_Toc194485533"/>
            <w:bookmarkStart w:id="11" w:name="_Toc202851699"/>
            <w:bookmarkStart w:id="12" w:name="_Toc205195040"/>
            <w:bookmarkStart w:id="13" w:name="_Toc209349373"/>
            <w:bookmarkStart w:id="14" w:name="_Toc213664834"/>
            <w:bookmarkStart w:id="15" w:name="_Toc214336293"/>
            <w:bookmarkStart w:id="16" w:name="_Toc215981970"/>
            <w:bookmarkStart w:id="17" w:name="_Toc218324583"/>
            <w:bookmarkStart w:id="18" w:name="_Toc221350966"/>
            <w:bookmarkStart w:id="19" w:name="_Toc226186246"/>
            <w:bookmarkStart w:id="20" w:name="_Toc231374303"/>
            <w:bookmarkStart w:id="21" w:name="_Toc233607345"/>
            <w:bookmarkStart w:id="22" w:name="_Toc239489153"/>
            <w:bookmarkStart w:id="23" w:name="_Toc241909792"/>
            <w:bookmarkStart w:id="24" w:name="_Toc244925253"/>
            <w:bookmarkStart w:id="25" w:name="_Toc247360131"/>
            <w:bookmarkStart w:id="26" w:name="_Toc251073293"/>
            <w:bookmarkStart w:id="27" w:name="_Toc255048325"/>
            <w:bookmarkStart w:id="28" w:name="_Toc257642239"/>
            <w:bookmarkStart w:id="29" w:name="_Toc266802972"/>
            <w:bookmarkStart w:id="30" w:name="_Toc271809672"/>
            <w:bookmarkStart w:id="31" w:name="_Toc273450807"/>
            <w:bookmarkStart w:id="32" w:name="_Toc273711536"/>
            <w:bookmarkStart w:id="33" w:name="_Toc278967175"/>
            <w:bookmarkStart w:id="34" w:name="_Toc279502227"/>
            <w:bookmarkStart w:id="35" w:name="_Toc280020471"/>
            <w:bookmarkStart w:id="36" w:name="_Toc280614613"/>
            <w:bookmarkStart w:id="37" w:name="_Toc282684552"/>
            <w:bookmarkStart w:id="38" w:name="_Toc284257878"/>
            <w:bookmarkStart w:id="39" w:name="_Toc286678200"/>
            <w:bookmarkStart w:id="40" w:name="_Toc289874883"/>
            <w:bookmarkStart w:id="41" w:name="_Toc290306437"/>
            <w:bookmarkStart w:id="42" w:name="_Toc292293293"/>
            <w:bookmarkStart w:id="43" w:name="_Toc294275635"/>
            <w:bookmarkStart w:id="44" w:name="_Toc294866412"/>
            <w:bookmarkStart w:id="45" w:name="_Toc296949191"/>
            <w:bookmarkStart w:id="46" w:name="_Toc302740683"/>
            <w:bookmarkStart w:id="47" w:name="_Toc305579231"/>
            <w:bookmarkStart w:id="48" w:name="_Toc310262492"/>
            <w:bookmarkStart w:id="49" w:name="_Toc315446072"/>
            <w:bookmarkStart w:id="50" w:name="_Toc319239117"/>
            <w:bookmarkStart w:id="51" w:name="_Toc327446724"/>
            <w:bookmarkStart w:id="52" w:name="_Toc330392927"/>
            <w:bookmarkStart w:id="53" w:name="_Toc346892860"/>
            <w:bookmarkStart w:id="54" w:name="_Toc349651204"/>
            <w:bookmarkStart w:id="55" w:name="_Toc352064576"/>
            <w:bookmarkStart w:id="56" w:name="_Toc355009397"/>
            <w:bookmarkStart w:id="57" w:name="_Toc357524730"/>
            <w:bookmarkStart w:id="58" w:name="_Toc368306832"/>
            <w:bookmarkStart w:id="59" w:name="_Toc370992078"/>
            <w:bookmarkStart w:id="60" w:name="_Toc375309047"/>
            <w:bookmarkStart w:id="61" w:name="_Toc385257053"/>
            <w:r w:rsidRPr="00D540CF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11.1.3.2.2 </w:t>
            </w:r>
            <w:r w:rsidRPr="00D540C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Для единого закупщика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</w:p>
          <w:bookmarkStart w:id="62" w:name="_Toc188262608"/>
          <w:bookmarkStart w:id="63" w:name="_Toc191110164"/>
          <w:bookmarkStart w:id="64" w:name="_Toc194485534"/>
          <w:bookmarkStart w:id="65" w:name="_Toc202851700"/>
          <w:bookmarkStart w:id="66" w:name="_Toc205195041"/>
          <w:bookmarkStart w:id="67" w:name="_Toc209349374"/>
          <w:bookmarkStart w:id="68" w:name="_Toc213664835"/>
          <w:bookmarkStart w:id="69" w:name="_Toc214336294"/>
          <w:bookmarkStart w:id="70" w:name="_Toc215981971"/>
          <w:bookmarkStart w:id="71" w:name="_Toc218324584"/>
          <w:bookmarkStart w:id="72" w:name="_Toc221350967"/>
          <w:bookmarkStart w:id="73" w:name="_Toc226186247"/>
          <w:bookmarkStart w:id="74" w:name="_Toc231374304"/>
          <w:bookmarkStart w:id="75" w:name="_Toc233607346"/>
          <w:bookmarkStart w:id="76" w:name="_Toc239489154"/>
          <w:bookmarkStart w:id="77" w:name="_Toc241909793"/>
          <w:bookmarkStart w:id="78" w:name="_Toc244925254"/>
          <w:bookmarkStart w:id="79" w:name="_Toc247360132"/>
          <w:bookmarkStart w:id="80" w:name="_Toc251073294"/>
          <w:bookmarkStart w:id="81" w:name="_Toc255048326"/>
          <w:bookmarkStart w:id="82" w:name="_Toc257642240"/>
          <w:bookmarkStart w:id="83" w:name="_Toc266802973"/>
          <w:bookmarkStart w:id="84" w:name="_Toc271809673"/>
          <w:bookmarkStart w:id="85" w:name="_Toc273450808"/>
          <w:bookmarkStart w:id="86" w:name="_Toc273711537"/>
          <w:bookmarkStart w:id="87" w:name="_Toc278967176"/>
          <w:bookmarkStart w:id="88" w:name="_Toc279502228"/>
          <w:bookmarkStart w:id="89" w:name="_Toc280020472"/>
          <w:bookmarkStart w:id="90" w:name="_Toc280614614"/>
          <w:bookmarkStart w:id="91" w:name="_Toc282684553"/>
          <w:bookmarkStart w:id="92" w:name="_Toc284257879"/>
          <w:bookmarkStart w:id="93" w:name="_Toc286678201"/>
          <w:bookmarkStart w:id="94" w:name="_Toc289874884"/>
          <w:bookmarkStart w:id="95" w:name="_Toc290306438"/>
          <w:bookmarkStart w:id="96" w:name="_Toc292293294"/>
          <w:bookmarkStart w:id="97" w:name="_Toc294275636"/>
          <w:bookmarkStart w:id="98" w:name="_Toc294866413"/>
          <w:bookmarkStart w:id="99" w:name="_Toc296949192"/>
          <w:bookmarkStart w:id="100" w:name="_Toc302740684"/>
          <w:bookmarkStart w:id="101" w:name="_Toc305579232"/>
          <w:bookmarkStart w:id="102" w:name="_Toc310262493"/>
          <w:bookmarkStart w:id="103" w:name="_Toc315446073"/>
          <w:bookmarkStart w:id="104" w:name="_Toc319239118"/>
          <w:bookmarkStart w:id="105" w:name="_Toc327446725"/>
          <w:bookmarkStart w:id="106" w:name="_Toc330392928"/>
          <w:bookmarkStart w:id="107" w:name="_Toc346892861"/>
          <w:bookmarkStart w:id="108" w:name="_Toc349651205"/>
          <w:bookmarkStart w:id="109" w:name="_Toc352064577"/>
          <w:bookmarkStart w:id="110" w:name="_Toc355009398"/>
          <w:bookmarkStart w:id="111" w:name="_Toc357524731"/>
          <w:bookmarkStart w:id="112" w:name="_Toc368306833"/>
          <w:bookmarkStart w:id="113" w:name="_Toc370992079"/>
          <w:bookmarkStart w:id="114" w:name="_Toc375309048"/>
          <w:bookmarkStart w:id="115" w:name="_Toc385257054"/>
          <w:bookmarkStart w:id="116" w:name="_Toc394922536"/>
          <w:bookmarkStart w:id="117" w:name="_Toc396988313"/>
          <w:bookmarkStart w:id="118" w:name="_Toc402960059"/>
          <w:bookmarkStart w:id="119" w:name="_Toc404681827"/>
          <w:bookmarkStart w:id="120" w:name="_Toc404785235"/>
          <w:bookmarkStart w:id="121" w:name="_Toc410299521"/>
          <w:bookmarkStart w:id="122" w:name="_Toc426024179"/>
          <w:bookmarkStart w:id="123" w:name="_Toc431221496"/>
          <w:bookmarkStart w:id="124" w:name="_Toc434511563"/>
          <w:bookmarkEnd w:id="62"/>
          <w:bookmarkEnd w:id="63"/>
          <w:bookmarkEnd w:id="64"/>
          <w:bookmarkEnd w:id="65"/>
          <w:bookmarkEnd w:id="66"/>
          <w:bookmarkEnd w:id="67"/>
          <w:bookmarkEnd w:id="68"/>
          <w:bookmarkEnd w:id="69"/>
          <w:bookmarkEnd w:id="70"/>
          <w:bookmarkEnd w:id="71"/>
          <w:bookmarkEnd w:id="72"/>
          <w:bookmarkEnd w:id="73"/>
          <w:bookmarkEnd w:id="74"/>
          <w:bookmarkEnd w:id="75"/>
          <w:bookmarkEnd w:id="76"/>
          <w:bookmarkEnd w:id="77"/>
          <w:bookmarkEnd w:id="78"/>
          <w:bookmarkEnd w:id="79"/>
          <w:bookmarkEnd w:id="80"/>
          <w:bookmarkEnd w:id="81"/>
          <w:bookmarkEnd w:id="82"/>
          <w:bookmarkEnd w:id="83"/>
          <w:bookmarkEnd w:id="84"/>
          <w:bookmarkEnd w:id="85"/>
          <w:bookmarkEnd w:id="86"/>
          <w:bookmarkEnd w:id="87"/>
          <w:bookmarkEnd w:id="88"/>
          <w:bookmarkEnd w:id="89"/>
          <w:bookmarkEnd w:id="90"/>
          <w:bookmarkEnd w:id="91"/>
          <w:bookmarkEnd w:id="92"/>
          <w:bookmarkEnd w:id="93"/>
          <w:bookmarkEnd w:id="94"/>
          <w:bookmarkEnd w:id="95"/>
          <w:bookmarkEnd w:id="96"/>
          <w:bookmarkEnd w:id="97"/>
          <w:bookmarkEnd w:id="98"/>
          <w:bookmarkEnd w:id="99"/>
          <w:bookmarkEnd w:id="100"/>
          <w:bookmarkEnd w:id="101"/>
          <w:bookmarkEnd w:id="102"/>
          <w:bookmarkEnd w:id="103"/>
          <w:bookmarkEnd w:id="104"/>
          <w:bookmarkEnd w:id="105"/>
          <w:bookmarkEnd w:id="106"/>
          <w:bookmarkEnd w:id="107"/>
          <w:bookmarkEnd w:id="108"/>
          <w:bookmarkEnd w:id="109"/>
          <w:bookmarkEnd w:id="110"/>
          <w:bookmarkEnd w:id="111"/>
          <w:bookmarkEnd w:id="112"/>
          <w:bookmarkEnd w:id="113"/>
          <w:bookmarkEnd w:id="114"/>
          <w:bookmarkEnd w:id="115"/>
          <w:p w:rsidR="003571D6" w:rsidRPr="00D540CF" w:rsidRDefault="003571D6" w:rsidP="00AB4DE1">
            <w:pPr>
              <w:keepNext/>
              <w:spacing w:before="120" w:after="120"/>
              <w:jc w:val="center"/>
              <w:outlineLvl w:val="2"/>
              <w:rPr>
                <w:rFonts w:ascii="Garamond" w:hAnsi="Garamond"/>
                <w:b/>
                <w:bCs/>
                <w:iCs/>
                <w:sz w:val="22"/>
                <w:szCs w:val="22"/>
                <w:highlight w:val="yellow"/>
              </w:rPr>
            </w:pPr>
            <w:r w:rsidRPr="00D540CF">
              <w:rPr>
                <w:rFonts w:ascii="Garamond" w:hAnsi="Garamond"/>
                <w:b/>
                <w:bCs/>
                <w:iCs/>
                <w:position w:val="-32"/>
                <w:sz w:val="22"/>
                <w:szCs w:val="22"/>
                <w:highlight w:val="yellow"/>
              </w:rPr>
              <w:object w:dxaOrig="3560" w:dyaOrig="760">
                <v:shape id="_x0000_i1095" type="#_x0000_t75" style="width:177.75pt;height:38.25pt" o:ole="">
                  <v:imagedata r:id="rId125" o:title=""/>
                </v:shape>
                <o:OLEObject Type="Embed" ProgID="Equation.3" ShapeID="_x0000_i1095" DrawAspect="Content" ObjectID="_1541322851" r:id="rId126"/>
              </w:object>
            </w:r>
            <w:r w:rsidRPr="00D540CF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>.</w:t>
            </w:r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</w:p>
          <w:p w:rsidR="003571D6" w:rsidRPr="00D540CF" w:rsidRDefault="003571D6" w:rsidP="00AB4DE1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D540CF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Для единого закупщика </w:t>
            </w:r>
            <w:r w:rsidRPr="00D540C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80" w:dyaOrig="400">
                <v:shape id="_x0000_i1096" type="#_x0000_t75" style="width:38.25pt;height:20.25pt" o:ole="">
                  <v:imagedata r:id="rId127" o:title=""/>
                </v:shape>
                <o:OLEObject Type="Embed" ProgID="Equation.3" ShapeID="_x0000_i1096" DrawAspect="Content" ObjectID="_1541322852" r:id="rId128"/>
              </w:object>
            </w:r>
            <w:r w:rsidRPr="00D540CF">
              <w:rPr>
                <w:rFonts w:ascii="Garamond" w:hAnsi="Garamond"/>
                <w:sz w:val="22"/>
                <w:szCs w:val="22"/>
                <w:highlight w:val="yellow"/>
              </w:rPr>
              <w:t>определяется только для ГТП потребления, в отношении которых единый закупщик исполнял функции гарантирующего поставщика (не включая объемы потребления других участников оптового рынка электрической энергии и мощности, а также в случае, если часть ОЭС Сибири работала синхронно с ОЭС Востока).</w:t>
            </w:r>
          </w:p>
          <w:p w:rsidR="003571D6" w:rsidRPr="00D540CF" w:rsidRDefault="003571D6" w:rsidP="00AB4DE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:rsidR="003571D6" w:rsidRPr="00D540CF" w:rsidRDefault="003571D6" w:rsidP="00AB4DE1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  <w:highlight w:val="yellow"/>
              </w:rPr>
              <w:lastRenderedPageBreak/>
              <w:t>11.1.3.2.2</w:t>
            </w:r>
            <w:r w:rsidR="00AB4DE1">
              <w:rPr>
                <w:rFonts w:ascii="Garamond" w:hAnsi="Garamond"/>
                <w:b/>
                <w:sz w:val="22"/>
                <w:szCs w:val="22"/>
                <w:highlight w:val="yellow"/>
              </w:rPr>
              <w:t>.</w:t>
            </w:r>
            <w:r w:rsidRPr="00D540CF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</w:t>
            </w:r>
            <w:r w:rsidRPr="00D540C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 xml:space="preserve">Для участников оптового рынка на территории второй неценовой зоны, ГТП потребления которых включают внезональный энергорайон </w:t>
            </w:r>
          </w:p>
          <w:p w:rsidR="003571D6" w:rsidRPr="00D540CF" w:rsidRDefault="003571D6" w:rsidP="00AB4DE1">
            <w:pPr>
              <w:spacing w:before="120"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D540CF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В случае если ГТП потребления участника оптового рынка, отнесенного ко второй неценовой зоне, включает внезональный </w:t>
            </w:r>
            <w:r w:rsidRPr="00D540CF">
              <w:rPr>
                <w:rFonts w:ascii="Garamond" w:hAnsi="Garamond"/>
                <w:bCs/>
                <w:sz w:val="22"/>
                <w:szCs w:val="22"/>
                <w:highlight w:val="yellow"/>
              </w:rPr>
              <w:lastRenderedPageBreak/>
              <w:t xml:space="preserve">энергорайон, поставка электрической энергии в отношении которого осуществляется из второй ценовой зоны, то величина </w:t>
            </w:r>
            <w:r w:rsidRPr="00D540C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60" w:dyaOrig="400">
                <v:shape id="_x0000_i1097" type="#_x0000_t75" style="width:28.5pt;height:20.25pt" o:ole="">
                  <v:imagedata r:id="rId129" o:title=""/>
                </v:shape>
                <o:OLEObject Type="Embed" ProgID="Equation.3" ShapeID="_x0000_i1097" DrawAspect="Content" ObjectID="_1541322853" r:id="rId130"/>
              </w:object>
            </w:r>
            <w:r w:rsidRPr="00D540CF">
              <w:rPr>
                <w:rFonts w:ascii="Garamond" w:hAnsi="Garamond"/>
                <w:bCs/>
                <w:sz w:val="22"/>
                <w:szCs w:val="22"/>
                <w:highlight w:val="yellow"/>
              </w:rPr>
              <w:t>, используемая для расчета стоимости услуги, определяется с уч</w:t>
            </w:r>
            <w:r w:rsidR="00D540CF">
              <w:rPr>
                <w:rFonts w:ascii="Garamond" w:hAnsi="Garamond"/>
                <w:bCs/>
                <w:sz w:val="22"/>
                <w:szCs w:val="22"/>
                <w:highlight w:val="yellow"/>
              </w:rPr>
              <w:t>е</w:t>
            </w:r>
            <w:r w:rsidRPr="00D540CF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том объема потребления электрической энергии в указанной ГТП потребления по формуле: </w:t>
            </w:r>
          </w:p>
          <w:p w:rsidR="003571D6" w:rsidRPr="00D540CF" w:rsidRDefault="003571D6" w:rsidP="00AB4DE1">
            <w:pPr>
              <w:spacing w:before="120" w:after="120"/>
              <w:ind w:firstLine="612"/>
              <w:jc w:val="center"/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</w:pPr>
            <w:r w:rsidRPr="00D540CF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160" w:dyaOrig="560">
                <v:shape id="_x0000_i1098" type="#_x0000_t75" style="width:108pt;height:27.75pt" o:ole="">
                  <v:imagedata r:id="rId131" o:title=""/>
                </v:shape>
                <o:OLEObject Type="Embed" ProgID="Equation.3" ShapeID="_x0000_i1098" DrawAspect="Content" ObjectID="_1541322854" r:id="rId132"/>
              </w:object>
            </w:r>
            <w:r w:rsidR="00D540CF" w:rsidRPr="00D540CF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t>.</w:t>
            </w:r>
          </w:p>
        </w:tc>
      </w:tr>
      <w:tr w:rsidR="003571D6" w:rsidRPr="00D540CF" w:rsidTr="00853E59">
        <w:trPr>
          <w:trHeight w:val="435"/>
        </w:trPr>
        <w:tc>
          <w:tcPr>
            <w:tcW w:w="1101" w:type="dxa"/>
            <w:vAlign w:val="center"/>
          </w:tcPr>
          <w:p w:rsidR="003571D6" w:rsidRPr="00D540CF" w:rsidRDefault="003571D6" w:rsidP="00AB4DE1">
            <w:pPr>
              <w:spacing w:before="120"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</w:rPr>
              <w:lastRenderedPageBreak/>
              <w:t>11.2.5.2</w:t>
            </w:r>
          </w:p>
        </w:tc>
        <w:tc>
          <w:tcPr>
            <w:tcW w:w="6755" w:type="dxa"/>
            <w:vAlign w:val="center"/>
          </w:tcPr>
          <w:p w:rsidR="003571D6" w:rsidRPr="00D540CF" w:rsidRDefault="003571D6" w:rsidP="00AB4DE1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  <w:highlight w:val="yellow"/>
              </w:rPr>
              <w:t>11.2.5.2. Для единого закупщика</w:t>
            </w:r>
          </w:p>
          <w:bookmarkStart w:id="125" w:name="_Toc284257893"/>
          <w:bookmarkStart w:id="126" w:name="_Toc286678215"/>
          <w:bookmarkStart w:id="127" w:name="_Toc289874898"/>
          <w:bookmarkStart w:id="128" w:name="_Toc290306452"/>
          <w:bookmarkStart w:id="129" w:name="_Toc292293308"/>
          <w:bookmarkStart w:id="130" w:name="_Toc294275650"/>
          <w:bookmarkStart w:id="131" w:name="_Toc294866427"/>
          <w:bookmarkStart w:id="132" w:name="_Toc296949206"/>
          <w:bookmarkStart w:id="133" w:name="_Toc302740698"/>
          <w:bookmarkStart w:id="134" w:name="_Toc305579246"/>
          <w:bookmarkStart w:id="135" w:name="_Toc310262507"/>
          <w:bookmarkStart w:id="136" w:name="_Toc315446087"/>
          <w:bookmarkStart w:id="137" w:name="_Toc319239132"/>
          <w:bookmarkStart w:id="138" w:name="_Toc327446739"/>
          <w:bookmarkStart w:id="139" w:name="_Toc330392942"/>
          <w:bookmarkStart w:id="140" w:name="_Toc346892875"/>
          <w:bookmarkStart w:id="141" w:name="_Toc349651219"/>
          <w:bookmarkStart w:id="142" w:name="_Toc352064591"/>
          <w:bookmarkStart w:id="143" w:name="_Toc355009412"/>
          <w:bookmarkStart w:id="144" w:name="_Toc357524745"/>
          <w:bookmarkStart w:id="145" w:name="_Toc368306848"/>
          <w:bookmarkStart w:id="146" w:name="_Toc370992094"/>
          <w:bookmarkStart w:id="147" w:name="_Toc375309063"/>
          <w:bookmarkStart w:id="148" w:name="_Toc385257069"/>
          <w:bookmarkStart w:id="149" w:name="_Toc394922553"/>
          <w:bookmarkStart w:id="150" w:name="_Toc396988330"/>
          <w:bookmarkStart w:id="151" w:name="_Toc402960076"/>
          <w:bookmarkStart w:id="152" w:name="_Toc404681844"/>
          <w:bookmarkStart w:id="153" w:name="_Toc404785252"/>
          <w:bookmarkStart w:id="154" w:name="_Toc410299538"/>
          <w:bookmarkStart w:id="155" w:name="_Toc426024196"/>
          <w:bookmarkStart w:id="156" w:name="_Toc431221513"/>
          <w:bookmarkStart w:id="157" w:name="_Toc434511580"/>
          <w:p w:rsidR="003571D6" w:rsidRPr="00D540CF" w:rsidRDefault="003571D6" w:rsidP="00AB4DE1">
            <w:pPr>
              <w:keepNext/>
              <w:spacing w:before="120" w:after="120"/>
              <w:ind w:left="1440" w:hanging="1440"/>
              <w:jc w:val="center"/>
              <w:outlineLvl w:val="2"/>
              <w:rPr>
                <w:rFonts w:ascii="Garamond" w:hAnsi="Garamond"/>
                <w:b/>
                <w:bCs/>
                <w:iCs/>
                <w:sz w:val="22"/>
                <w:szCs w:val="22"/>
                <w:highlight w:val="yellow"/>
              </w:rPr>
            </w:pPr>
            <w:r w:rsidRPr="00D540CF">
              <w:rPr>
                <w:rFonts w:ascii="Garamond" w:hAnsi="Garamond"/>
                <w:b/>
                <w:bCs/>
                <w:iCs/>
                <w:position w:val="-32"/>
                <w:sz w:val="22"/>
                <w:szCs w:val="22"/>
                <w:highlight w:val="yellow"/>
              </w:rPr>
              <w:object w:dxaOrig="4440" w:dyaOrig="760">
                <v:shape id="_x0000_i1099" type="#_x0000_t75" style="width:222.75pt;height:38.25pt" o:ole="">
                  <v:imagedata r:id="rId133" o:title=""/>
                </v:shape>
                <o:OLEObject Type="Embed" ProgID="Equation.3" ShapeID="_x0000_i1099" DrawAspect="Content" ObjectID="_1541322855" r:id="rId134"/>
              </w:object>
            </w:r>
            <w:r w:rsidRPr="00D540CF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>.</w:t>
            </w:r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</w:p>
          <w:p w:rsidR="003571D6" w:rsidRPr="00D540CF" w:rsidRDefault="003571D6" w:rsidP="00AB4DE1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D540CF">
              <w:rPr>
                <w:rFonts w:ascii="Garamond" w:hAnsi="Garamond"/>
                <w:sz w:val="22"/>
                <w:szCs w:val="22"/>
                <w:highlight w:val="yellow"/>
              </w:rPr>
              <w:t xml:space="preserve">Для единого закупщика </w:t>
            </w:r>
            <w:r w:rsidRPr="00D540C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780" w:dyaOrig="400">
                <v:shape id="_x0000_i1100" type="#_x0000_t75" style="width:38.25pt;height:20.25pt" o:ole="">
                  <v:imagedata r:id="rId135" o:title=""/>
                </v:shape>
                <o:OLEObject Type="Embed" ProgID="Equation.3" ShapeID="_x0000_i1100" DrawAspect="Content" ObjectID="_1541322856" r:id="rId136"/>
              </w:object>
            </w:r>
            <w:r w:rsidRPr="00D540CF">
              <w:rPr>
                <w:rFonts w:ascii="Garamond" w:hAnsi="Garamond"/>
                <w:sz w:val="22"/>
                <w:szCs w:val="22"/>
                <w:highlight w:val="yellow"/>
              </w:rPr>
              <w:t>определяется только для ГТП потребления, в отношении которых единый закупщик исполнял функции гарантирующего поставщика (не включая объемы потребления других участников оптового рынка электрической энергии и мощности, а также объемы потребления внезонального энергорайона в случае, если часть ОЭС Сибири работала синхронно с ОЭС Востока).</w:t>
            </w:r>
          </w:p>
        </w:tc>
        <w:tc>
          <w:tcPr>
            <w:tcW w:w="7088" w:type="dxa"/>
            <w:vAlign w:val="center"/>
          </w:tcPr>
          <w:p w:rsidR="003571D6" w:rsidRPr="00D540CF" w:rsidRDefault="003571D6" w:rsidP="00AB4DE1">
            <w:pPr>
              <w:spacing w:before="120" w:after="120"/>
              <w:jc w:val="both"/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</w:pPr>
            <w:r w:rsidRPr="00D540CF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11.2.5.2. </w:t>
            </w:r>
            <w:r w:rsidRPr="00D540CF">
              <w:rPr>
                <w:rFonts w:ascii="Garamond" w:hAnsi="Garamond"/>
                <w:b/>
                <w:bCs/>
                <w:sz w:val="22"/>
                <w:szCs w:val="22"/>
                <w:highlight w:val="yellow"/>
              </w:rPr>
              <w:t>Для участников оптового рынка на территории второй неценовой зоны, ГТП потребления которых включают внезональный энергорайон</w:t>
            </w:r>
          </w:p>
          <w:p w:rsidR="003571D6" w:rsidRPr="00D540CF" w:rsidRDefault="003571D6" w:rsidP="00AB4DE1">
            <w:pPr>
              <w:spacing w:before="120" w:after="120"/>
              <w:ind w:firstLine="612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D540CF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В случае если ГТП потребления участника оптового рынка, отнесенного ко второй неценовой зоне, включает внезональный энергорайон, поставка электрической энергии в отношении которого осуществляется из второй ценовой зоны, то величина </w:t>
            </w:r>
            <w:r w:rsidRPr="00D540CF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60" w:dyaOrig="400">
                <v:shape id="_x0000_i1101" type="#_x0000_t75" style="width:28.5pt;height:20.25pt" o:ole="">
                  <v:imagedata r:id="rId129" o:title=""/>
                </v:shape>
                <o:OLEObject Type="Embed" ProgID="Equation.3" ShapeID="_x0000_i1101" DrawAspect="Content" ObjectID="_1541322857" r:id="rId137"/>
              </w:object>
            </w:r>
            <w:r w:rsidRPr="00D540CF">
              <w:rPr>
                <w:rFonts w:ascii="Garamond" w:hAnsi="Garamond"/>
                <w:bCs/>
                <w:sz w:val="22"/>
                <w:szCs w:val="22"/>
                <w:highlight w:val="yellow"/>
              </w:rPr>
              <w:t>, используемая для расчета стоимости услуги, определяется с уч</w:t>
            </w:r>
            <w:r w:rsidR="00D540CF">
              <w:rPr>
                <w:rFonts w:ascii="Garamond" w:hAnsi="Garamond"/>
                <w:bCs/>
                <w:sz w:val="22"/>
                <w:szCs w:val="22"/>
                <w:highlight w:val="yellow"/>
              </w:rPr>
              <w:t>е</w:t>
            </w:r>
            <w:r w:rsidRPr="00D540CF">
              <w:rPr>
                <w:rFonts w:ascii="Garamond" w:hAnsi="Garamond"/>
                <w:bCs/>
                <w:sz w:val="22"/>
                <w:szCs w:val="22"/>
                <w:highlight w:val="yellow"/>
              </w:rPr>
              <w:t>том объема потребления электрической энергии в указанной ГП потребления по формуле:</w:t>
            </w:r>
          </w:p>
          <w:p w:rsidR="003571D6" w:rsidRPr="00D540CF" w:rsidRDefault="003571D6" w:rsidP="00AB4DE1">
            <w:pPr>
              <w:spacing w:before="120" w:after="120"/>
              <w:ind w:firstLine="612"/>
              <w:jc w:val="center"/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</w:pPr>
            <w:r w:rsidRPr="00D540CF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2160" w:dyaOrig="560">
                <v:shape id="_x0000_i1102" type="#_x0000_t75" style="width:108pt;height:27.75pt" o:ole="">
                  <v:imagedata r:id="rId131" o:title=""/>
                </v:shape>
                <o:OLEObject Type="Embed" ProgID="Equation.3" ShapeID="_x0000_i1102" DrawAspect="Content" ObjectID="_1541322858" r:id="rId138"/>
              </w:object>
            </w:r>
            <w:r w:rsidR="00D540CF" w:rsidRPr="00D540CF">
              <w:rPr>
                <w:rFonts w:ascii="Garamond" w:hAnsi="Garamond"/>
                <w:position w:val="-32"/>
                <w:sz w:val="22"/>
                <w:szCs w:val="22"/>
                <w:highlight w:val="yellow"/>
              </w:rPr>
              <w:t>.</w:t>
            </w:r>
          </w:p>
        </w:tc>
      </w:tr>
    </w:tbl>
    <w:p w:rsidR="003571D6" w:rsidRDefault="003571D6" w:rsidP="00FE0EE7">
      <w:pPr>
        <w:jc w:val="both"/>
        <w:rPr>
          <w:b/>
          <w:color w:val="000000"/>
        </w:rPr>
      </w:pPr>
    </w:p>
    <w:p w:rsidR="00DE33C4" w:rsidRPr="008A5834" w:rsidRDefault="00DE33C4" w:rsidP="00DE33C4">
      <w:pPr>
        <w:jc w:val="both"/>
        <w:rPr>
          <w:rFonts w:ascii="Garamond" w:hAnsi="Garamond"/>
          <w:b/>
          <w:sz w:val="26"/>
          <w:szCs w:val="26"/>
        </w:rPr>
      </w:pPr>
      <w:r w:rsidRPr="008A5834">
        <w:rPr>
          <w:rFonts w:ascii="Garamond" w:hAnsi="Garamond"/>
          <w:b/>
          <w:sz w:val="26"/>
          <w:szCs w:val="26"/>
        </w:rPr>
        <w:t>Предложения по измене</w:t>
      </w:r>
      <w:r>
        <w:rPr>
          <w:rFonts w:ascii="Garamond" w:hAnsi="Garamond"/>
          <w:b/>
          <w:sz w:val="26"/>
          <w:szCs w:val="26"/>
        </w:rPr>
        <w:t xml:space="preserve">ниям и дополнениям в </w:t>
      </w:r>
      <w:r w:rsidRPr="00097111">
        <w:rPr>
          <w:rFonts w:ascii="Garamond" w:hAnsi="Garamond"/>
          <w:b/>
          <w:sz w:val="26"/>
          <w:szCs w:val="26"/>
        </w:rPr>
        <w:t xml:space="preserve">РЕГЛАМЕНТ ОПРЕДЕЛЕНИЯ ОБЪЕМОВ, ИНИЦИАТИВ И СТОИМОСТИ ОТКЛОНЕНИЙ </w:t>
      </w:r>
      <w:r>
        <w:rPr>
          <w:rFonts w:ascii="Garamond" w:hAnsi="Garamond"/>
          <w:b/>
          <w:sz w:val="26"/>
          <w:szCs w:val="26"/>
        </w:rPr>
        <w:t>(Приложение № 12</w:t>
      </w:r>
      <w:r w:rsidRPr="008A5834">
        <w:rPr>
          <w:rFonts w:ascii="Garamond" w:hAnsi="Garamond"/>
          <w:b/>
          <w:sz w:val="26"/>
          <w:szCs w:val="26"/>
        </w:rPr>
        <w:t xml:space="preserve"> к Договору о присоединении к торговой системе оптового рынка)</w:t>
      </w:r>
    </w:p>
    <w:p w:rsidR="00DE33C4" w:rsidRPr="002B5432" w:rsidRDefault="00DE33C4" w:rsidP="00DE33C4">
      <w:pPr>
        <w:widowControl w:val="0"/>
        <w:rPr>
          <w:rFonts w:ascii="Garamond" w:hAnsi="Garamond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520"/>
        <w:gridCol w:w="6804"/>
      </w:tblGrid>
      <w:tr w:rsidR="00DE33C4" w:rsidRPr="002B5432" w:rsidTr="0030401E">
        <w:tc>
          <w:tcPr>
            <w:tcW w:w="1560" w:type="dxa"/>
            <w:vAlign w:val="center"/>
          </w:tcPr>
          <w:p w:rsidR="00DE33C4" w:rsidRPr="002B5432" w:rsidRDefault="00DE33C4" w:rsidP="00A2739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№</w:t>
            </w:r>
          </w:p>
          <w:p w:rsidR="00DE33C4" w:rsidRPr="002B5432" w:rsidRDefault="00DE33C4" w:rsidP="00A2739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520" w:type="dxa"/>
          </w:tcPr>
          <w:p w:rsidR="00DE33C4" w:rsidRPr="008C14FB" w:rsidRDefault="00DE33C4" w:rsidP="00A27391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DE33C4" w:rsidRPr="002B5432" w:rsidRDefault="00DE33C4" w:rsidP="00A27391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C14FB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04" w:type="dxa"/>
          </w:tcPr>
          <w:p w:rsidR="00DE33C4" w:rsidRPr="002B5432" w:rsidRDefault="00DE33C4" w:rsidP="00A2739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B5432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DE33C4" w:rsidRPr="002B5432" w:rsidRDefault="00DE33C4" w:rsidP="00A27391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543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DE33C4" w:rsidRPr="0030401E" w:rsidTr="0030401E">
        <w:tc>
          <w:tcPr>
            <w:tcW w:w="1560" w:type="dxa"/>
            <w:vAlign w:val="center"/>
          </w:tcPr>
          <w:p w:rsidR="00DE33C4" w:rsidRPr="0030401E" w:rsidRDefault="00DE33C4" w:rsidP="00A27391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30401E">
              <w:rPr>
                <w:rFonts w:ascii="Garamond" w:hAnsi="Garamond"/>
                <w:b/>
                <w:sz w:val="22"/>
                <w:szCs w:val="22"/>
              </w:rPr>
              <w:t>4.5</w:t>
            </w:r>
          </w:p>
        </w:tc>
        <w:tc>
          <w:tcPr>
            <w:tcW w:w="6520" w:type="dxa"/>
          </w:tcPr>
          <w:p w:rsidR="00DE33C4" w:rsidRPr="0030401E" w:rsidRDefault="00DE33C4" w:rsidP="00A27391">
            <w:pPr>
              <w:jc w:val="both"/>
              <w:rPr>
                <w:rFonts w:ascii="Garamond" w:hAnsi="Garamond"/>
                <w:noProof/>
                <w:position w:val="-14"/>
                <w:sz w:val="22"/>
                <w:szCs w:val="22"/>
              </w:rPr>
            </w:pPr>
            <w:r w:rsidRPr="0030401E">
              <w:rPr>
                <w:rFonts w:ascii="Garamond" w:hAnsi="Garamond"/>
                <w:noProof/>
                <w:position w:val="-14"/>
                <w:sz w:val="22"/>
                <w:szCs w:val="22"/>
              </w:rPr>
              <w:t>…</w:t>
            </w:r>
          </w:p>
          <w:p w:rsidR="00DE33C4" w:rsidRPr="0030401E" w:rsidRDefault="0099622B" w:rsidP="00A27391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>
                  <wp:extent cx="520065" cy="322580"/>
                  <wp:effectExtent l="0" t="0" r="0" b="0"/>
                  <wp:docPr id="79" name="Рисунок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32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 ― средневзвешенная цена на электроэнергию на границе между неценовой зоной (либо внезональным энергорайоном, работающим синхронно со второй ценовой зоной) и ценовой зоной, определенная в соответствии с </w:t>
            </w:r>
            <w:r w:rsidR="00DE33C4" w:rsidRPr="0030401E">
              <w:rPr>
                <w:rFonts w:ascii="Garamond" w:hAnsi="Garamond"/>
                <w:i/>
                <w:sz w:val="22"/>
                <w:szCs w:val="22"/>
              </w:rPr>
              <w:t xml:space="preserve">Регламентом расчета плановых объемов производства и потребления и расчета стоимости электроэнергии на сутки вперед </w:t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(Приложение № 8 к </w:t>
            </w:r>
            <w:r w:rsidR="00DE33C4" w:rsidRPr="0030401E">
              <w:rPr>
                <w:rFonts w:ascii="Garamond" w:hAnsi="Garamond"/>
                <w:i/>
                <w:sz w:val="22"/>
                <w:szCs w:val="22"/>
              </w:rPr>
              <w:t xml:space="preserve">Договору о присоединении к торговой </w:t>
            </w:r>
            <w:r w:rsidR="00DE33C4" w:rsidRPr="0030401E">
              <w:rPr>
                <w:rFonts w:ascii="Garamond" w:hAnsi="Garamond"/>
                <w:i/>
                <w:sz w:val="22"/>
                <w:szCs w:val="22"/>
              </w:rPr>
              <w:lastRenderedPageBreak/>
              <w:t>системе оптового рынка</w:t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>)</w:t>
            </w:r>
            <w:r w:rsidR="00DE33C4" w:rsidRPr="0030401E">
              <w:rPr>
                <w:rFonts w:ascii="Garamond" w:eastAsia="Arial Unicode MS" w:hAnsi="Garamond" w:cs="Garamond"/>
                <w:sz w:val="22"/>
                <w:szCs w:val="22"/>
              </w:rPr>
              <w:t>.</w:t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 В случае если величина </w:t>
            </w:r>
            <w:r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>
                  <wp:extent cx="520065" cy="32258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32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не определена в соответствии с </w:t>
            </w:r>
            <w:r w:rsidR="00DE33C4" w:rsidRPr="0030401E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расчета плановых объемов производства и потребления и расчета стоимости электроэнергии на сутки вперед </w:t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(Приложение № 8 к </w:t>
            </w:r>
            <w:r w:rsidR="00DE33C4" w:rsidRPr="0030401E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), то </w:t>
            </w:r>
          </w:p>
          <w:p w:rsidR="00DE33C4" w:rsidRPr="0030401E" w:rsidRDefault="0099622B" w:rsidP="00A27391">
            <w:pPr>
              <w:pStyle w:val="4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Garamond" w:hAnsi="Garamond"/>
                <w:color w:val="000000"/>
                <w:position w:val="-12"/>
                <w:szCs w:val="22"/>
              </w:rPr>
            </w:pPr>
            <w:r w:rsidRPr="00C44F9E">
              <w:rPr>
                <w:rFonts w:ascii="Garamond" w:hAnsi="Garamond"/>
                <w:noProof/>
                <w:color w:val="000000"/>
                <w:position w:val="-14"/>
                <w:szCs w:val="22"/>
                <w:highlight w:val="yellow"/>
                <w:lang w:eastAsia="ru-RU"/>
              </w:rPr>
              <w:drawing>
                <wp:inline distT="0" distB="0" distL="0" distR="0">
                  <wp:extent cx="1066800" cy="331470"/>
                  <wp:effectExtent l="1905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3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3C4" w:rsidRPr="006A4538">
              <w:rPr>
                <w:rFonts w:ascii="Garamond" w:hAnsi="Garamond"/>
                <w:color w:val="000000"/>
                <w:position w:val="-12"/>
                <w:szCs w:val="22"/>
                <w:highlight w:val="yellow"/>
              </w:rPr>
              <w:t>,</w:t>
            </w:r>
            <w:r w:rsidR="00DE33C4" w:rsidRPr="0030401E">
              <w:rPr>
                <w:rFonts w:ascii="Garamond" w:hAnsi="Garamond"/>
                <w:color w:val="000000"/>
                <w:position w:val="-12"/>
                <w:szCs w:val="22"/>
              </w:rPr>
              <w:t xml:space="preserve"> </w:t>
            </w:r>
          </w:p>
          <w:p w:rsidR="00DE33C4" w:rsidRPr="0030401E" w:rsidRDefault="00DE33C4" w:rsidP="00A27391">
            <w:pPr>
              <w:ind w:left="459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401E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99622B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>
                  <wp:extent cx="241935" cy="25971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01E">
              <w:rPr>
                <w:rFonts w:ascii="Garamond" w:hAnsi="Garamond"/>
                <w:sz w:val="22"/>
                <w:szCs w:val="22"/>
              </w:rPr>
              <w:t xml:space="preserve">– цена, используемая для определения стоимости покупки электроэнергии по четырехсторонним договорам в отношении ГТП, отнесенной к соответствующей неценовой зоне, и определенная в соответствии с разделом 9 </w:t>
            </w:r>
            <w:r w:rsidRPr="0030401E">
              <w:rPr>
                <w:rFonts w:ascii="Garamond" w:hAnsi="Garamond"/>
                <w:i/>
                <w:iCs/>
                <w:sz w:val="22"/>
                <w:szCs w:val="22"/>
              </w:rPr>
              <w:t>Регламента функционирования участников оптового рынка на территории неценовых зон</w:t>
            </w:r>
            <w:r w:rsidRPr="0030401E">
              <w:rPr>
                <w:rFonts w:ascii="Garamond" w:hAnsi="Garamond"/>
                <w:sz w:val="22"/>
                <w:szCs w:val="22"/>
              </w:rPr>
              <w:t xml:space="preserve"> (Приложение № 14 к </w:t>
            </w:r>
            <w:r w:rsidRPr="0030401E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0401E">
              <w:rPr>
                <w:rFonts w:ascii="Garamond" w:hAnsi="Garamond"/>
                <w:sz w:val="22"/>
                <w:szCs w:val="22"/>
              </w:rPr>
              <w:t>).</w:t>
            </w:r>
          </w:p>
          <w:p w:rsidR="00DE33C4" w:rsidRPr="0030401E" w:rsidRDefault="00DE33C4" w:rsidP="0030401E">
            <w:pPr>
              <w:ind w:left="459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401E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804" w:type="dxa"/>
          </w:tcPr>
          <w:p w:rsidR="00DE33C4" w:rsidRPr="0030401E" w:rsidRDefault="00DE33C4" w:rsidP="00A27391">
            <w:pPr>
              <w:jc w:val="both"/>
              <w:rPr>
                <w:rFonts w:ascii="Garamond" w:hAnsi="Garamond"/>
                <w:noProof/>
                <w:position w:val="-14"/>
                <w:sz w:val="22"/>
                <w:szCs w:val="22"/>
              </w:rPr>
            </w:pPr>
            <w:r w:rsidRPr="0030401E">
              <w:rPr>
                <w:rFonts w:ascii="Garamond" w:hAnsi="Garamond"/>
                <w:noProof/>
                <w:position w:val="-14"/>
                <w:sz w:val="22"/>
                <w:szCs w:val="22"/>
              </w:rPr>
              <w:lastRenderedPageBreak/>
              <w:t>…</w:t>
            </w:r>
          </w:p>
          <w:p w:rsidR="00DE33C4" w:rsidRPr="0030401E" w:rsidRDefault="0099622B" w:rsidP="00A27391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>
                  <wp:extent cx="520065" cy="322580"/>
                  <wp:effectExtent l="0" t="0" r="0" b="0"/>
                  <wp:docPr id="83" name="Рисунок 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32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 ― средневзвешенная цена на электроэнергию на границе между неценовой зоной (либо внезональным энергорайоном, работающим синхронно со второй ценовой зоной) и ценовой зоной, определенная в соответствии с </w:t>
            </w:r>
            <w:r w:rsidR="00DE33C4" w:rsidRPr="0030401E">
              <w:rPr>
                <w:rFonts w:ascii="Garamond" w:hAnsi="Garamond"/>
                <w:i/>
                <w:sz w:val="22"/>
                <w:szCs w:val="22"/>
              </w:rPr>
              <w:t xml:space="preserve">Регламентом расчета плановых объемов производства и потребления и расчета стоимости электроэнергии на сутки вперед </w:t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(Приложение № 8 к </w:t>
            </w:r>
            <w:r w:rsidR="00DE33C4" w:rsidRPr="0030401E">
              <w:rPr>
                <w:rFonts w:ascii="Garamond" w:hAnsi="Garamond"/>
                <w:i/>
                <w:sz w:val="22"/>
                <w:szCs w:val="22"/>
              </w:rPr>
              <w:t xml:space="preserve">Договору о присоединении к торговой системе оптового </w:t>
            </w:r>
            <w:r w:rsidR="00DE33C4" w:rsidRPr="0030401E">
              <w:rPr>
                <w:rFonts w:ascii="Garamond" w:hAnsi="Garamond"/>
                <w:i/>
                <w:sz w:val="22"/>
                <w:szCs w:val="22"/>
              </w:rPr>
              <w:lastRenderedPageBreak/>
              <w:t>рынка</w:t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>)</w:t>
            </w:r>
            <w:r w:rsidR="00DE33C4" w:rsidRPr="0030401E">
              <w:rPr>
                <w:rFonts w:ascii="Garamond" w:eastAsia="Arial Unicode MS" w:hAnsi="Garamond" w:cs="Garamond"/>
                <w:sz w:val="22"/>
                <w:szCs w:val="22"/>
              </w:rPr>
              <w:t>.</w:t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 В случае если величина </w:t>
            </w:r>
            <w:r>
              <w:rPr>
                <w:rFonts w:ascii="Garamond" w:hAnsi="Garamond"/>
                <w:noProof/>
                <w:position w:val="-14"/>
                <w:sz w:val="22"/>
                <w:szCs w:val="22"/>
              </w:rPr>
              <w:drawing>
                <wp:inline distT="0" distB="0" distL="0" distR="0">
                  <wp:extent cx="520065" cy="32258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322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не определена в соответствии с </w:t>
            </w:r>
            <w:r w:rsidR="00DE33C4" w:rsidRPr="0030401E">
              <w:rPr>
                <w:rFonts w:ascii="Garamond" w:hAnsi="Garamond"/>
                <w:i/>
                <w:iCs/>
                <w:sz w:val="22"/>
                <w:szCs w:val="22"/>
              </w:rPr>
              <w:t xml:space="preserve">Регламентом расчета плановых объемов производства и потребления и расчета стоимости электроэнергии на сутки вперед </w:t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(Приложение № 8 к </w:t>
            </w:r>
            <w:r w:rsidR="00DE33C4" w:rsidRPr="0030401E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DE33C4" w:rsidRPr="0030401E">
              <w:rPr>
                <w:rFonts w:ascii="Garamond" w:hAnsi="Garamond"/>
                <w:sz w:val="22"/>
                <w:szCs w:val="22"/>
              </w:rPr>
              <w:t xml:space="preserve">), то </w:t>
            </w:r>
          </w:p>
          <w:p w:rsidR="00DE33C4" w:rsidRPr="0030401E" w:rsidRDefault="00DE33C4" w:rsidP="00A27391">
            <w:pPr>
              <w:pStyle w:val="40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Garamond" w:hAnsi="Garamond"/>
                <w:color w:val="000000"/>
                <w:position w:val="-12"/>
                <w:szCs w:val="22"/>
              </w:rPr>
            </w:pPr>
            <w:r w:rsidRPr="0030401E">
              <w:rPr>
                <w:rFonts w:ascii="Garamond" w:hAnsi="Garamond"/>
                <w:position w:val="-14"/>
                <w:szCs w:val="22"/>
                <w:highlight w:val="yellow"/>
              </w:rPr>
              <w:object w:dxaOrig="3960" w:dyaOrig="400">
                <v:shape id="_x0000_i1103" type="#_x0000_t75" style="width:198.75pt;height:20.25pt" o:ole="">
                  <v:imagedata r:id="rId142" o:title=""/>
                </v:shape>
                <o:OLEObject Type="Embed" ProgID="Equation.3" ShapeID="_x0000_i1103" DrawAspect="Content" ObjectID="_1541322859" r:id="rId143"/>
              </w:object>
            </w:r>
            <w:r w:rsidR="006A4538">
              <w:rPr>
                <w:rFonts w:ascii="Garamond" w:hAnsi="Garamond"/>
                <w:szCs w:val="22"/>
              </w:rPr>
              <w:t>,</w:t>
            </w:r>
          </w:p>
          <w:p w:rsidR="00DE33C4" w:rsidRPr="0030401E" w:rsidRDefault="00DE33C4" w:rsidP="00A27391">
            <w:pPr>
              <w:ind w:left="459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401E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="0099622B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>
                  <wp:extent cx="241935" cy="25971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" cy="259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01E">
              <w:rPr>
                <w:rFonts w:ascii="Garamond" w:hAnsi="Garamond"/>
                <w:sz w:val="22"/>
                <w:szCs w:val="22"/>
              </w:rPr>
              <w:t xml:space="preserve">– цена, используемая для определения стоимости покупки электроэнергии по четырехсторонним договорам в отношении ГТП, отнесенной к соответствующей неценовой зоне, и определенная в соответствии с разделом 9 </w:t>
            </w:r>
            <w:r w:rsidRPr="0030401E">
              <w:rPr>
                <w:rFonts w:ascii="Garamond" w:hAnsi="Garamond"/>
                <w:i/>
                <w:iCs/>
                <w:sz w:val="22"/>
                <w:szCs w:val="22"/>
              </w:rPr>
              <w:t>Регламента функционирования участников оптового рынка на территории неценовых зон</w:t>
            </w:r>
            <w:r w:rsidRPr="0030401E">
              <w:rPr>
                <w:rFonts w:ascii="Garamond" w:hAnsi="Garamond"/>
                <w:sz w:val="22"/>
                <w:szCs w:val="22"/>
              </w:rPr>
              <w:t xml:space="preserve"> (Приложение № 14 к </w:t>
            </w:r>
            <w:r w:rsidRPr="0030401E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30401E">
              <w:rPr>
                <w:rFonts w:ascii="Garamond" w:hAnsi="Garamond"/>
                <w:sz w:val="22"/>
                <w:szCs w:val="22"/>
              </w:rPr>
              <w:t>).</w:t>
            </w:r>
          </w:p>
          <w:p w:rsidR="00DE33C4" w:rsidRPr="0030401E" w:rsidRDefault="00DE33C4" w:rsidP="0030401E">
            <w:pPr>
              <w:ind w:left="459" w:hanging="425"/>
              <w:jc w:val="both"/>
              <w:rPr>
                <w:rFonts w:ascii="Garamond" w:hAnsi="Garamond"/>
                <w:sz w:val="22"/>
                <w:szCs w:val="22"/>
              </w:rPr>
            </w:pPr>
            <w:r w:rsidRPr="0030401E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DE33C4" w:rsidRPr="0030401E" w:rsidRDefault="00DE33C4" w:rsidP="00FE0EE7">
      <w:pPr>
        <w:jc w:val="both"/>
        <w:rPr>
          <w:rFonts w:ascii="Garamond" w:hAnsi="Garamond"/>
          <w:b/>
          <w:color w:val="000000"/>
          <w:sz w:val="22"/>
          <w:szCs w:val="22"/>
        </w:rPr>
      </w:pPr>
    </w:p>
    <w:sectPr w:rsidR="00DE33C4" w:rsidRPr="0030401E" w:rsidSect="008765B0">
      <w:footerReference w:type="even" r:id="rId144"/>
      <w:footerReference w:type="default" r:id="rId145"/>
      <w:pgSz w:w="16838" w:h="11906" w:orient="landscape" w:code="9"/>
      <w:pgMar w:top="1276" w:right="1134" w:bottom="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8E" w:rsidRDefault="003D428E">
      <w:r>
        <w:separator/>
      </w:r>
    </w:p>
  </w:endnote>
  <w:endnote w:type="continuationSeparator" w:id="0">
    <w:p w:rsidR="003D428E" w:rsidRDefault="003D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D37" w:rsidRDefault="00157860" w:rsidP="00760B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A5D3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5D37" w:rsidRDefault="000A5D3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D37" w:rsidRPr="00BC7845" w:rsidRDefault="002D6E13" w:rsidP="00BC7845">
    <w:pPr>
      <w:pStyle w:val="a6"/>
      <w:jc w:val="right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DE48F9">
      <w:rPr>
        <w:noProof/>
      </w:rPr>
      <w:t>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8E" w:rsidRDefault="003D428E">
      <w:r>
        <w:separator/>
      </w:r>
    </w:p>
  </w:footnote>
  <w:footnote w:type="continuationSeparator" w:id="0">
    <w:p w:rsidR="003D428E" w:rsidRDefault="003D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096A74A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FB"/>
    <w:multiLevelType w:val="multilevel"/>
    <w:tmpl w:val="8422AC64"/>
    <w:lvl w:ilvl="0">
      <w:start w:val="4"/>
      <w:numFmt w:val="none"/>
      <w:suff w:val="nothing"/>
      <w:lvlText w:val=""/>
      <w:lvlJc w:val="left"/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180"/>
        </w:tabs>
        <w:ind w:left="180"/>
      </w:pPr>
      <w:rPr>
        <w:rFonts w:cs="Times New Roman" w:hint="default"/>
      </w:rPr>
    </w:lvl>
    <w:lvl w:ilvl="2">
      <w:start w:val="4"/>
      <w:numFmt w:val="decimal"/>
      <w:lvlText w:val="4.%3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3.2.%4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>
    <w:nsid w:val="08E2708B"/>
    <w:multiLevelType w:val="hybridMultilevel"/>
    <w:tmpl w:val="A05456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565BE9"/>
    <w:multiLevelType w:val="hybridMultilevel"/>
    <w:tmpl w:val="470851CE"/>
    <w:lvl w:ilvl="0" w:tplc="1DBACE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A3011BF"/>
    <w:multiLevelType w:val="hybridMultilevel"/>
    <w:tmpl w:val="2AC659F2"/>
    <w:lvl w:ilvl="0" w:tplc="B5BA444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6">
    <w:nsid w:val="0A825E6C"/>
    <w:multiLevelType w:val="hybridMultilevel"/>
    <w:tmpl w:val="34D63D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59E8703C">
      <w:start w:val="1"/>
      <w:numFmt w:val="none"/>
      <w:lvlText w:val="4.6"/>
      <w:lvlJc w:val="left"/>
      <w:pPr>
        <w:tabs>
          <w:tab w:val="num" w:pos="2220"/>
        </w:tabs>
        <w:ind w:left="2220" w:hanging="360"/>
      </w:pPr>
      <w:rPr>
        <w:rFonts w:cs="Times New Roman" w:hint="default"/>
        <w:b/>
        <w:i w:val="0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11DF4533"/>
    <w:multiLevelType w:val="hybridMultilevel"/>
    <w:tmpl w:val="0C149D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334344"/>
    <w:multiLevelType w:val="multilevel"/>
    <w:tmpl w:val="3BB4F6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6F974CC"/>
    <w:multiLevelType w:val="hybridMultilevel"/>
    <w:tmpl w:val="31B2E0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8E5385E"/>
    <w:multiLevelType w:val="hybridMultilevel"/>
    <w:tmpl w:val="627CC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23064"/>
    <w:multiLevelType w:val="hybridMultilevel"/>
    <w:tmpl w:val="44C6DC3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570AD9"/>
    <w:multiLevelType w:val="hybridMultilevel"/>
    <w:tmpl w:val="BA1A2C06"/>
    <w:lvl w:ilvl="0" w:tplc="FFFFFFFF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245AAD"/>
    <w:multiLevelType w:val="hybridMultilevel"/>
    <w:tmpl w:val="030AF2E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20068A"/>
    <w:multiLevelType w:val="hybridMultilevel"/>
    <w:tmpl w:val="52A85228"/>
    <w:lvl w:ilvl="0" w:tplc="BEA41A74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71078F"/>
    <w:multiLevelType w:val="hybridMultilevel"/>
    <w:tmpl w:val="58FADD12"/>
    <w:lvl w:ilvl="0" w:tplc="DFC2C276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B9C2D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A253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86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A6E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21A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949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85D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4AE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EF195A"/>
    <w:multiLevelType w:val="hybridMultilevel"/>
    <w:tmpl w:val="7A9062FA"/>
    <w:lvl w:ilvl="0" w:tplc="B6963482">
      <w:start w:val="1"/>
      <w:numFmt w:val="bullet"/>
      <w:lvlText w:val=""/>
      <w:lvlJc w:val="left"/>
      <w:pPr>
        <w:tabs>
          <w:tab w:val="num" w:pos="1210"/>
        </w:tabs>
        <w:ind w:left="1210" w:hanging="567"/>
      </w:pPr>
      <w:rPr>
        <w:rFonts w:ascii="Symbol" w:hAnsi="Symbol" w:hint="default"/>
      </w:rPr>
    </w:lvl>
    <w:lvl w:ilvl="1" w:tplc="A77E03BA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33909BE0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753610B6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829E464A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D50EFB58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1D4C509E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25602068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A3D00D6E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7">
    <w:nsid w:val="28F625B6"/>
    <w:multiLevelType w:val="hybridMultilevel"/>
    <w:tmpl w:val="EB7EF81E"/>
    <w:lvl w:ilvl="0" w:tplc="041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8">
    <w:nsid w:val="2FB31DC0"/>
    <w:multiLevelType w:val="hybridMultilevel"/>
    <w:tmpl w:val="137E2970"/>
    <w:lvl w:ilvl="0" w:tplc="3D66C9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50BD0"/>
    <w:multiLevelType w:val="multilevel"/>
    <w:tmpl w:val="9E2EC2CA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23016FF"/>
    <w:multiLevelType w:val="multilevel"/>
    <w:tmpl w:val="B58072D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1">
    <w:nsid w:val="35FA0525"/>
    <w:multiLevelType w:val="hybridMultilevel"/>
    <w:tmpl w:val="DB04C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B33437"/>
    <w:multiLevelType w:val="hybridMultilevel"/>
    <w:tmpl w:val="836E8DA0"/>
    <w:lvl w:ilvl="0" w:tplc="2BE2003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9C72B7"/>
    <w:multiLevelType w:val="hybridMultilevel"/>
    <w:tmpl w:val="2AC659F2"/>
    <w:lvl w:ilvl="0" w:tplc="B5BA444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19000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19000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4">
    <w:nsid w:val="3F782415"/>
    <w:multiLevelType w:val="hybridMultilevel"/>
    <w:tmpl w:val="4984AB16"/>
    <w:lvl w:ilvl="0" w:tplc="9402A98E">
      <w:start w:val="4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>
    <w:nsid w:val="42D7787E"/>
    <w:multiLevelType w:val="hybridMultilevel"/>
    <w:tmpl w:val="00984890"/>
    <w:lvl w:ilvl="0" w:tplc="92A439A8">
      <w:start w:val="4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686A41A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7F23E6A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F12CBA6E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C29A04E0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4B764FA0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2F82EAAC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5F047992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3E00FEE2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6">
    <w:nsid w:val="44C61982"/>
    <w:multiLevelType w:val="hybridMultilevel"/>
    <w:tmpl w:val="030AF2E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2660D3"/>
    <w:multiLevelType w:val="hybridMultilevel"/>
    <w:tmpl w:val="7B8C0CE4"/>
    <w:lvl w:ilvl="0" w:tplc="FFFFFFFF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52DE682F"/>
    <w:multiLevelType w:val="multilevel"/>
    <w:tmpl w:val="5AF0050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EDF5C25"/>
    <w:multiLevelType w:val="hybridMultilevel"/>
    <w:tmpl w:val="963E31C4"/>
    <w:lvl w:ilvl="0" w:tplc="09C2AD9A">
      <w:start w:val="500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B247DF"/>
    <w:multiLevelType w:val="hybridMultilevel"/>
    <w:tmpl w:val="06B24700"/>
    <w:lvl w:ilvl="0" w:tplc="41A6FAEC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66E4B54"/>
    <w:multiLevelType w:val="hybridMultilevel"/>
    <w:tmpl w:val="AE880E74"/>
    <w:lvl w:ilvl="0" w:tplc="8B8E51EE">
      <w:start w:val="500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407C1F"/>
    <w:multiLevelType w:val="hybridMultilevel"/>
    <w:tmpl w:val="06F8BFF6"/>
    <w:lvl w:ilvl="0" w:tplc="041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>
    <w:nsid w:val="6E96377B"/>
    <w:multiLevelType w:val="hybridMultilevel"/>
    <w:tmpl w:val="8DC893E0"/>
    <w:lvl w:ilvl="0" w:tplc="1D1E71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9E25ED"/>
    <w:multiLevelType w:val="multilevel"/>
    <w:tmpl w:val="5FD631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71245415"/>
    <w:multiLevelType w:val="hybridMultilevel"/>
    <w:tmpl w:val="62D26DFC"/>
    <w:lvl w:ilvl="0" w:tplc="EFC044C6">
      <w:start w:val="1"/>
      <w:numFmt w:val="none"/>
      <w:lvlText w:val="4.1.3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044C6">
      <w:start w:val="1"/>
      <w:numFmt w:val="none"/>
      <w:lvlText w:val="4.1.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9C8D8A">
      <w:start w:val="1"/>
      <w:numFmt w:val="none"/>
      <w:lvlText w:val="4.1.3.1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i w:val="0"/>
        <w:sz w:val="22"/>
        <w:szCs w:val="22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B1492E"/>
    <w:multiLevelType w:val="hybridMultilevel"/>
    <w:tmpl w:val="755A8CEA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7">
    <w:nsid w:val="7AB700B0"/>
    <w:multiLevelType w:val="multilevel"/>
    <w:tmpl w:val="6D54AEF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DA579DA"/>
    <w:multiLevelType w:val="hybridMultilevel"/>
    <w:tmpl w:val="963E31C4"/>
    <w:lvl w:ilvl="0" w:tplc="09C2AD9A">
      <w:start w:val="500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8"/>
  </w:num>
  <w:num w:numId="4">
    <w:abstractNumId w:val="12"/>
  </w:num>
  <w:num w:numId="5">
    <w:abstractNumId w:val="27"/>
  </w:num>
  <w:num w:numId="6">
    <w:abstractNumId w:val="30"/>
  </w:num>
  <w:num w:numId="7">
    <w:abstractNumId w:val="4"/>
  </w:num>
  <w:num w:numId="8">
    <w:abstractNumId w:val="22"/>
  </w:num>
  <w:num w:numId="9">
    <w:abstractNumId w:val="6"/>
  </w:num>
  <w:num w:numId="10">
    <w:abstractNumId w:val="35"/>
  </w:num>
  <w:num w:numId="11">
    <w:abstractNumId w:val="19"/>
  </w:num>
  <w:num w:numId="12">
    <w:abstractNumId w:val="20"/>
  </w:num>
  <w:num w:numId="13">
    <w:abstractNumId w:val="33"/>
  </w:num>
  <w:num w:numId="14">
    <w:abstractNumId w:val="32"/>
  </w:num>
  <w:num w:numId="15">
    <w:abstractNumId w:val="10"/>
  </w:num>
  <w:num w:numId="16">
    <w:abstractNumId w:val="21"/>
  </w:num>
  <w:num w:numId="17">
    <w:abstractNumId w:val="14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38"/>
  </w:num>
  <w:num w:numId="22">
    <w:abstractNumId w:val="28"/>
    <w:lvlOverride w:ilvl="0">
      <w:startOverride w:val="5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5"/>
  </w:num>
  <w:num w:numId="28">
    <w:abstractNumId w:val="8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1"/>
  </w:num>
  <w:num w:numId="33">
    <w:abstractNumId w:val="29"/>
  </w:num>
  <w:num w:numId="34">
    <w:abstractNumId w:val="0"/>
  </w:num>
  <w:num w:numId="35">
    <w:abstractNumId w:val="16"/>
  </w:num>
  <w:num w:numId="36">
    <w:abstractNumId w:val="25"/>
  </w:num>
  <w:num w:numId="37">
    <w:abstractNumId w:val="34"/>
  </w:num>
  <w:num w:numId="38">
    <w:abstractNumId w:val="24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36"/>
  </w:num>
  <w:num w:numId="44">
    <w:abstractNumId w:val="17"/>
  </w:num>
  <w:num w:numId="45">
    <w:abstractNumId w:val="9"/>
  </w:num>
  <w:num w:numId="4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38"/>
    <w:rsid w:val="00000B92"/>
    <w:rsid w:val="0000166F"/>
    <w:rsid w:val="00006955"/>
    <w:rsid w:val="000131E8"/>
    <w:rsid w:val="00013C9B"/>
    <w:rsid w:val="00014E01"/>
    <w:rsid w:val="000244A8"/>
    <w:rsid w:val="00024D06"/>
    <w:rsid w:val="00026126"/>
    <w:rsid w:val="00026868"/>
    <w:rsid w:val="00026A83"/>
    <w:rsid w:val="00026DA0"/>
    <w:rsid w:val="00027888"/>
    <w:rsid w:val="00043ED3"/>
    <w:rsid w:val="00046773"/>
    <w:rsid w:val="00055291"/>
    <w:rsid w:val="00055E09"/>
    <w:rsid w:val="00056A92"/>
    <w:rsid w:val="00061991"/>
    <w:rsid w:val="000652A0"/>
    <w:rsid w:val="00071F40"/>
    <w:rsid w:val="00075400"/>
    <w:rsid w:val="00075674"/>
    <w:rsid w:val="00086C06"/>
    <w:rsid w:val="00087AC8"/>
    <w:rsid w:val="00087E80"/>
    <w:rsid w:val="00093B1B"/>
    <w:rsid w:val="00094DC6"/>
    <w:rsid w:val="000958F7"/>
    <w:rsid w:val="000A0DD7"/>
    <w:rsid w:val="000A5D37"/>
    <w:rsid w:val="000A7863"/>
    <w:rsid w:val="000B2C08"/>
    <w:rsid w:val="000B5420"/>
    <w:rsid w:val="000B664F"/>
    <w:rsid w:val="000B6AAF"/>
    <w:rsid w:val="000B766C"/>
    <w:rsid w:val="000C5A9D"/>
    <w:rsid w:val="000C5B9B"/>
    <w:rsid w:val="000C683C"/>
    <w:rsid w:val="000D16E5"/>
    <w:rsid w:val="000E063A"/>
    <w:rsid w:val="0010558F"/>
    <w:rsid w:val="00105625"/>
    <w:rsid w:val="00105777"/>
    <w:rsid w:val="00107509"/>
    <w:rsid w:val="00110199"/>
    <w:rsid w:val="00111B9A"/>
    <w:rsid w:val="00112CEE"/>
    <w:rsid w:val="00115053"/>
    <w:rsid w:val="00115D4C"/>
    <w:rsid w:val="00122E9B"/>
    <w:rsid w:val="00126534"/>
    <w:rsid w:val="00132CDA"/>
    <w:rsid w:val="00133B84"/>
    <w:rsid w:val="00144E99"/>
    <w:rsid w:val="00150831"/>
    <w:rsid w:val="00154D9A"/>
    <w:rsid w:val="001554FD"/>
    <w:rsid w:val="00157860"/>
    <w:rsid w:val="001713B8"/>
    <w:rsid w:val="00173A0B"/>
    <w:rsid w:val="0018146F"/>
    <w:rsid w:val="0018388E"/>
    <w:rsid w:val="00183927"/>
    <w:rsid w:val="00184F9C"/>
    <w:rsid w:val="00186D13"/>
    <w:rsid w:val="001902F5"/>
    <w:rsid w:val="00190A68"/>
    <w:rsid w:val="00190AA7"/>
    <w:rsid w:val="00192278"/>
    <w:rsid w:val="00195AB8"/>
    <w:rsid w:val="001A5918"/>
    <w:rsid w:val="001B36F5"/>
    <w:rsid w:val="001C426F"/>
    <w:rsid w:val="001C45FB"/>
    <w:rsid w:val="001C4A24"/>
    <w:rsid w:val="001C5F7C"/>
    <w:rsid w:val="001C75A5"/>
    <w:rsid w:val="001C7AC7"/>
    <w:rsid w:val="001D004B"/>
    <w:rsid w:val="001D023F"/>
    <w:rsid w:val="001D3347"/>
    <w:rsid w:val="001D6C16"/>
    <w:rsid w:val="001D7E6F"/>
    <w:rsid w:val="001E2B1E"/>
    <w:rsid w:val="001E35CE"/>
    <w:rsid w:val="001E65CC"/>
    <w:rsid w:val="001F0BB5"/>
    <w:rsid w:val="001F3199"/>
    <w:rsid w:val="001F56D2"/>
    <w:rsid w:val="001F6B22"/>
    <w:rsid w:val="00200EF4"/>
    <w:rsid w:val="00202F23"/>
    <w:rsid w:val="00204083"/>
    <w:rsid w:val="002045DB"/>
    <w:rsid w:val="00204910"/>
    <w:rsid w:val="00213EA1"/>
    <w:rsid w:val="002168A3"/>
    <w:rsid w:val="002228A7"/>
    <w:rsid w:val="002241C3"/>
    <w:rsid w:val="00226C75"/>
    <w:rsid w:val="00232206"/>
    <w:rsid w:val="00240E49"/>
    <w:rsid w:val="00245053"/>
    <w:rsid w:val="00250005"/>
    <w:rsid w:val="00253CD5"/>
    <w:rsid w:val="00254676"/>
    <w:rsid w:val="00261846"/>
    <w:rsid w:val="002626C7"/>
    <w:rsid w:val="002645F1"/>
    <w:rsid w:val="00265C5E"/>
    <w:rsid w:val="00266641"/>
    <w:rsid w:val="00267064"/>
    <w:rsid w:val="00272C87"/>
    <w:rsid w:val="00274753"/>
    <w:rsid w:val="002753E1"/>
    <w:rsid w:val="00277C3C"/>
    <w:rsid w:val="00283A25"/>
    <w:rsid w:val="00287D70"/>
    <w:rsid w:val="002914A6"/>
    <w:rsid w:val="002939D4"/>
    <w:rsid w:val="00293F96"/>
    <w:rsid w:val="00295008"/>
    <w:rsid w:val="00295AE8"/>
    <w:rsid w:val="00297CA2"/>
    <w:rsid w:val="002A05B6"/>
    <w:rsid w:val="002A0952"/>
    <w:rsid w:val="002A096B"/>
    <w:rsid w:val="002A425B"/>
    <w:rsid w:val="002A44D8"/>
    <w:rsid w:val="002A7387"/>
    <w:rsid w:val="002B2FEE"/>
    <w:rsid w:val="002B4B27"/>
    <w:rsid w:val="002B5008"/>
    <w:rsid w:val="002C057B"/>
    <w:rsid w:val="002C4762"/>
    <w:rsid w:val="002C5F92"/>
    <w:rsid w:val="002C602E"/>
    <w:rsid w:val="002C60F8"/>
    <w:rsid w:val="002C63AD"/>
    <w:rsid w:val="002D2F33"/>
    <w:rsid w:val="002D6E13"/>
    <w:rsid w:val="002D7518"/>
    <w:rsid w:val="002D7A95"/>
    <w:rsid w:val="002D7DC5"/>
    <w:rsid w:val="002F0732"/>
    <w:rsid w:val="002F0D54"/>
    <w:rsid w:val="002F0EB4"/>
    <w:rsid w:val="002F50CD"/>
    <w:rsid w:val="002F598B"/>
    <w:rsid w:val="002F6C3A"/>
    <w:rsid w:val="00301063"/>
    <w:rsid w:val="0030401E"/>
    <w:rsid w:val="00304CC8"/>
    <w:rsid w:val="00310653"/>
    <w:rsid w:val="00310C60"/>
    <w:rsid w:val="003136C6"/>
    <w:rsid w:val="00317831"/>
    <w:rsid w:val="00317B45"/>
    <w:rsid w:val="0032332B"/>
    <w:rsid w:val="0032544E"/>
    <w:rsid w:val="00325F53"/>
    <w:rsid w:val="00331A82"/>
    <w:rsid w:val="00336D12"/>
    <w:rsid w:val="00340D50"/>
    <w:rsid w:val="00341390"/>
    <w:rsid w:val="003432FA"/>
    <w:rsid w:val="00345F2F"/>
    <w:rsid w:val="0035146E"/>
    <w:rsid w:val="00352031"/>
    <w:rsid w:val="003525BF"/>
    <w:rsid w:val="00354F4F"/>
    <w:rsid w:val="003571D6"/>
    <w:rsid w:val="00361A37"/>
    <w:rsid w:val="00364281"/>
    <w:rsid w:val="0036544C"/>
    <w:rsid w:val="00365B2F"/>
    <w:rsid w:val="0037464F"/>
    <w:rsid w:val="003756AB"/>
    <w:rsid w:val="003775D1"/>
    <w:rsid w:val="003846CF"/>
    <w:rsid w:val="003878DF"/>
    <w:rsid w:val="0039533A"/>
    <w:rsid w:val="00395B39"/>
    <w:rsid w:val="003A0ABB"/>
    <w:rsid w:val="003A0B89"/>
    <w:rsid w:val="003A1AD3"/>
    <w:rsid w:val="003A3B71"/>
    <w:rsid w:val="003A66A5"/>
    <w:rsid w:val="003A7B80"/>
    <w:rsid w:val="003B085A"/>
    <w:rsid w:val="003B1A03"/>
    <w:rsid w:val="003B1CD2"/>
    <w:rsid w:val="003B40AE"/>
    <w:rsid w:val="003B4EF4"/>
    <w:rsid w:val="003B628B"/>
    <w:rsid w:val="003C1B03"/>
    <w:rsid w:val="003C5D63"/>
    <w:rsid w:val="003C6506"/>
    <w:rsid w:val="003D020B"/>
    <w:rsid w:val="003D1301"/>
    <w:rsid w:val="003D428E"/>
    <w:rsid w:val="003D5966"/>
    <w:rsid w:val="003E0925"/>
    <w:rsid w:val="003E2037"/>
    <w:rsid w:val="003E581A"/>
    <w:rsid w:val="003E78BE"/>
    <w:rsid w:val="003F24B6"/>
    <w:rsid w:val="003F43B5"/>
    <w:rsid w:val="003F4B3F"/>
    <w:rsid w:val="003F500E"/>
    <w:rsid w:val="003F7C4E"/>
    <w:rsid w:val="0040758E"/>
    <w:rsid w:val="004149F8"/>
    <w:rsid w:val="0041654C"/>
    <w:rsid w:val="0041718C"/>
    <w:rsid w:val="00422BF0"/>
    <w:rsid w:val="00422D3B"/>
    <w:rsid w:val="00425440"/>
    <w:rsid w:val="00425CB8"/>
    <w:rsid w:val="00426B27"/>
    <w:rsid w:val="00427592"/>
    <w:rsid w:val="004302B3"/>
    <w:rsid w:val="00434F20"/>
    <w:rsid w:val="00441C66"/>
    <w:rsid w:val="00443C18"/>
    <w:rsid w:val="00445BD0"/>
    <w:rsid w:val="00446E3D"/>
    <w:rsid w:val="0044708D"/>
    <w:rsid w:val="00447C2F"/>
    <w:rsid w:val="00451D35"/>
    <w:rsid w:val="00452055"/>
    <w:rsid w:val="0045717F"/>
    <w:rsid w:val="004612C0"/>
    <w:rsid w:val="004619B5"/>
    <w:rsid w:val="00464736"/>
    <w:rsid w:val="0046549E"/>
    <w:rsid w:val="0047078F"/>
    <w:rsid w:val="0047096A"/>
    <w:rsid w:val="004711B7"/>
    <w:rsid w:val="004723B4"/>
    <w:rsid w:val="00472F48"/>
    <w:rsid w:val="004765E1"/>
    <w:rsid w:val="00477482"/>
    <w:rsid w:val="0047767E"/>
    <w:rsid w:val="00483CFC"/>
    <w:rsid w:val="00484BD3"/>
    <w:rsid w:val="004918CB"/>
    <w:rsid w:val="00492F09"/>
    <w:rsid w:val="004941F0"/>
    <w:rsid w:val="0049508A"/>
    <w:rsid w:val="0049641D"/>
    <w:rsid w:val="004A01B3"/>
    <w:rsid w:val="004A0337"/>
    <w:rsid w:val="004A0EA9"/>
    <w:rsid w:val="004B40B5"/>
    <w:rsid w:val="004B562E"/>
    <w:rsid w:val="004C25FD"/>
    <w:rsid w:val="004C2CCC"/>
    <w:rsid w:val="004C4FFD"/>
    <w:rsid w:val="004C7538"/>
    <w:rsid w:val="004D2F5B"/>
    <w:rsid w:val="004D3609"/>
    <w:rsid w:val="004D72A7"/>
    <w:rsid w:val="004E4754"/>
    <w:rsid w:val="004E58FD"/>
    <w:rsid w:val="004E5F13"/>
    <w:rsid w:val="004F0E17"/>
    <w:rsid w:val="004F22A2"/>
    <w:rsid w:val="004F5801"/>
    <w:rsid w:val="004F7EF8"/>
    <w:rsid w:val="00500249"/>
    <w:rsid w:val="00501005"/>
    <w:rsid w:val="005017AC"/>
    <w:rsid w:val="00501BDE"/>
    <w:rsid w:val="00503BB3"/>
    <w:rsid w:val="00505C6D"/>
    <w:rsid w:val="005061F4"/>
    <w:rsid w:val="005062F9"/>
    <w:rsid w:val="005078C7"/>
    <w:rsid w:val="00516495"/>
    <w:rsid w:val="00522750"/>
    <w:rsid w:val="005243A4"/>
    <w:rsid w:val="005244D0"/>
    <w:rsid w:val="005249FE"/>
    <w:rsid w:val="00525745"/>
    <w:rsid w:val="00526572"/>
    <w:rsid w:val="005274A5"/>
    <w:rsid w:val="00531411"/>
    <w:rsid w:val="00532474"/>
    <w:rsid w:val="00532AAD"/>
    <w:rsid w:val="00534EE1"/>
    <w:rsid w:val="005357FE"/>
    <w:rsid w:val="00537880"/>
    <w:rsid w:val="005414A6"/>
    <w:rsid w:val="00542E9F"/>
    <w:rsid w:val="00542EE8"/>
    <w:rsid w:val="00547205"/>
    <w:rsid w:val="00552B4B"/>
    <w:rsid w:val="00557C38"/>
    <w:rsid w:val="00561AFB"/>
    <w:rsid w:val="00563E48"/>
    <w:rsid w:val="00563FA5"/>
    <w:rsid w:val="00570D4E"/>
    <w:rsid w:val="00574482"/>
    <w:rsid w:val="00575B39"/>
    <w:rsid w:val="00581AFC"/>
    <w:rsid w:val="005843E9"/>
    <w:rsid w:val="005845F8"/>
    <w:rsid w:val="00586CD9"/>
    <w:rsid w:val="00591CF8"/>
    <w:rsid w:val="00593661"/>
    <w:rsid w:val="0059392B"/>
    <w:rsid w:val="005A34D0"/>
    <w:rsid w:val="005A5006"/>
    <w:rsid w:val="005A63CE"/>
    <w:rsid w:val="005A6646"/>
    <w:rsid w:val="005A67EC"/>
    <w:rsid w:val="005B10E6"/>
    <w:rsid w:val="005B4DE4"/>
    <w:rsid w:val="005C09CA"/>
    <w:rsid w:val="005C1584"/>
    <w:rsid w:val="005C18ED"/>
    <w:rsid w:val="005C1ED8"/>
    <w:rsid w:val="005C66AE"/>
    <w:rsid w:val="005D6D27"/>
    <w:rsid w:val="005E05A8"/>
    <w:rsid w:val="005E330D"/>
    <w:rsid w:val="005E488C"/>
    <w:rsid w:val="005E5556"/>
    <w:rsid w:val="005E5ACB"/>
    <w:rsid w:val="005F6A4D"/>
    <w:rsid w:val="0060391E"/>
    <w:rsid w:val="00603E53"/>
    <w:rsid w:val="00606515"/>
    <w:rsid w:val="00607564"/>
    <w:rsid w:val="006110DC"/>
    <w:rsid w:val="00612CE3"/>
    <w:rsid w:val="00622617"/>
    <w:rsid w:val="006232CA"/>
    <w:rsid w:val="0062353B"/>
    <w:rsid w:val="006237EE"/>
    <w:rsid w:val="00624004"/>
    <w:rsid w:val="00625506"/>
    <w:rsid w:val="00627919"/>
    <w:rsid w:val="00631D3F"/>
    <w:rsid w:val="00640370"/>
    <w:rsid w:val="00641702"/>
    <w:rsid w:val="00641C63"/>
    <w:rsid w:val="00643A35"/>
    <w:rsid w:val="006463BA"/>
    <w:rsid w:val="006474C4"/>
    <w:rsid w:val="00647982"/>
    <w:rsid w:val="0065292E"/>
    <w:rsid w:val="006532CE"/>
    <w:rsid w:val="006535A9"/>
    <w:rsid w:val="00663A2E"/>
    <w:rsid w:val="006642B2"/>
    <w:rsid w:val="00664681"/>
    <w:rsid w:val="006657EC"/>
    <w:rsid w:val="00686010"/>
    <w:rsid w:val="00686B46"/>
    <w:rsid w:val="006902FC"/>
    <w:rsid w:val="006935E9"/>
    <w:rsid w:val="00693622"/>
    <w:rsid w:val="006A0621"/>
    <w:rsid w:val="006A064D"/>
    <w:rsid w:val="006A4538"/>
    <w:rsid w:val="006A49A2"/>
    <w:rsid w:val="006A6DEB"/>
    <w:rsid w:val="006B0216"/>
    <w:rsid w:val="006B130F"/>
    <w:rsid w:val="006B7CE6"/>
    <w:rsid w:val="006C442E"/>
    <w:rsid w:val="006D082E"/>
    <w:rsid w:val="006D2E0B"/>
    <w:rsid w:val="006D6F78"/>
    <w:rsid w:val="006D759F"/>
    <w:rsid w:val="006E2C86"/>
    <w:rsid w:val="006E307E"/>
    <w:rsid w:val="006E3443"/>
    <w:rsid w:val="006E36C4"/>
    <w:rsid w:val="006E6EEE"/>
    <w:rsid w:val="006F18DC"/>
    <w:rsid w:val="006F1B99"/>
    <w:rsid w:val="00701C98"/>
    <w:rsid w:val="00702104"/>
    <w:rsid w:val="007051F7"/>
    <w:rsid w:val="007056FF"/>
    <w:rsid w:val="00706BDD"/>
    <w:rsid w:val="00707592"/>
    <w:rsid w:val="0070788B"/>
    <w:rsid w:val="0071153A"/>
    <w:rsid w:val="00714323"/>
    <w:rsid w:val="007169B8"/>
    <w:rsid w:val="00734801"/>
    <w:rsid w:val="00735C87"/>
    <w:rsid w:val="007367DD"/>
    <w:rsid w:val="00745ED1"/>
    <w:rsid w:val="007475B5"/>
    <w:rsid w:val="007540EA"/>
    <w:rsid w:val="00760B89"/>
    <w:rsid w:val="00762E53"/>
    <w:rsid w:val="00764AB9"/>
    <w:rsid w:val="00774F4E"/>
    <w:rsid w:val="00777945"/>
    <w:rsid w:val="0078073F"/>
    <w:rsid w:val="007808C9"/>
    <w:rsid w:val="007840E0"/>
    <w:rsid w:val="00787208"/>
    <w:rsid w:val="00791210"/>
    <w:rsid w:val="007A364E"/>
    <w:rsid w:val="007A3EAC"/>
    <w:rsid w:val="007A4216"/>
    <w:rsid w:val="007A52B6"/>
    <w:rsid w:val="007B1CB8"/>
    <w:rsid w:val="007B4367"/>
    <w:rsid w:val="007B44BA"/>
    <w:rsid w:val="007B5CEB"/>
    <w:rsid w:val="007C0C54"/>
    <w:rsid w:val="007C30D8"/>
    <w:rsid w:val="007D6F88"/>
    <w:rsid w:val="007E4D4C"/>
    <w:rsid w:val="007E7681"/>
    <w:rsid w:val="007F691F"/>
    <w:rsid w:val="007F6A80"/>
    <w:rsid w:val="007F71A2"/>
    <w:rsid w:val="0081265F"/>
    <w:rsid w:val="00812BDA"/>
    <w:rsid w:val="0081315D"/>
    <w:rsid w:val="0082073F"/>
    <w:rsid w:val="008207DF"/>
    <w:rsid w:val="00822A11"/>
    <w:rsid w:val="00824390"/>
    <w:rsid w:val="00831E77"/>
    <w:rsid w:val="008335FC"/>
    <w:rsid w:val="00833A0F"/>
    <w:rsid w:val="008344C0"/>
    <w:rsid w:val="00835B9E"/>
    <w:rsid w:val="00840395"/>
    <w:rsid w:val="00840AC4"/>
    <w:rsid w:val="008419D9"/>
    <w:rsid w:val="0084308A"/>
    <w:rsid w:val="008439AF"/>
    <w:rsid w:val="00844A3E"/>
    <w:rsid w:val="00846239"/>
    <w:rsid w:val="008534A9"/>
    <w:rsid w:val="00853E59"/>
    <w:rsid w:val="0085653B"/>
    <w:rsid w:val="008571D2"/>
    <w:rsid w:val="008721AD"/>
    <w:rsid w:val="00872662"/>
    <w:rsid w:val="008748E8"/>
    <w:rsid w:val="008765B0"/>
    <w:rsid w:val="00876BC9"/>
    <w:rsid w:val="008815BA"/>
    <w:rsid w:val="00886614"/>
    <w:rsid w:val="00887468"/>
    <w:rsid w:val="00890578"/>
    <w:rsid w:val="008908EA"/>
    <w:rsid w:val="00892B14"/>
    <w:rsid w:val="00892C1D"/>
    <w:rsid w:val="008A4D39"/>
    <w:rsid w:val="008A526A"/>
    <w:rsid w:val="008A65CC"/>
    <w:rsid w:val="008A67A7"/>
    <w:rsid w:val="008A693A"/>
    <w:rsid w:val="008A75DB"/>
    <w:rsid w:val="008B1CE6"/>
    <w:rsid w:val="008B3CCE"/>
    <w:rsid w:val="008B44DA"/>
    <w:rsid w:val="008B59F4"/>
    <w:rsid w:val="008B6636"/>
    <w:rsid w:val="008B762C"/>
    <w:rsid w:val="008C1FE9"/>
    <w:rsid w:val="008C6F6A"/>
    <w:rsid w:val="008D1636"/>
    <w:rsid w:val="008D35A9"/>
    <w:rsid w:val="008D63C9"/>
    <w:rsid w:val="008E0082"/>
    <w:rsid w:val="008E1135"/>
    <w:rsid w:val="008E411C"/>
    <w:rsid w:val="008E65E6"/>
    <w:rsid w:val="008E7169"/>
    <w:rsid w:val="008F0784"/>
    <w:rsid w:val="008F5138"/>
    <w:rsid w:val="008F62FA"/>
    <w:rsid w:val="00900CA5"/>
    <w:rsid w:val="00901560"/>
    <w:rsid w:val="00905DD3"/>
    <w:rsid w:val="00906D1C"/>
    <w:rsid w:val="00910022"/>
    <w:rsid w:val="009100E3"/>
    <w:rsid w:val="0091091E"/>
    <w:rsid w:val="00915011"/>
    <w:rsid w:val="00917DCA"/>
    <w:rsid w:val="00923AA2"/>
    <w:rsid w:val="00923C50"/>
    <w:rsid w:val="009259E5"/>
    <w:rsid w:val="009262BD"/>
    <w:rsid w:val="00930231"/>
    <w:rsid w:val="009311D3"/>
    <w:rsid w:val="009313DB"/>
    <w:rsid w:val="009313EF"/>
    <w:rsid w:val="00931F5A"/>
    <w:rsid w:val="00937FA3"/>
    <w:rsid w:val="00940232"/>
    <w:rsid w:val="009417A0"/>
    <w:rsid w:val="00942DFF"/>
    <w:rsid w:val="00950E2B"/>
    <w:rsid w:val="009524F9"/>
    <w:rsid w:val="0095259D"/>
    <w:rsid w:val="00953274"/>
    <w:rsid w:val="00953C93"/>
    <w:rsid w:val="00953CBE"/>
    <w:rsid w:val="00954600"/>
    <w:rsid w:val="00960BDA"/>
    <w:rsid w:val="00961EE2"/>
    <w:rsid w:val="009621D0"/>
    <w:rsid w:val="00964AAD"/>
    <w:rsid w:val="0096791D"/>
    <w:rsid w:val="00970123"/>
    <w:rsid w:val="00975922"/>
    <w:rsid w:val="0097607E"/>
    <w:rsid w:val="00976746"/>
    <w:rsid w:val="00980192"/>
    <w:rsid w:val="00987DE3"/>
    <w:rsid w:val="00992EE6"/>
    <w:rsid w:val="0099622B"/>
    <w:rsid w:val="00997E86"/>
    <w:rsid w:val="009B0B95"/>
    <w:rsid w:val="009B324D"/>
    <w:rsid w:val="009B4A01"/>
    <w:rsid w:val="009B68A6"/>
    <w:rsid w:val="009C3C9B"/>
    <w:rsid w:val="009C5ED7"/>
    <w:rsid w:val="009D0246"/>
    <w:rsid w:val="009D0345"/>
    <w:rsid w:val="009D6E94"/>
    <w:rsid w:val="009D6EC3"/>
    <w:rsid w:val="009E16AA"/>
    <w:rsid w:val="009E3325"/>
    <w:rsid w:val="009E4F6D"/>
    <w:rsid w:val="009F08E1"/>
    <w:rsid w:val="009F331F"/>
    <w:rsid w:val="009F57C0"/>
    <w:rsid w:val="00A00988"/>
    <w:rsid w:val="00A06108"/>
    <w:rsid w:val="00A10FA0"/>
    <w:rsid w:val="00A11184"/>
    <w:rsid w:val="00A11962"/>
    <w:rsid w:val="00A12AA0"/>
    <w:rsid w:val="00A16D37"/>
    <w:rsid w:val="00A225E3"/>
    <w:rsid w:val="00A259A0"/>
    <w:rsid w:val="00A27391"/>
    <w:rsid w:val="00A30ABB"/>
    <w:rsid w:val="00A324FF"/>
    <w:rsid w:val="00A356AA"/>
    <w:rsid w:val="00A44C77"/>
    <w:rsid w:val="00A5059C"/>
    <w:rsid w:val="00A509BE"/>
    <w:rsid w:val="00A53B6B"/>
    <w:rsid w:val="00A579C6"/>
    <w:rsid w:val="00A57DB9"/>
    <w:rsid w:val="00A62FA3"/>
    <w:rsid w:val="00A657C7"/>
    <w:rsid w:val="00A66DF8"/>
    <w:rsid w:val="00A67481"/>
    <w:rsid w:val="00A73156"/>
    <w:rsid w:val="00A767E9"/>
    <w:rsid w:val="00A80395"/>
    <w:rsid w:val="00A803DF"/>
    <w:rsid w:val="00A80B83"/>
    <w:rsid w:val="00A81E74"/>
    <w:rsid w:val="00A83EAC"/>
    <w:rsid w:val="00A86EC0"/>
    <w:rsid w:val="00A93E94"/>
    <w:rsid w:val="00A9633A"/>
    <w:rsid w:val="00AA14C3"/>
    <w:rsid w:val="00AA22DD"/>
    <w:rsid w:val="00AA23B1"/>
    <w:rsid w:val="00AA249F"/>
    <w:rsid w:val="00AA6605"/>
    <w:rsid w:val="00AB3E32"/>
    <w:rsid w:val="00AB4DE1"/>
    <w:rsid w:val="00AB557E"/>
    <w:rsid w:val="00AB6EBE"/>
    <w:rsid w:val="00AC0310"/>
    <w:rsid w:val="00AC3F73"/>
    <w:rsid w:val="00AC4B69"/>
    <w:rsid w:val="00AC632F"/>
    <w:rsid w:val="00AD1BDE"/>
    <w:rsid w:val="00AD24CE"/>
    <w:rsid w:val="00AD3173"/>
    <w:rsid w:val="00AD5153"/>
    <w:rsid w:val="00AD54C6"/>
    <w:rsid w:val="00AD58DF"/>
    <w:rsid w:val="00AD661E"/>
    <w:rsid w:val="00AE0FC4"/>
    <w:rsid w:val="00AE1D0A"/>
    <w:rsid w:val="00AE21C2"/>
    <w:rsid w:val="00AE2B74"/>
    <w:rsid w:val="00AE301A"/>
    <w:rsid w:val="00AE43B4"/>
    <w:rsid w:val="00AF1150"/>
    <w:rsid w:val="00AF1728"/>
    <w:rsid w:val="00AF2359"/>
    <w:rsid w:val="00AF47C2"/>
    <w:rsid w:val="00B02A42"/>
    <w:rsid w:val="00B02C3A"/>
    <w:rsid w:val="00B06832"/>
    <w:rsid w:val="00B11EC0"/>
    <w:rsid w:val="00B21ED8"/>
    <w:rsid w:val="00B26FA4"/>
    <w:rsid w:val="00B319EC"/>
    <w:rsid w:val="00B36415"/>
    <w:rsid w:val="00B37667"/>
    <w:rsid w:val="00B4334B"/>
    <w:rsid w:val="00B47086"/>
    <w:rsid w:val="00B47BBA"/>
    <w:rsid w:val="00B517CE"/>
    <w:rsid w:val="00B60CB6"/>
    <w:rsid w:val="00B60F75"/>
    <w:rsid w:val="00B6106A"/>
    <w:rsid w:val="00B61A60"/>
    <w:rsid w:val="00B62184"/>
    <w:rsid w:val="00B638E6"/>
    <w:rsid w:val="00B65EA9"/>
    <w:rsid w:val="00B70789"/>
    <w:rsid w:val="00B7250A"/>
    <w:rsid w:val="00B735FA"/>
    <w:rsid w:val="00B7597A"/>
    <w:rsid w:val="00B77F87"/>
    <w:rsid w:val="00B83DEA"/>
    <w:rsid w:val="00B85DB2"/>
    <w:rsid w:val="00B86C29"/>
    <w:rsid w:val="00B87E18"/>
    <w:rsid w:val="00B903D1"/>
    <w:rsid w:val="00B907E2"/>
    <w:rsid w:val="00B90DDC"/>
    <w:rsid w:val="00B92F33"/>
    <w:rsid w:val="00B95377"/>
    <w:rsid w:val="00B95452"/>
    <w:rsid w:val="00B95AF4"/>
    <w:rsid w:val="00B9723D"/>
    <w:rsid w:val="00B97295"/>
    <w:rsid w:val="00BA00DD"/>
    <w:rsid w:val="00BA27E7"/>
    <w:rsid w:val="00BA33F9"/>
    <w:rsid w:val="00BA7C76"/>
    <w:rsid w:val="00BB0BBE"/>
    <w:rsid w:val="00BB4DEF"/>
    <w:rsid w:val="00BB4E3F"/>
    <w:rsid w:val="00BB56AB"/>
    <w:rsid w:val="00BC5302"/>
    <w:rsid w:val="00BC5B41"/>
    <w:rsid w:val="00BC7845"/>
    <w:rsid w:val="00BD4DC5"/>
    <w:rsid w:val="00BD57B6"/>
    <w:rsid w:val="00BD5A3B"/>
    <w:rsid w:val="00BD5A6D"/>
    <w:rsid w:val="00BE0DA2"/>
    <w:rsid w:val="00BE4140"/>
    <w:rsid w:val="00BF5D7B"/>
    <w:rsid w:val="00BF6FFE"/>
    <w:rsid w:val="00BF7538"/>
    <w:rsid w:val="00C01FBA"/>
    <w:rsid w:val="00C062C4"/>
    <w:rsid w:val="00C0750B"/>
    <w:rsid w:val="00C07B2D"/>
    <w:rsid w:val="00C17BE7"/>
    <w:rsid w:val="00C21F82"/>
    <w:rsid w:val="00C23BC4"/>
    <w:rsid w:val="00C27FE4"/>
    <w:rsid w:val="00C349D1"/>
    <w:rsid w:val="00C35BA9"/>
    <w:rsid w:val="00C365D2"/>
    <w:rsid w:val="00C36B27"/>
    <w:rsid w:val="00C4264A"/>
    <w:rsid w:val="00C43A01"/>
    <w:rsid w:val="00C44F9E"/>
    <w:rsid w:val="00C45A84"/>
    <w:rsid w:val="00C46DD3"/>
    <w:rsid w:val="00C4712A"/>
    <w:rsid w:val="00C51B8F"/>
    <w:rsid w:val="00C54BE3"/>
    <w:rsid w:val="00C57D64"/>
    <w:rsid w:val="00C6199E"/>
    <w:rsid w:val="00C61B11"/>
    <w:rsid w:val="00C62C6D"/>
    <w:rsid w:val="00C64809"/>
    <w:rsid w:val="00C663A0"/>
    <w:rsid w:val="00C72724"/>
    <w:rsid w:val="00C72827"/>
    <w:rsid w:val="00C759FC"/>
    <w:rsid w:val="00C76DB9"/>
    <w:rsid w:val="00C81922"/>
    <w:rsid w:val="00C82242"/>
    <w:rsid w:val="00C84ED3"/>
    <w:rsid w:val="00C90265"/>
    <w:rsid w:val="00C93213"/>
    <w:rsid w:val="00C9510F"/>
    <w:rsid w:val="00C96478"/>
    <w:rsid w:val="00C96A14"/>
    <w:rsid w:val="00CB0D93"/>
    <w:rsid w:val="00CB3E70"/>
    <w:rsid w:val="00CB6026"/>
    <w:rsid w:val="00CB6F60"/>
    <w:rsid w:val="00CC37D9"/>
    <w:rsid w:val="00CC60AA"/>
    <w:rsid w:val="00CD361C"/>
    <w:rsid w:val="00CD47BE"/>
    <w:rsid w:val="00CD75E5"/>
    <w:rsid w:val="00CD7B4B"/>
    <w:rsid w:val="00CE119B"/>
    <w:rsid w:val="00CE6208"/>
    <w:rsid w:val="00CE622F"/>
    <w:rsid w:val="00CF18B5"/>
    <w:rsid w:val="00CF3A3D"/>
    <w:rsid w:val="00CF6B11"/>
    <w:rsid w:val="00D00669"/>
    <w:rsid w:val="00D02112"/>
    <w:rsid w:val="00D026D2"/>
    <w:rsid w:val="00D02EA7"/>
    <w:rsid w:val="00D03D4D"/>
    <w:rsid w:val="00D0452D"/>
    <w:rsid w:val="00D1003D"/>
    <w:rsid w:val="00D10B61"/>
    <w:rsid w:val="00D118A4"/>
    <w:rsid w:val="00D12735"/>
    <w:rsid w:val="00D15E6E"/>
    <w:rsid w:val="00D212E9"/>
    <w:rsid w:val="00D21ACA"/>
    <w:rsid w:val="00D2283E"/>
    <w:rsid w:val="00D236ED"/>
    <w:rsid w:val="00D42788"/>
    <w:rsid w:val="00D44110"/>
    <w:rsid w:val="00D503A5"/>
    <w:rsid w:val="00D52D70"/>
    <w:rsid w:val="00D52FFC"/>
    <w:rsid w:val="00D540CF"/>
    <w:rsid w:val="00D54A24"/>
    <w:rsid w:val="00D5585E"/>
    <w:rsid w:val="00D57406"/>
    <w:rsid w:val="00D57FC3"/>
    <w:rsid w:val="00D61222"/>
    <w:rsid w:val="00D62E44"/>
    <w:rsid w:val="00D6459E"/>
    <w:rsid w:val="00D646BB"/>
    <w:rsid w:val="00D66966"/>
    <w:rsid w:val="00D71CF1"/>
    <w:rsid w:val="00D71F33"/>
    <w:rsid w:val="00D73B43"/>
    <w:rsid w:val="00D749EF"/>
    <w:rsid w:val="00D80950"/>
    <w:rsid w:val="00D809B5"/>
    <w:rsid w:val="00D90EAA"/>
    <w:rsid w:val="00D91D94"/>
    <w:rsid w:val="00D92A24"/>
    <w:rsid w:val="00D92EFF"/>
    <w:rsid w:val="00D93AE9"/>
    <w:rsid w:val="00D9543E"/>
    <w:rsid w:val="00D95CA5"/>
    <w:rsid w:val="00D97E04"/>
    <w:rsid w:val="00DA030D"/>
    <w:rsid w:val="00DB180D"/>
    <w:rsid w:val="00DB48A0"/>
    <w:rsid w:val="00DC3453"/>
    <w:rsid w:val="00DC45B2"/>
    <w:rsid w:val="00DC5533"/>
    <w:rsid w:val="00DC6972"/>
    <w:rsid w:val="00DD0917"/>
    <w:rsid w:val="00DD60DB"/>
    <w:rsid w:val="00DD7650"/>
    <w:rsid w:val="00DE00B4"/>
    <w:rsid w:val="00DE15FC"/>
    <w:rsid w:val="00DE33C4"/>
    <w:rsid w:val="00DE48F9"/>
    <w:rsid w:val="00DE491F"/>
    <w:rsid w:val="00DE7F7E"/>
    <w:rsid w:val="00DF25B4"/>
    <w:rsid w:val="00DF29CC"/>
    <w:rsid w:val="00DF5ED4"/>
    <w:rsid w:val="00E01DD2"/>
    <w:rsid w:val="00E13077"/>
    <w:rsid w:val="00E150D3"/>
    <w:rsid w:val="00E20B73"/>
    <w:rsid w:val="00E25456"/>
    <w:rsid w:val="00E25A6D"/>
    <w:rsid w:val="00E27A51"/>
    <w:rsid w:val="00E338EB"/>
    <w:rsid w:val="00E378EA"/>
    <w:rsid w:val="00E4069B"/>
    <w:rsid w:val="00E4351B"/>
    <w:rsid w:val="00E45E36"/>
    <w:rsid w:val="00E47314"/>
    <w:rsid w:val="00E569AF"/>
    <w:rsid w:val="00E57AF3"/>
    <w:rsid w:val="00E606BD"/>
    <w:rsid w:val="00E61188"/>
    <w:rsid w:val="00E63A9D"/>
    <w:rsid w:val="00E6717F"/>
    <w:rsid w:val="00E809AF"/>
    <w:rsid w:val="00E8616C"/>
    <w:rsid w:val="00E913C5"/>
    <w:rsid w:val="00E91B89"/>
    <w:rsid w:val="00E9349B"/>
    <w:rsid w:val="00E95C76"/>
    <w:rsid w:val="00E96430"/>
    <w:rsid w:val="00E971F2"/>
    <w:rsid w:val="00EA6B49"/>
    <w:rsid w:val="00EA6CD3"/>
    <w:rsid w:val="00EB20D7"/>
    <w:rsid w:val="00EE1C46"/>
    <w:rsid w:val="00EE3771"/>
    <w:rsid w:val="00EE4077"/>
    <w:rsid w:val="00EE6A73"/>
    <w:rsid w:val="00EF0890"/>
    <w:rsid w:val="00EF20EE"/>
    <w:rsid w:val="00EF42A4"/>
    <w:rsid w:val="00EF6205"/>
    <w:rsid w:val="00EF6F78"/>
    <w:rsid w:val="00F01355"/>
    <w:rsid w:val="00F07E38"/>
    <w:rsid w:val="00F12D8A"/>
    <w:rsid w:val="00F154DE"/>
    <w:rsid w:val="00F17D93"/>
    <w:rsid w:val="00F25B88"/>
    <w:rsid w:val="00F33B9D"/>
    <w:rsid w:val="00F378B3"/>
    <w:rsid w:val="00F413F6"/>
    <w:rsid w:val="00F45553"/>
    <w:rsid w:val="00F46677"/>
    <w:rsid w:val="00F51CB7"/>
    <w:rsid w:val="00F556C4"/>
    <w:rsid w:val="00F57D7B"/>
    <w:rsid w:val="00F60290"/>
    <w:rsid w:val="00F62C99"/>
    <w:rsid w:val="00F76C67"/>
    <w:rsid w:val="00F806D4"/>
    <w:rsid w:val="00F81639"/>
    <w:rsid w:val="00F823C4"/>
    <w:rsid w:val="00F85FB0"/>
    <w:rsid w:val="00F90A8C"/>
    <w:rsid w:val="00F91C16"/>
    <w:rsid w:val="00F94660"/>
    <w:rsid w:val="00F9481D"/>
    <w:rsid w:val="00F95327"/>
    <w:rsid w:val="00FA3CD5"/>
    <w:rsid w:val="00FA6F76"/>
    <w:rsid w:val="00FC624C"/>
    <w:rsid w:val="00FC72A3"/>
    <w:rsid w:val="00FD3950"/>
    <w:rsid w:val="00FD794B"/>
    <w:rsid w:val="00FE0EE7"/>
    <w:rsid w:val="00FE3FE0"/>
    <w:rsid w:val="00FE52F6"/>
    <w:rsid w:val="00FE71EB"/>
    <w:rsid w:val="00FE73D2"/>
    <w:rsid w:val="00FF38D4"/>
    <w:rsid w:val="00FF41AC"/>
    <w:rsid w:val="00FF47A2"/>
    <w:rsid w:val="00FF4E41"/>
    <w:rsid w:val="00FF5820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"/>
    <o:shapelayout v:ext="edit">
      <o:idmap v:ext="edit" data="1"/>
    </o:shapelayout>
  </w:shapeDefaults>
  <w:decimalSymbol w:val=","/>
  <w:listSeparator w:val=";"/>
  <w15:docId w15:val="{9BAAB743-09CD-45FE-A0C4-9E7D7AD8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60"/>
    <w:rPr>
      <w:sz w:val="24"/>
      <w:szCs w:val="24"/>
    </w:rPr>
  </w:style>
  <w:style w:type="paragraph" w:styleId="10">
    <w:name w:val="heading 1"/>
    <w:aliases w:val="111,Заголовок параграфа (1.),Section,Section Heading,level2 hdg"/>
    <w:basedOn w:val="a"/>
    <w:next w:val="a"/>
    <w:autoRedefine/>
    <w:qFormat/>
    <w:rsid w:val="00157860"/>
    <w:pPr>
      <w:keepNext/>
      <w:outlineLvl w:val="0"/>
    </w:pPr>
    <w:rPr>
      <w:rFonts w:ascii="Garamond" w:hAnsi="Garamond" w:cs="Arial"/>
      <w:b/>
      <w:bCs/>
      <w:sz w:val="28"/>
      <w:szCs w:val="28"/>
      <w:u w:val="single"/>
    </w:rPr>
  </w:style>
  <w:style w:type="paragraph" w:styleId="20">
    <w:name w:val="heading 2"/>
    <w:aliases w:val="222,Заголовок пункта (1.1),h2,h21,5,Reset numbering"/>
    <w:basedOn w:val="a"/>
    <w:next w:val="a"/>
    <w:autoRedefine/>
    <w:qFormat/>
    <w:rsid w:val="00A803DF"/>
    <w:pPr>
      <w:widowControl w:val="0"/>
      <w:jc w:val="center"/>
      <w:outlineLvl w:val="1"/>
    </w:pPr>
    <w:rPr>
      <w:b/>
      <w:bCs/>
      <w:spacing w:val="-10"/>
      <w:sz w:val="26"/>
      <w:szCs w:val="26"/>
    </w:rPr>
  </w:style>
  <w:style w:type="paragraph" w:styleId="3">
    <w:name w:val="heading 3"/>
    <w:aliases w:val="H3,Level 1 - 1,Заголовок подпукта (1.1.1),o"/>
    <w:basedOn w:val="a"/>
    <w:next w:val="a"/>
    <w:link w:val="30"/>
    <w:qFormat/>
    <w:rsid w:val="00157860"/>
    <w:pPr>
      <w:keepNext/>
      <w:numPr>
        <w:ilvl w:val="2"/>
        <w:numId w:val="3"/>
      </w:numPr>
      <w:jc w:val="both"/>
      <w:outlineLvl w:val="2"/>
    </w:pPr>
    <w:rPr>
      <w:b/>
      <w:bCs/>
      <w:iCs/>
      <w:sz w:val="20"/>
      <w:szCs w:val="20"/>
    </w:rPr>
  </w:style>
  <w:style w:type="paragraph" w:styleId="40">
    <w:name w:val="heading 4"/>
    <w:aliases w:val="Sub-Minor,Level 2 - a,H4,H41"/>
    <w:basedOn w:val="a"/>
    <w:link w:val="41"/>
    <w:qFormat/>
    <w:rsid w:val="00157860"/>
    <w:pPr>
      <w:numPr>
        <w:ilvl w:val="3"/>
        <w:numId w:val="3"/>
      </w:numPr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aliases w:val="h5,h51,H5,H51,h52,test,Block Label,Level 3 - i"/>
    <w:basedOn w:val="a"/>
    <w:link w:val="50"/>
    <w:qFormat/>
    <w:rsid w:val="00157860"/>
    <w:pPr>
      <w:numPr>
        <w:ilvl w:val="4"/>
        <w:numId w:val="3"/>
      </w:numPr>
      <w:spacing w:before="120" w:after="120"/>
      <w:jc w:val="both"/>
      <w:outlineLvl w:val="4"/>
    </w:pPr>
    <w:rPr>
      <w:sz w:val="22"/>
      <w:szCs w:val="20"/>
      <w:lang w:eastAsia="en-US"/>
    </w:rPr>
  </w:style>
  <w:style w:type="paragraph" w:styleId="6">
    <w:name w:val="heading 6"/>
    <w:aliases w:val="Legal Level 1."/>
    <w:basedOn w:val="a"/>
    <w:next w:val="5"/>
    <w:qFormat/>
    <w:rsid w:val="00157860"/>
    <w:pPr>
      <w:numPr>
        <w:ilvl w:val="5"/>
        <w:numId w:val="3"/>
      </w:num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"/>
    <w:next w:val="a"/>
    <w:link w:val="70"/>
    <w:qFormat/>
    <w:rsid w:val="00157860"/>
    <w:pPr>
      <w:numPr>
        <w:ilvl w:val="6"/>
        <w:numId w:val="3"/>
      </w:numPr>
      <w:spacing w:before="180" w:after="240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"/>
    <w:next w:val="a"/>
    <w:qFormat/>
    <w:rsid w:val="00157860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"/>
    <w:next w:val="a"/>
    <w:qFormat/>
    <w:rsid w:val="00157860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157860"/>
    <w:pPr>
      <w:spacing w:before="120"/>
      <w:ind w:firstLine="720"/>
      <w:jc w:val="both"/>
    </w:pPr>
    <w:rPr>
      <w:rFonts w:ascii="Garamond" w:hAnsi="Garamond"/>
      <w:i/>
      <w:iCs/>
      <w:sz w:val="22"/>
      <w:szCs w:val="20"/>
      <w:lang w:eastAsia="en-US"/>
    </w:rPr>
  </w:style>
  <w:style w:type="paragraph" w:styleId="22">
    <w:name w:val="Body Text 2"/>
    <w:basedOn w:val="a"/>
    <w:rsid w:val="00157860"/>
    <w:rPr>
      <w:sz w:val="20"/>
    </w:rPr>
  </w:style>
  <w:style w:type="paragraph" w:styleId="a3">
    <w:name w:val="Body Text Indent"/>
    <w:basedOn w:val="a"/>
    <w:rsid w:val="00157860"/>
    <w:pPr>
      <w:spacing w:after="120"/>
      <w:ind w:left="283"/>
    </w:pPr>
  </w:style>
  <w:style w:type="paragraph" w:customStyle="1" w:styleId="a4">
    <w:name w:val="Обычный без отступа по центру"/>
    <w:basedOn w:val="a"/>
    <w:rsid w:val="00157860"/>
    <w:pPr>
      <w:spacing w:line="360" w:lineRule="auto"/>
      <w:jc w:val="center"/>
    </w:pPr>
    <w:rPr>
      <w:rFonts w:ascii="Arial" w:hAnsi="Arial"/>
      <w:bCs/>
      <w:szCs w:val="36"/>
    </w:rPr>
  </w:style>
  <w:style w:type="paragraph" w:styleId="2">
    <w:name w:val="List Number 2"/>
    <w:basedOn w:val="a"/>
    <w:rsid w:val="00157860"/>
    <w:pPr>
      <w:keepNext/>
      <w:keepLines/>
      <w:numPr>
        <w:numId w:val="1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styleId="31">
    <w:name w:val="Body Text 3"/>
    <w:basedOn w:val="a"/>
    <w:rsid w:val="00157860"/>
    <w:pPr>
      <w:spacing w:after="120"/>
    </w:pPr>
    <w:rPr>
      <w:sz w:val="16"/>
      <w:szCs w:val="16"/>
    </w:rPr>
  </w:style>
  <w:style w:type="paragraph" w:styleId="a5">
    <w:name w:val="Body Text"/>
    <w:aliases w:val="body text"/>
    <w:basedOn w:val="a"/>
    <w:rsid w:val="00157860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15786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57860"/>
  </w:style>
  <w:style w:type="paragraph" w:styleId="a9">
    <w:name w:val="header"/>
    <w:basedOn w:val="a"/>
    <w:rsid w:val="00157860"/>
    <w:pPr>
      <w:tabs>
        <w:tab w:val="center" w:pos="4677"/>
        <w:tab w:val="right" w:pos="9355"/>
      </w:tabs>
    </w:pPr>
  </w:style>
  <w:style w:type="paragraph" w:customStyle="1" w:styleId="Handbuchtitel">
    <w:name w:val="Handbuchtitel"/>
    <w:basedOn w:val="a"/>
    <w:rsid w:val="00157860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"/>
    <w:rsid w:val="00157860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styleId="aa">
    <w:name w:val="footnote text"/>
    <w:basedOn w:val="a"/>
    <w:semiHidden/>
    <w:rsid w:val="00157860"/>
    <w:pPr>
      <w:spacing w:before="120"/>
    </w:pPr>
    <w:rPr>
      <w:rFonts w:ascii="Garamond" w:hAnsi="Garamond"/>
      <w:sz w:val="20"/>
      <w:szCs w:val="20"/>
    </w:rPr>
  </w:style>
  <w:style w:type="character" w:styleId="ab">
    <w:name w:val="footnote reference"/>
    <w:semiHidden/>
    <w:rsid w:val="00157860"/>
    <w:rPr>
      <w:vertAlign w:val="superscript"/>
    </w:rPr>
  </w:style>
  <w:style w:type="paragraph" w:customStyle="1" w:styleId="1">
    <w:name w:val="Заголовок 1. Предложения"/>
    <w:aliases w:val="связанные"/>
    <w:basedOn w:val="10"/>
    <w:autoRedefine/>
    <w:rsid w:val="00157860"/>
    <w:pPr>
      <w:numPr>
        <w:numId w:val="2"/>
      </w:numPr>
    </w:pPr>
    <w:rPr>
      <w:rFonts w:ascii="Arial" w:hAnsi="Arial"/>
    </w:rPr>
  </w:style>
  <w:style w:type="character" w:styleId="ac">
    <w:name w:val="Hyperlink"/>
    <w:rsid w:val="00157860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157860"/>
    <w:pPr>
      <w:tabs>
        <w:tab w:val="left" w:pos="480"/>
        <w:tab w:val="right" w:leader="dot" w:pos="14560"/>
      </w:tabs>
    </w:pPr>
    <w:rPr>
      <w:rFonts w:ascii="Arial" w:hAnsi="Arial" w:cs="Arial"/>
      <w:noProof/>
    </w:rPr>
  </w:style>
  <w:style w:type="paragraph" w:styleId="23">
    <w:name w:val="toc 2"/>
    <w:basedOn w:val="a"/>
    <w:next w:val="a"/>
    <w:autoRedefine/>
    <w:semiHidden/>
    <w:rsid w:val="00157860"/>
    <w:pPr>
      <w:tabs>
        <w:tab w:val="left" w:pos="960"/>
        <w:tab w:val="right" w:leader="dot" w:pos="14220"/>
      </w:tabs>
      <w:ind w:left="240"/>
    </w:pPr>
  </w:style>
  <w:style w:type="paragraph" w:styleId="ad">
    <w:name w:val="Title"/>
    <w:basedOn w:val="a"/>
    <w:qFormat/>
    <w:rsid w:val="00157860"/>
    <w:pPr>
      <w:jc w:val="center"/>
    </w:pPr>
    <w:rPr>
      <w:b/>
      <w:bCs/>
      <w:sz w:val="28"/>
    </w:rPr>
  </w:style>
  <w:style w:type="paragraph" w:customStyle="1" w:styleId="subclauseindent">
    <w:name w:val="subclauseindent"/>
    <w:basedOn w:val="a"/>
    <w:rsid w:val="00157860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Simple">
    <w:name w:val="Simple"/>
    <w:basedOn w:val="a"/>
    <w:rsid w:val="00157860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Normal1">
    <w:name w:val="Normal1"/>
    <w:uiPriority w:val="99"/>
    <w:rsid w:val="00157860"/>
    <w:pPr>
      <w:autoSpaceDE w:val="0"/>
      <w:autoSpaceDN w:val="0"/>
      <w:jc w:val="both"/>
    </w:pPr>
    <w:rPr>
      <w:rFonts w:ascii="Arial" w:hAnsi="Arial" w:cs="Arial"/>
      <w:lang w:val="en-US" w:eastAsia="en-US"/>
    </w:rPr>
  </w:style>
  <w:style w:type="paragraph" w:customStyle="1" w:styleId="xl26">
    <w:name w:val="xl26"/>
    <w:basedOn w:val="a"/>
    <w:rsid w:val="0015786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</w:rPr>
  </w:style>
  <w:style w:type="paragraph" w:styleId="ae">
    <w:name w:val="Balloon Text"/>
    <w:basedOn w:val="a"/>
    <w:semiHidden/>
    <w:rsid w:val="00157860"/>
    <w:rPr>
      <w:rFonts w:ascii="Tahoma" w:hAnsi="Tahoma" w:cs="Tahoma"/>
      <w:sz w:val="16"/>
      <w:szCs w:val="16"/>
    </w:rPr>
  </w:style>
  <w:style w:type="paragraph" w:customStyle="1" w:styleId="af">
    <w:name w:val="Обычный текст"/>
    <w:basedOn w:val="a"/>
    <w:rsid w:val="00157860"/>
    <w:pPr>
      <w:ind w:firstLine="425"/>
    </w:pPr>
    <w:rPr>
      <w:rFonts w:eastAsia="Arial Unicode MS"/>
    </w:rPr>
  </w:style>
  <w:style w:type="paragraph" w:customStyle="1" w:styleId="af0">
    <w:name w:val="Знак"/>
    <w:basedOn w:val="a"/>
    <w:rsid w:val="00157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15786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">
    <w:name w:val="body text Знак Знак"/>
    <w:rsid w:val="00157860"/>
    <w:rPr>
      <w:sz w:val="24"/>
      <w:lang w:val="ru-RU" w:eastAsia="ru-RU" w:bidi="ar-SA"/>
    </w:rPr>
  </w:style>
  <w:style w:type="character" w:styleId="af2">
    <w:name w:val="FollowedHyperlink"/>
    <w:rsid w:val="00157860"/>
    <w:rPr>
      <w:color w:val="800080"/>
      <w:u w:val="single"/>
    </w:rPr>
  </w:style>
  <w:style w:type="paragraph" w:customStyle="1" w:styleId="BodyText212">
    <w:name w:val="Body Text 212"/>
    <w:basedOn w:val="a"/>
    <w:rsid w:val="00E606BD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styleId="af3">
    <w:name w:val="annotation text"/>
    <w:basedOn w:val="a"/>
    <w:link w:val="af4"/>
    <w:uiPriority w:val="99"/>
    <w:semiHidden/>
    <w:rsid w:val="00D03D4D"/>
    <w:pPr>
      <w:spacing w:line="360" w:lineRule="auto"/>
    </w:pPr>
    <w:rPr>
      <w:sz w:val="20"/>
      <w:szCs w:val="20"/>
    </w:rPr>
  </w:style>
  <w:style w:type="character" w:styleId="af5">
    <w:name w:val="annotation reference"/>
    <w:uiPriority w:val="99"/>
    <w:semiHidden/>
    <w:rsid w:val="00D03D4D"/>
    <w:rPr>
      <w:sz w:val="16"/>
      <w:szCs w:val="16"/>
    </w:rPr>
  </w:style>
  <w:style w:type="paragraph" w:customStyle="1" w:styleId="af6">
    <w:name w:val="Знак Знак Знак Знак"/>
    <w:basedOn w:val="a"/>
    <w:rsid w:val="004C25F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093B1B"/>
    <w:pPr>
      <w:ind w:left="720"/>
      <w:contextualSpacing/>
    </w:pPr>
    <w:rPr>
      <w:rFonts w:eastAsia="SimSun"/>
    </w:rPr>
  </w:style>
  <w:style w:type="character" w:customStyle="1" w:styleId="a7">
    <w:name w:val="Нижний колонтитул Знак"/>
    <w:link w:val="a6"/>
    <w:uiPriority w:val="99"/>
    <w:rsid w:val="003F4B3F"/>
    <w:rPr>
      <w:sz w:val="24"/>
      <w:szCs w:val="24"/>
    </w:rPr>
  </w:style>
  <w:style w:type="paragraph" w:customStyle="1" w:styleId="ConsNormal">
    <w:name w:val="ConsNormal"/>
    <w:rsid w:val="007A36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AF235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annotation subject"/>
    <w:basedOn w:val="af3"/>
    <w:next w:val="af3"/>
    <w:link w:val="af9"/>
    <w:rsid w:val="00422BF0"/>
    <w:pPr>
      <w:spacing w:line="240" w:lineRule="auto"/>
    </w:pPr>
    <w:rPr>
      <w:b/>
      <w:bCs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22BF0"/>
  </w:style>
  <w:style w:type="character" w:customStyle="1" w:styleId="af9">
    <w:name w:val="Тема примечания Знак"/>
    <w:link w:val="af8"/>
    <w:rsid w:val="00422BF0"/>
    <w:rPr>
      <w:b/>
      <w:bCs/>
    </w:rPr>
  </w:style>
  <w:style w:type="paragraph" w:customStyle="1" w:styleId="subsubclauseindent">
    <w:name w:val="subsubclauseindent"/>
    <w:basedOn w:val="a"/>
    <w:uiPriority w:val="99"/>
    <w:rsid w:val="00CD361C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character" w:customStyle="1" w:styleId="30">
    <w:name w:val="Заголовок 3 Знак"/>
    <w:aliases w:val="H3 Знак,Level 1 - 1 Знак,Заголовок подпукта (1.1.1) Знак,o Знак"/>
    <w:link w:val="3"/>
    <w:rsid w:val="0047096A"/>
    <w:rPr>
      <w:b/>
      <w:bCs/>
      <w:iCs/>
      <w:lang w:val="ru-RU" w:eastAsia="ru-RU"/>
    </w:rPr>
  </w:style>
  <w:style w:type="paragraph" w:customStyle="1" w:styleId="afa">
    <w:name w:val="Базовый"/>
    <w:rsid w:val="00833A0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Plain Text"/>
    <w:basedOn w:val="a"/>
    <w:link w:val="afc"/>
    <w:uiPriority w:val="99"/>
    <w:rsid w:val="00272C87"/>
    <w:pPr>
      <w:spacing w:before="120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link w:val="afb"/>
    <w:uiPriority w:val="99"/>
    <w:rsid w:val="00272C87"/>
    <w:rPr>
      <w:rFonts w:ascii="Courier New" w:hAnsi="Courier New"/>
      <w:lang w:val="ru-RU" w:eastAsia="ru-RU"/>
    </w:rPr>
  </w:style>
  <w:style w:type="paragraph" w:styleId="4">
    <w:name w:val="List Number 4"/>
    <w:basedOn w:val="a"/>
    <w:rsid w:val="00087E80"/>
    <w:pPr>
      <w:numPr>
        <w:numId w:val="34"/>
      </w:numPr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41">
    <w:name w:val="Заголовок 4 Знак"/>
    <w:aliases w:val="Sub-Minor Знак,Level 2 - a Знак,H4 Знак,H41 Знак"/>
    <w:link w:val="40"/>
    <w:rsid w:val="009313EF"/>
    <w:rPr>
      <w:sz w:val="22"/>
      <w:lang w:eastAsia="en-US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link w:val="5"/>
    <w:rsid w:val="009313EF"/>
    <w:rPr>
      <w:sz w:val="22"/>
      <w:lang w:eastAsia="en-US"/>
    </w:rPr>
  </w:style>
  <w:style w:type="character" w:customStyle="1" w:styleId="70">
    <w:name w:val="Заголовок 7 Знак"/>
    <w:aliases w:val="Appendix Header Знак,Legal Level 1.1. Знак"/>
    <w:link w:val="7"/>
    <w:rsid w:val="008571D2"/>
    <w:rPr>
      <w:rFonts w:ascii="Garamond" w:hAnsi="Garamond"/>
      <w:sz w:val="22"/>
      <w:lang w:val="en-GB" w:eastAsia="en-US"/>
    </w:rPr>
  </w:style>
  <w:style w:type="paragraph" w:customStyle="1" w:styleId="Titel12-Punkt-Demi">
    <w:name w:val="Titel 12-Punkt-Demi"/>
    <w:basedOn w:val="a9"/>
    <w:uiPriority w:val="99"/>
    <w:rsid w:val="00317831"/>
    <w:pPr>
      <w:tabs>
        <w:tab w:val="clear" w:pos="4677"/>
        <w:tab w:val="clear" w:pos="9355"/>
        <w:tab w:val="center" w:pos="4536"/>
        <w:tab w:val="right" w:pos="9072"/>
      </w:tabs>
      <w:spacing w:before="120" w:line="312" w:lineRule="exact"/>
    </w:pPr>
    <w:rPr>
      <w:rFonts w:ascii="NewsGoth Dm BT" w:hAnsi="NewsGoth Dm BT"/>
      <w:szCs w:val="20"/>
      <w:lang w:val="de-DE"/>
    </w:rPr>
  </w:style>
  <w:style w:type="paragraph" w:styleId="afd">
    <w:name w:val="caption"/>
    <w:basedOn w:val="a"/>
    <w:qFormat/>
    <w:rsid w:val="00C62C6D"/>
    <w:pPr>
      <w:widowControl w:val="0"/>
      <w:jc w:val="center"/>
    </w:pPr>
    <w:rPr>
      <w:szCs w:val="20"/>
    </w:rPr>
  </w:style>
  <w:style w:type="paragraph" w:customStyle="1" w:styleId="24">
    <w:name w:val="Абзац списка2"/>
    <w:basedOn w:val="a"/>
    <w:uiPriority w:val="99"/>
    <w:rsid w:val="00A9633A"/>
    <w:pPr>
      <w:autoSpaceDE w:val="0"/>
      <w:autoSpaceDN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46.wmf"/><Relationship Id="rId21" Type="http://schemas.openxmlformats.org/officeDocument/2006/relationships/image" Target="media/image6.wmf"/><Relationship Id="rId42" Type="http://schemas.openxmlformats.org/officeDocument/2006/relationships/oleObject" Target="embeddings/oleObject22.bin"/><Relationship Id="rId47" Type="http://schemas.openxmlformats.org/officeDocument/2006/relationships/image" Target="media/image17.wmf"/><Relationship Id="rId63" Type="http://schemas.openxmlformats.org/officeDocument/2006/relationships/image" Target="media/image22.wmf"/><Relationship Id="rId68" Type="http://schemas.openxmlformats.org/officeDocument/2006/relationships/oleObject" Target="embeddings/oleObject38.bin"/><Relationship Id="rId84" Type="http://schemas.openxmlformats.org/officeDocument/2006/relationships/oleObject" Target="embeddings/oleObject46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3.bin"/><Relationship Id="rId133" Type="http://schemas.openxmlformats.org/officeDocument/2006/relationships/image" Target="media/image53.wmf"/><Relationship Id="rId138" Type="http://schemas.openxmlformats.org/officeDocument/2006/relationships/oleObject" Target="embeddings/oleObject78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53" Type="http://schemas.openxmlformats.org/officeDocument/2006/relationships/oleObject" Target="embeddings/oleObject29.bin"/><Relationship Id="rId58" Type="http://schemas.openxmlformats.org/officeDocument/2006/relationships/oleObject" Target="embeddings/oleObject32.bin"/><Relationship Id="rId74" Type="http://schemas.openxmlformats.org/officeDocument/2006/relationships/oleObject" Target="embeddings/oleObject41.bin"/><Relationship Id="rId79" Type="http://schemas.openxmlformats.org/officeDocument/2006/relationships/image" Target="media/image30.wmf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9.bin"/><Relationship Id="rId128" Type="http://schemas.openxmlformats.org/officeDocument/2006/relationships/oleObject" Target="embeddings/oleObject72.bin"/><Relationship Id="rId144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oleObject" Target="embeddings/oleObject49.bin"/><Relationship Id="rId95" Type="http://schemas.openxmlformats.org/officeDocument/2006/relationships/image" Target="media/image38.wmf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5.bin"/><Relationship Id="rId64" Type="http://schemas.openxmlformats.org/officeDocument/2006/relationships/oleObject" Target="embeddings/oleObject36.bin"/><Relationship Id="rId69" Type="http://schemas.openxmlformats.org/officeDocument/2006/relationships/image" Target="media/image25.wmf"/><Relationship Id="rId113" Type="http://schemas.openxmlformats.org/officeDocument/2006/relationships/image" Target="media/image44.wmf"/><Relationship Id="rId118" Type="http://schemas.openxmlformats.org/officeDocument/2006/relationships/oleObject" Target="embeddings/oleObject66.bin"/><Relationship Id="rId134" Type="http://schemas.openxmlformats.org/officeDocument/2006/relationships/oleObject" Target="embeddings/oleObject75.bin"/><Relationship Id="rId139" Type="http://schemas.openxmlformats.org/officeDocument/2006/relationships/image" Target="media/image55.wmf"/><Relationship Id="rId80" Type="http://schemas.openxmlformats.org/officeDocument/2006/relationships/oleObject" Target="embeddings/oleObject44.bin"/><Relationship Id="rId85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4.bin"/><Relationship Id="rId59" Type="http://schemas.openxmlformats.org/officeDocument/2006/relationships/image" Target="media/image21.wmf"/><Relationship Id="rId67" Type="http://schemas.openxmlformats.org/officeDocument/2006/relationships/image" Target="media/image24.wmf"/><Relationship Id="rId103" Type="http://schemas.openxmlformats.org/officeDocument/2006/relationships/image" Target="media/image42.wmf"/><Relationship Id="rId108" Type="http://schemas.openxmlformats.org/officeDocument/2006/relationships/oleObject" Target="embeddings/oleObject60.bin"/><Relationship Id="rId116" Type="http://schemas.openxmlformats.org/officeDocument/2006/relationships/oleObject" Target="embeddings/oleObject65.bin"/><Relationship Id="rId124" Type="http://schemas.openxmlformats.org/officeDocument/2006/relationships/oleObject" Target="embeddings/oleObject70.bin"/><Relationship Id="rId129" Type="http://schemas.openxmlformats.org/officeDocument/2006/relationships/image" Target="media/image51.wmf"/><Relationship Id="rId137" Type="http://schemas.openxmlformats.org/officeDocument/2006/relationships/oleObject" Target="embeddings/oleObject77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5.bin"/><Relationship Id="rId70" Type="http://schemas.openxmlformats.org/officeDocument/2006/relationships/oleObject" Target="embeddings/oleObject39.bin"/><Relationship Id="rId75" Type="http://schemas.openxmlformats.org/officeDocument/2006/relationships/image" Target="media/image28.wmf"/><Relationship Id="rId83" Type="http://schemas.openxmlformats.org/officeDocument/2006/relationships/image" Target="media/image32.wmf"/><Relationship Id="rId88" Type="http://schemas.openxmlformats.org/officeDocument/2006/relationships/oleObject" Target="embeddings/oleObject48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2.bin"/><Relationship Id="rId111" Type="http://schemas.openxmlformats.org/officeDocument/2006/relationships/image" Target="media/image43.wmf"/><Relationship Id="rId132" Type="http://schemas.openxmlformats.org/officeDocument/2006/relationships/oleObject" Target="embeddings/oleObject74.bin"/><Relationship Id="rId140" Type="http://schemas.openxmlformats.org/officeDocument/2006/relationships/image" Target="media/image56.wmf"/><Relationship Id="rId14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image" Target="media/image18.wmf"/><Relationship Id="rId57" Type="http://schemas.openxmlformats.org/officeDocument/2006/relationships/image" Target="media/image20.wmf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4.bin"/><Relationship Id="rId119" Type="http://schemas.openxmlformats.org/officeDocument/2006/relationships/image" Target="media/image47.wmf"/><Relationship Id="rId127" Type="http://schemas.openxmlformats.org/officeDocument/2006/relationships/image" Target="media/image5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3.bin"/><Relationship Id="rId65" Type="http://schemas.openxmlformats.org/officeDocument/2006/relationships/image" Target="media/image23.wmf"/><Relationship Id="rId73" Type="http://schemas.openxmlformats.org/officeDocument/2006/relationships/image" Target="media/image27.wmf"/><Relationship Id="rId78" Type="http://schemas.openxmlformats.org/officeDocument/2006/relationships/oleObject" Target="embeddings/oleObject43.bin"/><Relationship Id="rId81" Type="http://schemas.openxmlformats.org/officeDocument/2006/relationships/image" Target="media/image31.wmf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1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oleObject" Target="embeddings/oleObject68.bin"/><Relationship Id="rId130" Type="http://schemas.openxmlformats.org/officeDocument/2006/relationships/oleObject" Target="embeddings/oleObject73.bin"/><Relationship Id="rId135" Type="http://schemas.openxmlformats.org/officeDocument/2006/relationships/image" Target="media/image54.wmf"/><Relationship Id="rId143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3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6.bin"/><Relationship Id="rId55" Type="http://schemas.openxmlformats.org/officeDocument/2006/relationships/image" Target="media/image19.wmf"/><Relationship Id="rId76" Type="http://schemas.openxmlformats.org/officeDocument/2006/relationships/oleObject" Target="embeddings/oleObject42.bin"/><Relationship Id="rId97" Type="http://schemas.openxmlformats.org/officeDocument/2006/relationships/image" Target="media/image39.wmf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7.bin"/><Relationship Id="rId125" Type="http://schemas.openxmlformats.org/officeDocument/2006/relationships/image" Target="media/image49.wmf"/><Relationship Id="rId141" Type="http://schemas.openxmlformats.org/officeDocument/2006/relationships/image" Target="media/image57.wmf"/><Relationship Id="rId14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26.wmf"/><Relationship Id="rId92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4.wmf"/><Relationship Id="rId45" Type="http://schemas.openxmlformats.org/officeDocument/2006/relationships/image" Target="media/image16.wmf"/><Relationship Id="rId66" Type="http://schemas.openxmlformats.org/officeDocument/2006/relationships/oleObject" Target="embeddings/oleObject37.bin"/><Relationship Id="rId87" Type="http://schemas.openxmlformats.org/officeDocument/2006/relationships/image" Target="media/image34.wmf"/><Relationship Id="rId110" Type="http://schemas.openxmlformats.org/officeDocument/2006/relationships/oleObject" Target="embeddings/oleObject62.bin"/><Relationship Id="rId115" Type="http://schemas.openxmlformats.org/officeDocument/2006/relationships/image" Target="media/image45.wmf"/><Relationship Id="rId131" Type="http://schemas.openxmlformats.org/officeDocument/2006/relationships/image" Target="media/image52.wmf"/><Relationship Id="rId136" Type="http://schemas.openxmlformats.org/officeDocument/2006/relationships/oleObject" Target="embeddings/oleObject76.bin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5.bin"/><Relationship Id="rId19" Type="http://schemas.openxmlformats.org/officeDocument/2006/relationships/image" Target="media/image5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2.wmf"/><Relationship Id="rId56" Type="http://schemas.openxmlformats.org/officeDocument/2006/relationships/oleObject" Target="embeddings/oleObject31.bin"/><Relationship Id="rId77" Type="http://schemas.openxmlformats.org/officeDocument/2006/relationships/image" Target="media/image29.wmf"/><Relationship Id="rId100" Type="http://schemas.openxmlformats.org/officeDocument/2006/relationships/oleObject" Target="embeddings/oleObject54.bin"/><Relationship Id="rId105" Type="http://schemas.openxmlformats.org/officeDocument/2006/relationships/oleObject" Target="embeddings/oleObject57.bin"/><Relationship Id="rId126" Type="http://schemas.openxmlformats.org/officeDocument/2006/relationships/oleObject" Target="embeddings/oleObject71.bin"/><Relationship Id="rId14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0.bin"/><Relationship Id="rId93" Type="http://schemas.openxmlformats.org/officeDocument/2006/relationships/image" Target="media/image37.wmf"/><Relationship Id="rId98" Type="http://schemas.openxmlformats.org/officeDocument/2006/relationships/oleObject" Target="embeddings/oleObject53.bin"/><Relationship Id="rId121" Type="http://schemas.openxmlformats.org/officeDocument/2006/relationships/image" Target="media/image48.wmf"/><Relationship Id="rId142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10243</Words>
  <Characters>58389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по изменениям</vt:lpstr>
    </vt:vector>
  </TitlesOfParts>
  <Company>Grizli777</Company>
  <LinksUpToDate>false</LinksUpToDate>
  <CharactersWithSpaces>68496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по изменениям</dc:title>
  <dc:creator>bykov</dc:creator>
  <cp:lastModifiedBy>Имберт Мария Александровна</cp:lastModifiedBy>
  <cp:revision>3</cp:revision>
  <cp:lastPrinted>2016-11-18T12:59:00Z</cp:lastPrinted>
  <dcterms:created xsi:type="dcterms:W3CDTF">2016-11-22T07:32:00Z</dcterms:created>
  <dcterms:modified xsi:type="dcterms:W3CDTF">2016-11-22T09:25:00Z</dcterms:modified>
</cp:coreProperties>
</file>