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44" w:rsidRDefault="001E279C" w:rsidP="005610BD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V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.2</w:t>
      </w:r>
      <w:r w:rsidR="00D37D65">
        <w:rPr>
          <w:rFonts w:ascii="Garamond" w:eastAsia="Times New Roman" w:hAnsi="Garamond" w:cs="Times New Roman"/>
          <w:b/>
          <w:sz w:val="28"/>
          <w:szCs w:val="28"/>
          <w:lang w:eastAsia="ru-RU"/>
        </w:rPr>
        <w:t>.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Изменения, связанные с исключением счетов</w:t>
      </w:r>
      <w:r w:rsidR="00D37D65" w:rsidRPr="00D37D65">
        <w:rPr>
          <w:rFonts w:ascii="Garamond" w:eastAsia="Times New Roman" w:hAnsi="Garamond" w:cs="Times New Roman"/>
          <w:b/>
          <w:sz w:val="28"/>
          <w:szCs w:val="28"/>
          <w:lang w:eastAsia="ru-RU"/>
        </w:rPr>
        <w:t>-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уведомлений из состава направляемой АО «ЦФР» информации</w:t>
      </w:r>
    </w:p>
    <w:p w:rsidR="005610BD" w:rsidRDefault="005610BD" w:rsidP="005610BD">
      <w:pPr>
        <w:widowControl w:val="0"/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:rsidR="00DD6344" w:rsidRDefault="001E279C" w:rsidP="005610BD">
      <w:pPr>
        <w:widowControl w:val="0"/>
        <w:spacing w:after="0" w:line="240" w:lineRule="auto"/>
        <w:ind w:right="-314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Приложение </w:t>
      </w:r>
      <w:r w:rsidR="008A067F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№ </w:t>
      </w:r>
      <w:r>
        <w:rPr>
          <w:rFonts w:ascii="Garamond" w:eastAsia="Times New Roman" w:hAnsi="Garamond" w:cs="Times New Roman"/>
          <w:b/>
          <w:sz w:val="28"/>
          <w:szCs w:val="28"/>
          <w:lang w:eastAsia="ru-RU"/>
        </w:rPr>
        <w:t>5.2</w:t>
      </w:r>
    </w:p>
    <w:p w:rsidR="005610BD" w:rsidRDefault="005610BD" w:rsidP="005610BD">
      <w:pPr>
        <w:widowControl w:val="0"/>
        <w:spacing w:after="0" w:line="240" w:lineRule="auto"/>
        <w:ind w:right="-314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DD6344" w:rsidRPr="008A067F" w:rsidTr="008A067F">
        <w:trPr>
          <w:trHeight w:val="838"/>
        </w:trPr>
        <w:tc>
          <w:tcPr>
            <w:tcW w:w="15021" w:type="dxa"/>
          </w:tcPr>
          <w:p w:rsidR="00DD6344" w:rsidRPr="008A067F" w:rsidRDefault="001E279C" w:rsidP="005610BD">
            <w:pPr>
              <w:pStyle w:val="ConsPlusNormal"/>
              <w:tabs>
                <w:tab w:val="left" w:pos="360"/>
              </w:tabs>
              <w:ind w:firstLine="0"/>
              <w:jc w:val="both"/>
              <w:outlineLvl w:val="0"/>
              <w:rPr>
                <w:rFonts w:ascii="Garamond" w:hAnsi="Garamond" w:cs="Times New Roman"/>
                <w:sz w:val="24"/>
                <w:szCs w:val="24"/>
              </w:rPr>
            </w:pPr>
            <w:r w:rsidRPr="008A067F">
              <w:rPr>
                <w:rFonts w:ascii="Garamond" w:hAnsi="Garamond" w:cs="Times New Roman"/>
                <w:b/>
                <w:sz w:val="24"/>
                <w:szCs w:val="24"/>
              </w:rPr>
              <w:t xml:space="preserve">Инициатор: </w:t>
            </w:r>
            <w:r w:rsidRPr="008A067F">
              <w:rPr>
                <w:rFonts w:ascii="Garamond" w:hAnsi="Garamond" w:cs="Times New Roman"/>
                <w:sz w:val="24"/>
                <w:szCs w:val="24"/>
              </w:rPr>
              <w:t>АО «ЦФР»</w:t>
            </w:r>
            <w:r w:rsidR="008A067F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  <w:p w:rsidR="00DD6344" w:rsidRPr="008A067F" w:rsidRDefault="001E279C" w:rsidP="005610BD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8A067F">
              <w:rPr>
                <w:rFonts w:ascii="Garamond" w:hAnsi="Garamond" w:cs="Times New Roman"/>
                <w:b/>
                <w:sz w:val="24"/>
                <w:szCs w:val="24"/>
              </w:rPr>
              <w:t xml:space="preserve">Обоснование: </w:t>
            </w:r>
            <w:r w:rsidR="008A067F">
              <w:rPr>
                <w:rFonts w:ascii="Garamond" w:hAnsi="Garamond" w:cs="Times New Roman"/>
                <w:sz w:val="24"/>
                <w:szCs w:val="24"/>
              </w:rPr>
              <w:t>о</w:t>
            </w:r>
            <w:r w:rsidRPr="008A067F">
              <w:rPr>
                <w:rFonts w:ascii="Garamond" w:hAnsi="Garamond" w:cs="Times New Roman"/>
                <w:sz w:val="24"/>
                <w:szCs w:val="24"/>
              </w:rPr>
              <w:t>птимизация состава публикуемой информации для участников оптового рынка и ПАО «ФСК ЕЭС».</w:t>
            </w:r>
          </w:p>
          <w:p w:rsidR="00DD6344" w:rsidRPr="008A067F" w:rsidRDefault="001E279C" w:rsidP="005610BD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8A067F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Дата вступления в силу: </w:t>
            </w:r>
            <w:r w:rsidR="00E63081" w:rsidRPr="008A067F">
              <w:rPr>
                <w:rFonts w:ascii="Garamond" w:hAnsi="Garamond" w:cs="Times New Roman"/>
                <w:sz w:val="24"/>
                <w:szCs w:val="24"/>
              </w:rPr>
              <w:t xml:space="preserve">1 </w:t>
            </w:r>
            <w:r w:rsidR="00C52F97" w:rsidRPr="008A067F">
              <w:rPr>
                <w:rFonts w:ascii="Garamond" w:hAnsi="Garamond" w:cs="Times New Roman"/>
                <w:sz w:val="24"/>
                <w:szCs w:val="24"/>
              </w:rPr>
              <w:t>июля</w:t>
            </w:r>
            <w:r w:rsidR="00E63081" w:rsidRPr="008A067F">
              <w:rPr>
                <w:rFonts w:ascii="Garamond" w:hAnsi="Garamond" w:cs="Times New Roman"/>
                <w:sz w:val="24"/>
                <w:szCs w:val="24"/>
              </w:rPr>
              <w:t xml:space="preserve"> 2019 года</w:t>
            </w:r>
            <w:r w:rsidR="008A067F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</w:tbl>
    <w:p w:rsidR="008A067F" w:rsidRPr="005610BD" w:rsidRDefault="008A067F" w:rsidP="008A067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D6344" w:rsidRDefault="001E279C" w:rsidP="008A067F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8A067F">
        <w:rPr>
          <w:rFonts w:ascii="Garamond" w:hAnsi="Garamond"/>
          <w:b/>
          <w:sz w:val="26"/>
          <w:szCs w:val="26"/>
        </w:rPr>
        <w:t xml:space="preserve">СТАНДАРТНУЮ ФОРМУ </w:t>
      </w:r>
      <w:r>
        <w:rPr>
          <w:rFonts w:ascii="Garamond" w:hAnsi="Garamond"/>
          <w:b/>
          <w:sz w:val="26"/>
          <w:szCs w:val="26"/>
        </w:rPr>
        <w:t>Д</w:t>
      </w:r>
      <w:r w:rsidRPr="008A067F">
        <w:rPr>
          <w:rFonts w:ascii="Garamond" w:hAnsi="Garamond"/>
          <w:b/>
          <w:caps/>
          <w:sz w:val="26"/>
          <w:szCs w:val="26"/>
        </w:rPr>
        <w:t>оговор</w:t>
      </w:r>
      <w:r w:rsidR="008A067F">
        <w:rPr>
          <w:rFonts w:ascii="Garamond" w:hAnsi="Garamond"/>
          <w:b/>
          <w:caps/>
          <w:sz w:val="26"/>
          <w:szCs w:val="26"/>
        </w:rPr>
        <w:t>А</w:t>
      </w:r>
      <w:r w:rsidRPr="008A067F">
        <w:rPr>
          <w:rFonts w:ascii="Garamond" w:hAnsi="Garamond"/>
          <w:b/>
          <w:caps/>
          <w:sz w:val="26"/>
          <w:szCs w:val="26"/>
        </w:rPr>
        <w:t xml:space="preserve"> о присоединении к</w:t>
      </w:r>
      <w:r w:rsidR="008A067F">
        <w:rPr>
          <w:rFonts w:ascii="Garamond" w:hAnsi="Garamond"/>
          <w:b/>
          <w:caps/>
          <w:sz w:val="26"/>
          <w:szCs w:val="26"/>
        </w:rPr>
        <w:t> </w:t>
      </w:r>
      <w:r w:rsidRPr="008A067F">
        <w:rPr>
          <w:rFonts w:ascii="Garamond" w:hAnsi="Garamond"/>
          <w:b/>
          <w:caps/>
          <w:sz w:val="26"/>
          <w:szCs w:val="26"/>
        </w:rPr>
        <w:t>торговой системе оптового рынка</w:t>
      </w:r>
    </w:p>
    <w:p w:rsidR="008A067F" w:rsidRPr="005610BD" w:rsidRDefault="008A067F" w:rsidP="008A067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55"/>
      </w:tblGrid>
      <w:tr w:rsidR="00DD6344">
        <w:trPr>
          <w:trHeight w:val="435"/>
        </w:trPr>
        <w:tc>
          <w:tcPr>
            <w:tcW w:w="1060" w:type="dxa"/>
            <w:vAlign w:val="center"/>
          </w:tcPr>
          <w:p w:rsidR="00DD6344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№</w:t>
            </w:r>
          </w:p>
          <w:p w:rsidR="00DD6344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DD6344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Редакция, действующая на момент </w:t>
            </w:r>
          </w:p>
          <w:p w:rsidR="00DD6344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вступления в силу изменений</w:t>
            </w:r>
          </w:p>
        </w:tc>
        <w:tc>
          <w:tcPr>
            <w:tcW w:w="7055" w:type="dxa"/>
            <w:vAlign w:val="center"/>
          </w:tcPr>
          <w:p w:rsidR="00DD6344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Предлагаемая редакция</w:t>
            </w:r>
          </w:p>
          <w:p w:rsidR="00DD6344" w:rsidRDefault="00DD634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DD6344" w:rsidTr="00E05E4A">
        <w:trPr>
          <w:trHeight w:val="435"/>
        </w:trPr>
        <w:tc>
          <w:tcPr>
            <w:tcW w:w="1060" w:type="dxa"/>
            <w:vAlign w:val="center"/>
          </w:tcPr>
          <w:p w:rsidR="00DD6344" w:rsidRDefault="008A067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8.1</w:t>
            </w:r>
          </w:p>
        </w:tc>
        <w:tc>
          <w:tcPr>
            <w:tcW w:w="6945" w:type="dxa"/>
            <w:vAlign w:val="center"/>
          </w:tcPr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оказывает Участнику оптового рынка комплексную услугу по расчету требований и обязательств Участников оптового рынка, СО и ФСК, а также выступает на оптовом рынке унифицированной стороной по сделкам и заключает на оптовом рынке </w:t>
            </w:r>
            <w:r>
              <w:rPr>
                <w:rFonts w:ascii="Garamond" w:hAnsi="Garamond"/>
                <w:highlight w:val="yellow"/>
              </w:rPr>
              <w:t>электрической энергии (мощности)</w:t>
            </w:r>
            <w:r>
              <w:rPr>
                <w:rFonts w:ascii="Garamond" w:hAnsi="Garamond"/>
              </w:rPr>
              <w:t xml:space="preserve"> от своего имени договоры, обеспечивающие оптовую торговлю электрической энергией и мощностью в соответствии со стандартными формами и (или) предварительными условиями, предусмотренными настоящим Договором. Комплексная услуга заключается в осуществлении ЦФР деятельности, указанной в пункте 8.2 настоящего Договора.</w:t>
            </w:r>
          </w:p>
        </w:tc>
        <w:tc>
          <w:tcPr>
            <w:tcW w:w="7055" w:type="dxa"/>
          </w:tcPr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оказывает Участнику оптового рынка комплексную услугу по расчету требований и обязательств Участников оптового рынка, СО и ФСК, а также выступает на оптовом рынке унифицированной стороной по сделкам и заключает на оптовом рынке от своего имени договоры, обеспечивающие оптовую торговлю электрической энергией и мощностью в соответствии со стандартными формами и (или) предварительными условиями, предусмотренными настоящим Договором. Комплексная услуга заключается в осуществлении ЦФР деятельности, указанной в пункте 8.2 настоящего Договора.</w:t>
            </w:r>
          </w:p>
        </w:tc>
      </w:tr>
      <w:tr w:rsidR="00DD6344">
        <w:trPr>
          <w:trHeight w:val="435"/>
        </w:trPr>
        <w:tc>
          <w:tcPr>
            <w:tcW w:w="1060" w:type="dxa"/>
            <w:vAlign w:val="center"/>
          </w:tcPr>
          <w:p w:rsidR="00DD6344" w:rsidRDefault="008A067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8.2</w:t>
            </w:r>
          </w:p>
        </w:tc>
        <w:tc>
          <w:tcPr>
            <w:tcW w:w="6945" w:type="dxa"/>
            <w:vAlign w:val="center"/>
          </w:tcPr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При оказании услуги, указанной в пункте 8.1 настоящего Договора, ЦФР осуществляет на оптовом рынке </w:t>
            </w:r>
            <w:r>
              <w:rPr>
                <w:rFonts w:ascii="Garamond" w:hAnsi="Garamond"/>
                <w:highlight w:val="yellow"/>
              </w:rPr>
              <w:t>электроэнергии</w:t>
            </w:r>
            <w:r>
              <w:rPr>
                <w:rFonts w:ascii="Garamond" w:hAnsi="Garamond"/>
              </w:rPr>
              <w:t xml:space="preserve"> одно или несколько из следующих действий, обеспечивающих проведение финансовых расчетов на оптовом рынке:</w:t>
            </w:r>
          </w:p>
          <w:p w:rsidR="00DD6344" w:rsidRDefault="00E05E4A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8.2.9.</w:t>
            </w:r>
            <w:r>
              <w:rPr>
                <w:rFonts w:ascii="Garamond" w:hAnsi="Garamond"/>
              </w:rPr>
              <w:tab/>
              <w:t xml:space="preserve">участие в проведении сверки задолженности по оплате купленной на оптовом рынке электрической энергии </w:t>
            </w:r>
            <w:r>
              <w:rPr>
                <w:rFonts w:ascii="Garamond" w:hAnsi="Garamond"/>
                <w:highlight w:val="yellow"/>
              </w:rPr>
              <w:t>(</w:t>
            </w:r>
            <w:r>
              <w:rPr>
                <w:rFonts w:ascii="Garamond" w:hAnsi="Garamond"/>
              </w:rPr>
              <w:t>мощности</w:t>
            </w:r>
            <w:r>
              <w:rPr>
                <w:rFonts w:ascii="Garamond" w:hAnsi="Garamond"/>
                <w:highlight w:val="yellow"/>
              </w:rPr>
              <w:t>)</w:t>
            </w:r>
            <w:r>
              <w:rPr>
                <w:rFonts w:ascii="Garamond" w:hAnsi="Garamond"/>
              </w:rPr>
              <w:t xml:space="preserve"> и услуг, оказываемых Участнику оптового рынка, в порядке, предусмотренном договорами, обеспечивающими поставку электрической энергии и мощности на оптовом рынке;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8.2.10.</w:t>
            </w:r>
            <w:r>
              <w:rPr>
                <w:rFonts w:ascii="Garamond" w:hAnsi="Garamond"/>
              </w:rPr>
              <w:tab/>
              <w:t xml:space="preserve">осуществление сбора и обработки оперативной и отчетной информации участников оптового рынка об оплате полученной электрической энергии и мощности по договорам, заключенным на оптовом рынке </w:t>
            </w:r>
            <w:r>
              <w:rPr>
                <w:rFonts w:ascii="Garamond" w:hAnsi="Garamond"/>
                <w:highlight w:val="yellow"/>
              </w:rPr>
              <w:t>электроэнергии</w:t>
            </w:r>
            <w:r>
              <w:rPr>
                <w:rFonts w:ascii="Garamond" w:hAnsi="Garamond"/>
              </w:rPr>
              <w:t>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8.2.11.</w:t>
            </w:r>
            <w:r>
              <w:rPr>
                <w:rFonts w:ascii="Garamond" w:hAnsi="Garamond"/>
              </w:rPr>
              <w:tab/>
              <w:t xml:space="preserve">осуществление контроля за наличием у Участника оптового рынка задолженности по </w:t>
            </w:r>
            <w:r>
              <w:rPr>
                <w:rFonts w:ascii="Garamond" w:hAnsi="Garamond"/>
                <w:highlight w:val="yellow"/>
              </w:rPr>
              <w:t>оплате электрической энергии (мощности)</w:t>
            </w:r>
            <w:r>
              <w:rPr>
                <w:rFonts w:ascii="Garamond" w:hAnsi="Garamond"/>
              </w:rPr>
              <w:t>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8.2.12.</w:t>
            </w:r>
            <w:r>
              <w:rPr>
                <w:rFonts w:ascii="Garamond" w:hAnsi="Garamond"/>
              </w:rPr>
              <w:tab/>
              <w:t xml:space="preserve">формирование </w:t>
            </w:r>
            <w:r>
              <w:rPr>
                <w:rFonts w:ascii="Garamond" w:hAnsi="Garamond"/>
                <w:highlight w:val="yellow"/>
              </w:rPr>
              <w:t>на основании информации, получаемой от КО и участников оптового рынка,</w:t>
            </w:r>
            <w:r>
              <w:rPr>
                <w:rFonts w:ascii="Garamond" w:hAnsi="Garamond"/>
              </w:rPr>
              <w:t xml:space="preserve"> и направление Участнику оптового рынка </w:t>
            </w:r>
            <w:r>
              <w:rPr>
                <w:rFonts w:ascii="Garamond" w:hAnsi="Garamond"/>
                <w:highlight w:val="yellow"/>
              </w:rPr>
              <w:t>документа, содержащего информацию о стоимости и объемах электрической энергии (мощности), купленной (проданной) Участником оптового рынка на оптовом рынке электрической энергии (мощности)</w:t>
            </w:r>
            <w:r>
              <w:rPr>
                <w:rFonts w:ascii="Garamond" w:hAnsi="Garamond"/>
              </w:rPr>
              <w:t>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8.2.13.</w:t>
            </w:r>
            <w:r>
              <w:rPr>
                <w:rFonts w:ascii="Garamond" w:hAnsi="Garamond"/>
              </w:rPr>
              <w:tab/>
              <w:t>сбор данных о расчетах на оптовом и розничных рынках Участников оптового рынка – энергосбытовых компаний, гарантирующих поставщиков, проведение мониторинга энергосбытовой деятельности и анализа платежеспособности участников оптового рынка – энергосбытовых компаний, гарантирующих поставщиков с целью предоставления необходимой информации в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задачами, Ассоциацию «НП Совет рынка», Минэнерго России, Правительство Российской Федерации в порядке и сроки, предусмотренные Регламентом финансовых расчетов на оптовом рынке электроэнергии (Приложение № 16 к настоящему Договору) и Регламентом мониторинга энергосбытовой деятельности гарантирующих поставщиков и энергосбытовых организаций (Приложение № 29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8.2.14.</w:t>
            </w:r>
            <w:r>
              <w:rPr>
                <w:rFonts w:ascii="Garamond" w:hAnsi="Garamond"/>
                <w:highlight w:val="yellow"/>
              </w:rPr>
              <w:tab/>
              <w:t>формирование на основании информации, получаемой от КО, и направление Участнику оптового рынка фактических счетов-уведомлений в порядке, предусмотренном Регламентом финансовых расчетов на оптовом рынке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8.2.15.</w:t>
            </w:r>
            <w:r>
              <w:rPr>
                <w:rFonts w:ascii="Garamond" w:hAnsi="Garamond"/>
              </w:rPr>
              <w:tab/>
              <w:t xml:space="preserve">в соответствии с абзацем вторым пункта 9 статьи 33 Федерального закона «Об электроэнергетике» централизованное проведение сверки и (или) зачета взаимных встречных денежных требований Участников оптового рынка по договорам, оформляющим </w:t>
            </w:r>
            <w:r>
              <w:rPr>
                <w:rFonts w:ascii="Garamond" w:hAnsi="Garamond"/>
              </w:rPr>
              <w:lastRenderedPageBreak/>
              <w:t>куплю-продажу электрической энергии и (или) мощности, заключенным между Участниками оптового рынка, за исключением обязательств по свободным двусторонним договорам купли-продажи электрической энергии и мощности;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8.2.16.</w:t>
            </w:r>
            <w:r>
              <w:rPr>
                <w:rFonts w:ascii="Garamond" w:hAnsi="Garamond"/>
              </w:rPr>
              <w:tab/>
              <w:t>сбор данных о привлечении Участниками оптового рынка – гарантирующими поставщиками и производителями электрической энергии и мощности кредитных ресурсов для проведения мониторинга условий их предоставления с целью дальнейшей передачи соответствующей информации в Правительство Российской Федерации в порядке и сроки, предусмотренные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8.2.17.</w:t>
            </w:r>
            <w:r>
              <w:rPr>
                <w:rFonts w:ascii="Garamond" w:hAnsi="Garamond"/>
              </w:rPr>
              <w:tab/>
              <w:t>направление уведомлений Участникам оптового рынка ― Продавцам мощности по договорам о предоставлении мощности на оптовый рынок и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 о рассчитанных им КО неустойках (штрафах);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8.2.18.</w:t>
            </w:r>
            <w:r>
              <w:rPr>
                <w:rFonts w:ascii="Garamond" w:hAnsi="Garamond"/>
              </w:rPr>
              <w:tab/>
              <w:t>проведение мониторинга сведений о банкротствах участников ОРЭМ, а также сведений, подлежащих опубликованию в соответствии с законодательством Российской Федерации о государственной регистрации юридических лиц, в соответствии с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8.2.19.</w:t>
            </w:r>
            <w:r>
              <w:rPr>
                <w:rFonts w:ascii="Garamond" w:hAnsi="Garamond"/>
              </w:rPr>
              <w:tab/>
              <w:t>формирование сведений о наличии (отсутствии) у Участника оптового рынка, имеющего статус гарантирующего поставщика, задолженности по оплате электрической энергии и мощности, услуг, по оплате неустойки, рассчитанной за нарушение сроков исполнения обязательств, а также реестра кредиторов по оплате электрической энергии и мощности, услуг, с разбивкой по кредиторам суммы такой задолженности с целью предоставления указанной информации в Совет рынка;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8.2.20.</w:t>
            </w:r>
            <w:r>
              <w:rPr>
                <w:rFonts w:ascii="Garamond" w:hAnsi="Garamond"/>
              </w:rPr>
              <w:tab/>
              <w:t xml:space="preserve">сбор данных о проведенной Участниками оптового рынка – гарантирующими поставщиками и энергосбытовыми компаниями претензионно-исковой деятельности по взысканию задолженности на </w:t>
            </w:r>
            <w:r>
              <w:rPr>
                <w:rFonts w:ascii="Garamond" w:hAnsi="Garamond"/>
              </w:rPr>
              <w:lastRenderedPageBreak/>
              <w:t>розничных рынках электрической энергии и проведение анализа эффективности их претензионно-исковой деятельности по взысканию задолженности на розничных рынках электрической энергии с целью предоставления необходимой информации в Министерство энергетики Российской Федерации и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 в порядке и сроки, предусмотренные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8.2.21.</w:t>
            </w:r>
            <w:r>
              <w:rPr>
                <w:rFonts w:ascii="Garamond" w:hAnsi="Garamond"/>
              </w:rPr>
              <w:tab/>
              <w:t>осуществление расчета требований и (или) обязательств участника оптового рынка при покупке (продаже) электрической энергии по договорам купли-продажи электрической энергии на территориях субъектов Российской Федерации, объединенных в неценовые зоны оптового рынка, и договорам комиссии на продажу электрической энергии на территориях субъектов Российской Федерации, объединенных в неценовые зоны оптового рынка, на основании полученной от КО информации об объемах и стоимости проданной (купленной) участником оптового рынка электрической энергии.</w:t>
            </w:r>
          </w:p>
        </w:tc>
        <w:tc>
          <w:tcPr>
            <w:tcW w:w="7055" w:type="dxa"/>
            <w:vAlign w:val="center"/>
          </w:tcPr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При оказании услуги, указанной в пункте 8.1 настоящего Договора, ЦФР осуществляет на оптовом рынке одно или несколько из следующих действий, обеспечивающих проведение финансовых расчетов на оптовом рынке:</w:t>
            </w:r>
          </w:p>
          <w:p w:rsidR="00DD6344" w:rsidRDefault="00E05E4A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8.2.9.</w:t>
            </w:r>
            <w:r>
              <w:rPr>
                <w:rFonts w:ascii="Garamond" w:hAnsi="Garamond"/>
              </w:rPr>
              <w:tab/>
              <w:t xml:space="preserve">участие в проведении сверки задолженности по оплате купленной на оптовом рынке электрической энергии </w:t>
            </w:r>
            <w:r>
              <w:rPr>
                <w:rFonts w:ascii="Garamond" w:hAnsi="Garamond"/>
                <w:highlight w:val="yellow"/>
              </w:rPr>
              <w:t>и (или)</w:t>
            </w:r>
            <w:r>
              <w:rPr>
                <w:rFonts w:ascii="Garamond" w:hAnsi="Garamond"/>
              </w:rPr>
              <w:t xml:space="preserve"> мощности</w:t>
            </w:r>
            <w:r>
              <w:rPr>
                <w:rFonts w:ascii="Garamond" w:hAnsi="Garamond"/>
                <w:highlight w:val="yellow"/>
              </w:rPr>
              <w:t>, штрафных санкций</w:t>
            </w:r>
            <w:r>
              <w:rPr>
                <w:rFonts w:ascii="Garamond" w:hAnsi="Garamond"/>
              </w:rPr>
              <w:t xml:space="preserve"> и услуг, оказываемых Участнику оптового рынка, в порядке, предусмотренном договорами, обеспечивающими поставку электрической энергии и мощности на оптовом рынке;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8.2.10.</w:t>
            </w:r>
            <w:r>
              <w:rPr>
                <w:rFonts w:ascii="Garamond" w:hAnsi="Garamond"/>
              </w:rPr>
              <w:tab/>
              <w:t xml:space="preserve">осуществление сбора и обработки оперативной и отчетной информации участников оптового рынка об оплате полученной электрической энергии и </w:t>
            </w:r>
            <w:r>
              <w:rPr>
                <w:rFonts w:ascii="Garamond" w:hAnsi="Garamond"/>
                <w:highlight w:val="yellow"/>
              </w:rPr>
              <w:t>(или)</w:t>
            </w:r>
            <w:r>
              <w:rPr>
                <w:rFonts w:ascii="Garamond" w:hAnsi="Garamond"/>
              </w:rPr>
              <w:t xml:space="preserve"> мощности</w:t>
            </w:r>
            <w:r>
              <w:rPr>
                <w:rFonts w:ascii="Garamond" w:hAnsi="Garamond"/>
                <w:highlight w:val="yellow"/>
              </w:rPr>
              <w:t>, штрафных санкций и услуг, оказываемых Участнику оптового рынка</w:t>
            </w:r>
            <w:r>
              <w:rPr>
                <w:rFonts w:ascii="Garamond" w:hAnsi="Garamond"/>
              </w:rPr>
              <w:t xml:space="preserve"> по договорам, заключенным на оптовом рынке;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8.2.11.</w:t>
            </w:r>
            <w:r>
              <w:rPr>
                <w:rFonts w:ascii="Garamond" w:hAnsi="Garamond"/>
              </w:rPr>
              <w:tab/>
              <w:t xml:space="preserve">осуществление контроля за наличием у Участника оптового рынка задолженности по </w:t>
            </w:r>
            <w:r>
              <w:rPr>
                <w:rFonts w:ascii="Garamond" w:hAnsi="Garamond"/>
                <w:highlight w:val="yellow"/>
              </w:rPr>
              <w:t>договорам, обеспечивающим куплю-продажу электрической энергии и (или) мощности и оказание услуг на оптовом рынке, за исключением свободных двусторонних договоров купли-продажи электрической энергии и (или) мощности</w:t>
            </w:r>
            <w:r>
              <w:rPr>
                <w:rFonts w:ascii="Garamond" w:hAnsi="Garamond"/>
              </w:rPr>
              <w:t>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8.2.12.</w:t>
            </w:r>
            <w:r>
              <w:rPr>
                <w:rFonts w:ascii="Garamond" w:hAnsi="Garamond"/>
              </w:rPr>
              <w:tab/>
              <w:t xml:space="preserve">формирование и направление Участнику оптового рынка </w:t>
            </w:r>
            <w:r>
              <w:rPr>
                <w:rFonts w:ascii="Garamond" w:hAnsi="Garamond"/>
                <w:highlight w:val="yellow"/>
              </w:rPr>
              <w:t>и инфраструктурным организациям оптового рынка информации, касающейся расчетов на оптовом рынке, в соответствии с настоящим Договором</w:t>
            </w:r>
            <w:r>
              <w:rPr>
                <w:rFonts w:ascii="Garamond" w:hAnsi="Garamond"/>
              </w:rPr>
              <w:t>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8.2.13.</w:t>
            </w:r>
            <w:r>
              <w:rPr>
                <w:rFonts w:ascii="Garamond" w:hAnsi="Garamond"/>
              </w:rPr>
              <w:tab/>
              <w:t>сбор данных о расчетах на оптовом и розничных рынках Участников оптового рынка – энергосбытовых компаний, гарантирующих поставщиков, проведение мониторинга энергосбытовой деятельности и анализа платежеспособности участников оптового рынка – энергосбытовых компаний, гарантирующих поставщиков с целью предоставления необходимой информации в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задачами, Ассоциацию «НП Совет рынка», Минэнерго России, Правительство Российской Федерации в порядке и сроки, предусмотренные Регламентом финансовых расчетов на оптовом рынке электроэнергии (Приложение № 16 к настоящему Договору) и Регламентом мониторинга энергосбытовой деятельности гарантирующих поставщиков и энергосбытовых организаций (Приложение № 29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8.2.14.</w:t>
            </w:r>
            <w:r>
              <w:rPr>
                <w:rFonts w:ascii="Garamond" w:hAnsi="Garamond"/>
              </w:rPr>
              <w:tab/>
              <w:t>в соответствии с абзацем вторым пункта 9 статьи 33 Федерального закона «Об электроэнергетике» централизованное проведение сверки и (или) зачета взаимных встречных денежных требований Участников оптового рынка по договорам, оформляющим куплю-продажу электрической энергии и (или) мощно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сти, заключенным между Участниками оптового рынка, за исключением обязательств по </w:t>
            </w:r>
            <w:r>
              <w:rPr>
                <w:rFonts w:ascii="Garamond" w:hAnsi="Garamond"/>
              </w:rPr>
              <w:lastRenderedPageBreak/>
              <w:t xml:space="preserve">свободным двусторонним договорам купли-продажи электрической энергии и </w:t>
            </w:r>
            <w:r>
              <w:rPr>
                <w:rFonts w:ascii="Garamond" w:hAnsi="Garamond"/>
                <w:highlight w:val="yellow"/>
              </w:rPr>
              <w:t>(или)</w:t>
            </w:r>
            <w:r>
              <w:rPr>
                <w:rFonts w:ascii="Garamond" w:hAnsi="Garamond"/>
              </w:rPr>
              <w:t xml:space="preserve"> мощности;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8.2.15.</w:t>
            </w:r>
            <w:r>
              <w:rPr>
                <w:rFonts w:ascii="Garamond" w:hAnsi="Garamond"/>
              </w:rPr>
              <w:tab/>
              <w:t>сбор данных о привлечении Участниками оптового рынка – гарантирующими поставщиками и производителями электрической энергии и мощности кредитных ресурсов для проведения мониторинга условий их предоставления с целью дальнейшей передачи соответствующей информации в Правительство Российской Федерации в порядке и сроки, предусмотренные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8.2.16.</w:t>
            </w:r>
            <w:r>
              <w:rPr>
                <w:rFonts w:ascii="Garamond" w:hAnsi="Garamond"/>
              </w:rPr>
              <w:tab/>
              <w:t>направление уведомлений Участникам оптового рынка ― Продавцам мощности по договорам о предоставлении мощности на оптовый рынок и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 о рассчитанных им КО неустойках (штрафах);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8.2.17.</w:t>
            </w:r>
            <w:r>
              <w:rPr>
                <w:rFonts w:ascii="Garamond" w:hAnsi="Garamond"/>
              </w:rPr>
              <w:tab/>
              <w:t>проведение мониторинга сведений о банкротствах участников ОРЭМ, а также сведений, подлежащих опубликованию в соответствии с законодательством Российской Федерации о государственной регистрации юридических лиц, в соответствии с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8.2.18</w:t>
            </w:r>
            <w:r>
              <w:rPr>
                <w:rFonts w:ascii="Garamond" w:hAnsi="Garamond"/>
              </w:rPr>
              <w:tab/>
              <w:t>формирование сведений о наличии (отсутствии) у Участника оптового рынка, имеющего статус гарантирующего поставщика, задолженности по оплате электрической энергии и мощности, услуг, по оплате неустойки, рассчитанной за нарушение сроков исполнения обязательств, а также реестра кредиторов по оплате электрической энергии и мощности, услуг, с разбивкой по кредиторам суммы такой задолженности с целью предоставления указанной информации в Совет рынка;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8.2.19.</w:t>
            </w:r>
            <w:r>
              <w:rPr>
                <w:rFonts w:ascii="Garamond" w:hAnsi="Garamond"/>
              </w:rPr>
              <w:tab/>
              <w:t xml:space="preserve">сбор данных о проведенной Участниками оптового рынка – гарантирующими поставщиками и энергосбытовыми компаниями претензионно-исковой деятельности по взысканию задолженности на розничных рынках электрической энергии и проведение анализа эффективности их претензионно-исковой деятельности по взысканию задолженности на розничных рынках электрической энергии с целью </w:t>
            </w:r>
            <w:r>
              <w:rPr>
                <w:rFonts w:ascii="Garamond" w:hAnsi="Garamond"/>
              </w:rPr>
              <w:lastRenderedPageBreak/>
              <w:t>предоставления необходимой информации в Министерство энергетики Российской Федерации и Комиссию при Наблюдательном совете Совета рынка по платежам на оптовом рынке электрической энергии и мощности в соответствии с возложенными на нее функциями и задачами в порядке и сроки, предусмотренные Регламентом финансовых расчетов на оптовом рынке электроэнергии (Приложение № 16 к настоящему Договору);</w:t>
            </w:r>
          </w:p>
          <w:p w:rsidR="00DD6344" w:rsidRDefault="001E279C" w:rsidP="00E05E4A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highlight w:val="yellow"/>
              </w:rPr>
              <w:t>8.2.20.</w:t>
            </w:r>
            <w:r>
              <w:rPr>
                <w:rFonts w:ascii="Garamond" w:hAnsi="Garamond"/>
              </w:rPr>
              <w:tab/>
              <w:t>осуществление расчета требований и (или) обязательств участника оптового рынка при покупке (продаже) электрической энергии по договорам купли-продажи электрической энергии на территориях субъектов Российской Федерации, объединенных в неценовые зоны оптового рынка, и договорам комиссии на продажу электрической энергии на территориях субъектов Российской Федерации, объединенных в неценовые зоны оптового рынка, на основании полученной от КО информации об объемах и стоимости проданной (купленной) участником оптового рынка электрической энергии.</w:t>
            </w:r>
          </w:p>
        </w:tc>
      </w:tr>
    </w:tbl>
    <w:p w:rsidR="00DD6344" w:rsidRDefault="00DD6344">
      <w:pPr>
        <w:rPr>
          <w:rFonts w:ascii="Garamond" w:hAnsi="Garamond"/>
          <w:b/>
          <w:sz w:val="26"/>
          <w:szCs w:val="26"/>
        </w:rPr>
      </w:pPr>
    </w:p>
    <w:p w:rsidR="00DD6344" w:rsidRDefault="001E279C">
      <w:pPr>
        <w:rPr>
          <w:rFonts w:ascii="Garamond" w:hAnsi="Garamond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6945"/>
        <w:gridCol w:w="7055"/>
      </w:tblGrid>
      <w:tr w:rsidR="00DD6344" w:rsidRPr="00D37D65">
        <w:trPr>
          <w:trHeight w:val="435"/>
        </w:trPr>
        <w:tc>
          <w:tcPr>
            <w:tcW w:w="1060" w:type="dxa"/>
            <w:vAlign w:val="center"/>
          </w:tcPr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№</w:t>
            </w:r>
          </w:p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пункта</w:t>
            </w:r>
          </w:p>
        </w:tc>
        <w:tc>
          <w:tcPr>
            <w:tcW w:w="6945" w:type="dxa"/>
            <w:vAlign w:val="center"/>
          </w:tcPr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 xml:space="preserve">Редакция, действующая на момент </w:t>
            </w:r>
          </w:p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вступления в силу изменений</w:t>
            </w:r>
          </w:p>
        </w:tc>
        <w:tc>
          <w:tcPr>
            <w:tcW w:w="7055" w:type="dxa"/>
            <w:vAlign w:val="center"/>
          </w:tcPr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Предлагаемая редакция</w:t>
            </w:r>
          </w:p>
          <w:p w:rsidR="00DD6344" w:rsidRPr="00D37D65" w:rsidRDefault="00DD634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DD6344" w:rsidRPr="00D37D65">
        <w:trPr>
          <w:trHeight w:val="435"/>
        </w:trPr>
        <w:tc>
          <w:tcPr>
            <w:tcW w:w="1060" w:type="dxa"/>
            <w:vAlign w:val="center"/>
          </w:tcPr>
          <w:p w:rsidR="00DD6344" w:rsidRPr="00D37D65" w:rsidRDefault="001E279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8.5</w:t>
            </w:r>
          </w:p>
        </w:tc>
        <w:tc>
          <w:tcPr>
            <w:tcW w:w="6945" w:type="dxa"/>
            <w:vAlign w:val="center"/>
          </w:tcPr>
          <w:p w:rsidR="00DD6344" w:rsidRPr="00D37D65" w:rsidRDefault="001E279C">
            <w:pPr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Порядок взаимодействия ЦФР, уполномоченной кредитной организации и ФСК при расчете обязательств по договору купли-продажи в целях компенсации потерь в сетях на дату платежа (в ценовой зоне)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обязательств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электрической энергии по свободным (нерегулируемым) ценам в целях компенсации потерь в электрических сетях </w:t>
            </w:r>
            <w:r w:rsidRPr="00D37D65">
              <w:rPr>
                <w:rFonts w:ascii="Garamond" w:hAnsi="Garamond"/>
                <w:spacing w:val="1"/>
                <w:szCs w:val="22"/>
                <w:lang w:val="ru-RU"/>
              </w:rPr>
              <w:t xml:space="preserve">(в ценовой зоне)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с ФСК с учетом очередности и порядка осуществления платежей, предусмотренного п. 2.3 настоящего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Регламента,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и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передает сводный реестр платежей в 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уполномоченную кредитную организацию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37D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ЦФР формирует на основании данных, полученных от </w:t>
            </w:r>
            <w:r w:rsidRPr="00D37D65">
              <w:rPr>
                <w:rFonts w:ascii="Garamond" w:hAnsi="Garamond"/>
                <w:szCs w:val="22"/>
                <w:highlight w:val="yellow"/>
                <w:lang w:val="ru-RU"/>
              </w:rPr>
              <w:t>КО</w:t>
            </w:r>
            <w:r w:rsidRPr="00D37D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, и направляет ФСК фактические счета-уведомления.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>Отчет об исполнении платежей по договору купли-продажи в целях компенсации потерь в сетях публикуется ЦФР на сайте КО в день проведения платежей для ФСК с использованием электронной подписи по форме, установленной приложением 26 к настоящему Регламенту.</w:t>
            </w:r>
          </w:p>
          <w:p w:rsidR="00DD6344" w:rsidRPr="00D37D65" w:rsidRDefault="001E279C" w:rsidP="00D37D65">
            <w:pPr>
              <w:pStyle w:val="af4"/>
              <w:widowControl w:val="0"/>
              <w:tabs>
                <w:tab w:val="left" w:pos="1134"/>
              </w:tabs>
              <w:spacing w:before="120"/>
              <w:ind w:left="0"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 xml:space="preserve">Величина денежных средств </w:t>
            </w:r>
            <w:r w:rsidRPr="00D37D65">
              <w:rPr>
                <w:rFonts w:ascii="Garamond" w:hAnsi="Garamond"/>
                <w:i/>
              </w:rPr>
              <w:t>D</w:t>
            </w:r>
            <w:r w:rsidRPr="00D37D65">
              <w:rPr>
                <w:rFonts w:ascii="Garamond" w:hAnsi="Garamond"/>
              </w:rPr>
              <w:t>, рассчитанная в соответствии с приложением 53.1 настоящего Регламента как разница между суммой денежных средств, причитающихся ЦФР от ФСК по договорам купли-продажи, и суммой денежных средств, причитающихся участнику оптового рынка по договору комиссии (комитенту):</w:t>
            </w:r>
          </w:p>
          <w:p w:rsidR="00DD6344" w:rsidRPr="00D37D65" w:rsidRDefault="001E279C" w:rsidP="00D37D65">
            <w:pPr>
              <w:pStyle w:val="af4"/>
              <w:widowControl w:val="0"/>
              <w:tabs>
                <w:tab w:val="left" w:pos="1134"/>
              </w:tabs>
              <w:spacing w:before="120"/>
              <w:ind w:left="0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 xml:space="preserve">– при </w:t>
            </w:r>
            <w:r w:rsidRPr="00D37D65">
              <w:rPr>
                <w:rFonts w:ascii="Garamond" w:hAnsi="Garamond"/>
                <w:i/>
              </w:rPr>
              <w:t>D</w:t>
            </w:r>
            <w:r w:rsidRPr="00D37D65">
              <w:rPr>
                <w:rFonts w:ascii="Garamond" w:hAnsi="Garamond"/>
              </w:rPr>
              <w:t xml:space="preserve"> &lt; 0 подлежит возмещению комитенту за счет ЦФР (комиссионера) и относится на финансовый результат ЦФР (комиссионера);</w:t>
            </w:r>
          </w:p>
          <w:p w:rsidR="00DD6344" w:rsidRPr="00EA0635" w:rsidRDefault="001E279C" w:rsidP="00EA0635">
            <w:pPr>
              <w:pStyle w:val="a3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 xml:space="preserve">– при </w:t>
            </w:r>
            <w:r w:rsidRPr="00D37D65">
              <w:rPr>
                <w:rFonts w:ascii="Garamond" w:hAnsi="Garamond"/>
                <w:i/>
                <w:szCs w:val="22"/>
              </w:rPr>
              <w:t>D</w:t>
            </w:r>
            <w:r w:rsidRPr="00D37D65">
              <w:rPr>
                <w:rFonts w:ascii="Garamond" w:hAnsi="Garamond"/>
                <w:szCs w:val="22"/>
                <w:lang w:val="ru-RU"/>
              </w:rPr>
              <w:t xml:space="preserve"> &gt; 0 признается дополнительной выгодой ЦФР (комиссионера), не подлежит распределению между комиссионером и комитентом и относится на финансовый результат комиссионера.</w:t>
            </w:r>
          </w:p>
        </w:tc>
        <w:tc>
          <w:tcPr>
            <w:tcW w:w="7055" w:type="dxa"/>
          </w:tcPr>
          <w:p w:rsidR="00DD6344" w:rsidRPr="00D37D65" w:rsidRDefault="001E279C">
            <w:pPr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lastRenderedPageBreak/>
              <w:t>Порядок взаимодействия ЦФР, уполномоченной кредитной организации и ФСК при расчете обязательств по договору купли-продажи в целях компенсации потерь в сетях на дату платежа (в ценовой зоне)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обязательств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купли-продажи 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электрической энергии по свободным (нерегулируемым) ценам в целях компенсации потерь в электрических сетях </w:t>
            </w:r>
            <w:r w:rsidRPr="00D37D65">
              <w:rPr>
                <w:rFonts w:ascii="Garamond" w:hAnsi="Garamond"/>
                <w:spacing w:val="1"/>
                <w:szCs w:val="22"/>
                <w:lang w:val="ru-RU"/>
              </w:rPr>
              <w:t xml:space="preserve">(в ценовой зоне)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с ФСК с учетом очередности и порядка осуществления платежей, предусмотренного п. 2.3 настоящего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Регламента,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и 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 xml:space="preserve">передает сводный реестр платежей в </w:t>
            </w:r>
            <w:r w:rsidRPr="00D37D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уполномоченную кредитную организацию</w:t>
            </w:r>
            <w:r w:rsidRPr="00D37D65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:rsidR="00DD6344" w:rsidRPr="00D37D65" w:rsidRDefault="001E279C" w:rsidP="00D37D65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>Отчет об исполнении платежей по договору купли-продажи в целях компенсации потерь в сетях публикуется ЦФР на сайте КО в день проведения платежей для ФСК с использованием электронной подписи по форме, установленной приложением 26 к настоящему Регламенту.</w:t>
            </w:r>
          </w:p>
          <w:p w:rsidR="00DD6344" w:rsidRPr="00D37D65" w:rsidRDefault="001E279C" w:rsidP="00D37D65">
            <w:pPr>
              <w:pStyle w:val="af4"/>
              <w:widowControl w:val="0"/>
              <w:tabs>
                <w:tab w:val="left" w:pos="1134"/>
              </w:tabs>
              <w:spacing w:before="120"/>
              <w:ind w:left="0"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 xml:space="preserve">Величина денежных средств </w:t>
            </w:r>
            <w:r w:rsidRPr="00D37D65">
              <w:rPr>
                <w:rFonts w:ascii="Garamond" w:hAnsi="Garamond"/>
                <w:i/>
              </w:rPr>
              <w:t>D</w:t>
            </w:r>
            <w:r w:rsidRPr="00D37D65">
              <w:rPr>
                <w:rFonts w:ascii="Garamond" w:hAnsi="Garamond"/>
              </w:rPr>
              <w:t>, рассчитанная в соответствии с приложением 53.1 настоящего Регламента как разница между суммой денежных средств, причитающихся ЦФР от ФСК по договорам купли-продажи, и суммой денежных средств, причитающихся участнику оптового рынка по договору комиссии (комитенту):</w:t>
            </w:r>
          </w:p>
          <w:p w:rsidR="00DD6344" w:rsidRPr="00D37D65" w:rsidRDefault="001E279C" w:rsidP="00D37D65">
            <w:pPr>
              <w:pStyle w:val="af4"/>
              <w:widowControl w:val="0"/>
              <w:tabs>
                <w:tab w:val="left" w:pos="1134"/>
              </w:tabs>
              <w:spacing w:before="120"/>
              <w:ind w:left="0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 xml:space="preserve">– при </w:t>
            </w:r>
            <w:r w:rsidRPr="00D37D65">
              <w:rPr>
                <w:rFonts w:ascii="Garamond" w:hAnsi="Garamond"/>
                <w:i/>
              </w:rPr>
              <w:t>D</w:t>
            </w:r>
            <w:r w:rsidRPr="00D37D65">
              <w:rPr>
                <w:rFonts w:ascii="Garamond" w:hAnsi="Garamond"/>
              </w:rPr>
              <w:t xml:space="preserve"> &lt; 0 подлежит возмещению комитенту за счет ЦФР (комиссионера) и относится на финансовый результат ЦФР (комиссионера);</w:t>
            </w:r>
          </w:p>
          <w:p w:rsidR="00DD6344" w:rsidRPr="00D37D65" w:rsidRDefault="001E279C" w:rsidP="00D37D65">
            <w:pPr>
              <w:pStyle w:val="a3"/>
              <w:widowControl w:val="0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 xml:space="preserve">– при </w:t>
            </w:r>
            <w:r w:rsidRPr="00D37D65">
              <w:rPr>
                <w:rFonts w:ascii="Garamond" w:hAnsi="Garamond"/>
                <w:i/>
                <w:szCs w:val="22"/>
              </w:rPr>
              <w:t>D</w:t>
            </w:r>
            <w:r w:rsidRPr="00D37D65">
              <w:rPr>
                <w:rFonts w:ascii="Garamond" w:hAnsi="Garamond"/>
                <w:szCs w:val="22"/>
                <w:lang w:val="ru-RU"/>
              </w:rPr>
              <w:t xml:space="preserve"> &gt; 0 признается дополнительной выгодой ЦФР (комиссионера), не подлежит распределению между комиссионером и комитентом и относится на финансовый результат комиссионера.</w:t>
            </w:r>
          </w:p>
          <w:p w:rsidR="00DD6344" w:rsidRPr="00D37D65" w:rsidRDefault="00DD63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</w:p>
        </w:tc>
      </w:tr>
      <w:tr w:rsidR="00DD6344" w:rsidRPr="00D37D65">
        <w:trPr>
          <w:trHeight w:val="435"/>
        </w:trPr>
        <w:tc>
          <w:tcPr>
            <w:tcW w:w="1060" w:type="dxa"/>
            <w:vAlign w:val="center"/>
          </w:tcPr>
          <w:p w:rsidR="00DD6344" w:rsidRPr="00D37D65" w:rsidRDefault="001E279C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lastRenderedPageBreak/>
              <w:t>9.1</w:t>
            </w:r>
          </w:p>
        </w:tc>
        <w:tc>
          <w:tcPr>
            <w:tcW w:w="6945" w:type="dxa"/>
            <w:vAlign w:val="center"/>
          </w:tcPr>
          <w:p w:rsidR="00DD6344" w:rsidRPr="00D37D65" w:rsidRDefault="001E279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>…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 xml:space="preserve">ЦФР не позднее 21-го числа календарного месяца публикует для комитента на сайте КО информацию о размере не исполненных покупателями обязательств по договорам купли-продажи, заключенным во исполнение договора комиссии с комитентом, за периоды, по которым сформированы фактические обязательства, с учетом авансовых обязательств на последнее число предыдущего месяца, </w:t>
            </w:r>
            <w:r w:rsidRPr="00D37D65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по форме приложения 32 к настоящему Регламенту.</w:t>
            </w:r>
          </w:p>
          <w:p w:rsidR="00DD6344" w:rsidRPr="00D37D65" w:rsidRDefault="001E279C">
            <w:pPr>
              <w:pStyle w:val="a3"/>
              <w:widowControl w:val="0"/>
              <w:ind w:firstLine="540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D37D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ЦФР не позднее 18-го числа месяца, следующего за расчетным, направляет участникам оптового рынка в электронном виде с ЭП информацию о сумме обязательств/требований и о величине фактической оплаты по результатам покупки/продажи электроэнергии и (или) мощности по видам договоров в целом за месяц в фактических счетах-уведомлениях (приложения 20, 21 к настоящему Регламенту). 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37D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lastRenderedPageBreak/>
              <w:t>По запросу участника оптового рынка ЦФР предоставляет ему фактические счета-уведомления на бумажном носителе, заверенные подписью уполномоченного лица,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 о предоставлении указанных документов.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bCs/>
                <w:szCs w:val="22"/>
                <w:lang w:val="ru-RU"/>
              </w:rPr>
              <w:t>ЦФР не позднее 19-го числа месяца, следующего за отчетным, публикует персонально для каждого участника оптового рынка и ФСК на сайте КО отчет о фактических расчетах за электрическую энергию и мощность, содержащий информацию о размере задолженности за электрическую энергию и мощность по договорам, указанным в п. 2.2 настоящего Регламента, на начало и конец отчетного периода, стоимости переданной электрической энергии и (или) мощности в отчетном периоде, об исполненных платежах за электрическую энергию и (или) мощность, а также по оплате неустойки (пени, штрафов), в отчетном периоде по форме, установленной приложением 5 к настоящему Регламенту. Публикация отчета проводится не позднее указанной даты или в первый рабочий день, следующий за указанной датой, если она приходится на нерабочий день.</w:t>
            </w:r>
          </w:p>
          <w:p w:rsidR="00DD6344" w:rsidRPr="00D37D65" w:rsidRDefault="001E279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>…</w:t>
            </w:r>
          </w:p>
        </w:tc>
        <w:tc>
          <w:tcPr>
            <w:tcW w:w="7055" w:type="dxa"/>
          </w:tcPr>
          <w:p w:rsidR="00DD6344" w:rsidRPr="00D37D65" w:rsidRDefault="001E279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lastRenderedPageBreak/>
              <w:t>…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D37D65">
              <w:rPr>
                <w:rFonts w:ascii="Garamond" w:hAnsi="Garamond"/>
                <w:szCs w:val="22"/>
                <w:lang w:val="ru-RU"/>
              </w:rPr>
              <w:t xml:space="preserve">ЦФР не позднее 21-го числа календарного месяца публикует для комитента на сайте КО информацию о размере не исполненных покупателями обязательств по договорам купли-продажи, заключенным во исполнение договора комиссии с комитентом, за периоды, по которым сформированы фактические обязательства, с учетом авансовых обязательств на последнее число предыдущего месяца, </w:t>
            </w:r>
            <w:r w:rsidRPr="00D37D65">
              <w:rPr>
                <w:rFonts w:ascii="Garamond" w:hAnsi="Garamond"/>
                <w:color w:val="000000"/>
                <w:spacing w:val="2"/>
                <w:szCs w:val="22"/>
                <w:lang w:val="ru-RU"/>
              </w:rPr>
              <w:t>по форме приложения 32 к настоящему Регламенту.</w:t>
            </w:r>
          </w:p>
          <w:p w:rsidR="00DD6344" w:rsidRPr="00D37D65" w:rsidRDefault="001E279C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37D65">
              <w:rPr>
                <w:rFonts w:ascii="Garamond" w:hAnsi="Garamond"/>
                <w:bCs/>
                <w:szCs w:val="22"/>
                <w:lang w:val="ru-RU"/>
              </w:rPr>
              <w:t xml:space="preserve">ЦФР не позднее 19-го числа месяца, следующего за отчетным, публикует персонально для каждого участника оптового рынка и ФСК на сайте КО отчет о фактических расчетах за электрическую энергию и мощность, содержащий информацию о размере задолженности за электрическую энергию и мощность по договорам, указанным в п. 2.2 настоящего Регламента, на начало и конец отчетного периода, стоимости переданной электрической энергии и (или) мощности в отчетном периоде, об исполненных платежах за электрическую энергию и (или) мощность, а </w:t>
            </w:r>
            <w:r w:rsidRPr="00D37D65">
              <w:rPr>
                <w:rFonts w:ascii="Garamond" w:hAnsi="Garamond"/>
                <w:bCs/>
                <w:szCs w:val="22"/>
                <w:lang w:val="ru-RU"/>
              </w:rPr>
              <w:lastRenderedPageBreak/>
              <w:t>также по оплате неустойки (пени, штрафов), в отчетном периоде по форме, установленной приложением 5 к настоящему Регламенту. Публикация отчета проводится не позднее указанной даты или в первый рабочий день, следующий за указанной датой, если она приходится на нерабочий день.</w:t>
            </w:r>
          </w:p>
          <w:p w:rsidR="00DD6344" w:rsidRPr="00D37D65" w:rsidRDefault="001E279C">
            <w:pPr>
              <w:pStyle w:val="32"/>
              <w:spacing w:before="120" w:after="120" w:line="288" w:lineRule="auto"/>
              <w:ind w:left="0" w:firstLine="183"/>
              <w:rPr>
                <w:rFonts w:ascii="Garamond" w:hAnsi="Garamond"/>
                <w:sz w:val="22"/>
                <w:szCs w:val="22"/>
              </w:rPr>
            </w:pPr>
            <w:r w:rsidRPr="00D37D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DD6344" w:rsidRPr="00D37D65">
        <w:trPr>
          <w:trHeight w:val="435"/>
        </w:trPr>
        <w:tc>
          <w:tcPr>
            <w:tcW w:w="1060" w:type="dxa"/>
            <w:vAlign w:val="center"/>
          </w:tcPr>
          <w:p w:rsidR="00DD6344" w:rsidRPr="00D37D65" w:rsidRDefault="001E279C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lastRenderedPageBreak/>
              <w:t>Приложение к регламенту 16</w:t>
            </w:r>
          </w:p>
        </w:tc>
        <w:tc>
          <w:tcPr>
            <w:tcW w:w="6945" w:type="dxa"/>
            <w:vAlign w:val="center"/>
          </w:tcPr>
          <w:p w:rsidR="00DD6344" w:rsidRPr="00D37D65" w:rsidRDefault="001E279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>Приложение 20</w:t>
            </w:r>
          </w:p>
        </w:tc>
        <w:tc>
          <w:tcPr>
            <w:tcW w:w="7055" w:type="dxa"/>
            <w:vAlign w:val="center"/>
          </w:tcPr>
          <w:p w:rsidR="00DD6344" w:rsidRPr="00D37D65" w:rsidRDefault="001E279C" w:rsidP="00EA0635">
            <w:pPr>
              <w:pStyle w:val="32"/>
              <w:spacing w:before="120" w:after="120" w:line="288" w:lineRule="auto"/>
              <w:ind w:left="0" w:firstLine="183"/>
              <w:rPr>
                <w:rFonts w:ascii="Garamond" w:hAnsi="Garamond"/>
                <w:sz w:val="22"/>
                <w:szCs w:val="22"/>
              </w:rPr>
            </w:pPr>
            <w:r w:rsidRPr="00D37D65">
              <w:rPr>
                <w:rFonts w:ascii="Garamond" w:hAnsi="Garamond"/>
                <w:sz w:val="22"/>
                <w:szCs w:val="22"/>
              </w:rPr>
              <w:t>Удалить</w:t>
            </w:r>
          </w:p>
        </w:tc>
      </w:tr>
      <w:tr w:rsidR="00DD6344" w:rsidRPr="00D37D65">
        <w:trPr>
          <w:trHeight w:val="435"/>
        </w:trPr>
        <w:tc>
          <w:tcPr>
            <w:tcW w:w="1060" w:type="dxa"/>
            <w:vAlign w:val="center"/>
          </w:tcPr>
          <w:p w:rsidR="00DD6344" w:rsidRPr="00D37D65" w:rsidRDefault="001E279C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D37D65">
              <w:rPr>
                <w:rFonts w:ascii="Garamond" w:hAnsi="Garamond" w:cs="Times New Roman"/>
                <w:b/>
                <w:bCs/>
              </w:rPr>
              <w:t>Приложение к регламенту 16</w:t>
            </w:r>
          </w:p>
        </w:tc>
        <w:tc>
          <w:tcPr>
            <w:tcW w:w="6945" w:type="dxa"/>
            <w:vAlign w:val="center"/>
          </w:tcPr>
          <w:p w:rsidR="00DD6344" w:rsidRPr="00D37D65" w:rsidRDefault="001E279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37D65">
              <w:rPr>
                <w:rFonts w:ascii="Garamond" w:hAnsi="Garamond"/>
              </w:rPr>
              <w:t>Приложение 21</w:t>
            </w:r>
          </w:p>
        </w:tc>
        <w:tc>
          <w:tcPr>
            <w:tcW w:w="7055" w:type="dxa"/>
            <w:vAlign w:val="center"/>
          </w:tcPr>
          <w:p w:rsidR="00DD6344" w:rsidRPr="00D37D65" w:rsidRDefault="001E279C" w:rsidP="00EA0635">
            <w:pPr>
              <w:pStyle w:val="32"/>
              <w:spacing w:before="120" w:after="120" w:line="288" w:lineRule="auto"/>
              <w:ind w:left="0" w:firstLine="183"/>
              <w:rPr>
                <w:rFonts w:ascii="Garamond" w:hAnsi="Garamond"/>
                <w:sz w:val="22"/>
                <w:szCs w:val="22"/>
              </w:rPr>
            </w:pPr>
            <w:r w:rsidRPr="00D37D65">
              <w:rPr>
                <w:rFonts w:ascii="Garamond" w:hAnsi="Garamond"/>
                <w:sz w:val="22"/>
                <w:szCs w:val="22"/>
              </w:rPr>
              <w:t>Удалить</w:t>
            </w:r>
          </w:p>
        </w:tc>
      </w:tr>
    </w:tbl>
    <w:p w:rsidR="00DD6344" w:rsidRDefault="00DD6344">
      <w:pPr>
        <w:rPr>
          <w:rFonts w:ascii="Garamond" w:hAnsi="Garamond"/>
          <w:b/>
          <w:sz w:val="26"/>
          <w:szCs w:val="26"/>
        </w:rPr>
      </w:pPr>
    </w:p>
    <w:p w:rsidR="00DD6344" w:rsidRDefault="001E279C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DD6344" w:rsidRDefault="001E279C">
      <w:pPr>
        <w:pStyle w:val="ae"/>
        <w:ind w:left="0"/>
        <w:outlineLvl w:val="0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Удалить из приложения 2 к Правилам ЭДО СЭД КО:</w:t>
      </w:r>
    </w:p>
    <w:tbl>
      <w:tblPr>
        <w:tblW w:w="53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582"/>
        <w:gridCol w:w="1541"/>
        <w:gridCol w:w="706"/>
        <w:gridCol w:w="813"/>
        <w:gridCol w:w="885"/>
        <w:gridCol w:w="1422"/>
        <w:gridCol w:w="1119"/>
        <w:gridCol w:w="885"/>
        <w:gridCol w:w="1416"/>
        <w:gridCol w:w="1453"/>
        <w:gridCol w:w="1444"/>
        <w:gridCol w:w="1088"/>
      </w:tblGrid>
      <w:tr w:rsidR="00DD6344" w:rsidRPr="00D37D65">
        <w:trPr>
          <w:trHeight w:val="716"/>
        </w:trPr>
        <w:tc>
          <w:tcPr>
            <w:tcW w:w="408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Код формы</w:t>
            </w:r>
          </w:p>
        </w:tc>
        <w:tc>
          <w:tcPr>
            <w:tcW w:w="506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493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26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260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83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55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58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283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453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465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462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348" w:type="pct"/>
            <w:shd w:val="clear" w:color="000000" w:fill="C0C0C0"/>
            <w:vAlign w:val="bottom"/>
          </w:tcPr>
          <w:p w:rsidR="00DD6344" w:rsidRPr="00D37D65" w:rsidRDefault="001E27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D6344" w:rsidRPr="00D37D65">
        <w:trPr>
          <w:trHeight w:val="316"/>
        </w:trPr>
        <w:tc>
          <w:tcPr>
            <w:tcW w:w="40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c_1097</w:t>
            </w:r>
          </w:p>
        </w:tc>
        <w:tc>
          <w:tcPr>
            <w:tcW w:w="50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Фактический счет-уведомление (для поставщика)</w:t>
            </w:r>
          </w:p>
        </w:tc>
        <w:tc>
          <w:tcPr>
            <w:tcW w:w="49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20</w:t>
            </w:r>
          </w:p>
        </w:tc>
        <w:tc>
          <w:tcPr>
            <w:tcW w:w="22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</w:tc>
        <w:tc>
          <w:tcPr>
            <w:tcW w:w="260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5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5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5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46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462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48" w:type="pct"/>
            <w:vAlign w:val="bottom"/>
          </w:tcPr>
          <w:p w:rsidR="00DD6344" w:rsidRPr="00D37D65" w:rsidRDefault="00DD63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344" w:rsidRPr="00D37D65">
        <w:trPr>
          <w:trHeight w:val="316"/>
        </w:trPr>
        <w:tc>
          <w:tcPr>
            <w:tcW w:w="40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c_1098</w:t>
            </w:r>
          </w:p>
        </w:tc>
        <w:tc>
          <w:tcPr>
            <w:tcW w:w="50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Фактический счет-уведомление (для покупателя)</w:t>
            </w:r>
          </w:p>
        </w:tc>
        <w:tc>
          <w:tcPr>
            <w:tcW w:w="49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21</w:t>
            </w:r>
          </w:p>
        </w:tc>
        <w:tc>
          <w:tcPr>
            <w:tcW w:w="22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</w:tc>
        <w:tc>
          <w:tcPr>
            <w:tcW w:w="260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45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5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5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46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462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48" w:type="pct"/>
            <w:vAlign w:val="bottom"/>
          </w:tcPr>
          <w:p w:rsidR="00DD6344" w:rsidRPr="00D37D65" w:rsidRDefault="00DD63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344" w:rsidRPr="00D37D65">
        <w:trPr>
          <w:trHeight w:val="316"/>
        </w:trPr>
        <w:tc>
          <w:tcPr>
            <w:tcW w:w="40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c_138</w:t>
            </w:r>
          </w:p>
        </w:tc>
        <w:tc>
          <w:tcPr>
            <w:tcW w:w="50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Фактический счет-уведомление (для поставщика)</w:t>
            </w:r>
          </w:p>
        </w:tc>
        <w:tc>
          <w:tcPr>
            <w:tcW w:w="49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20</w:t>
            </w:r>
          </w:p>
        </w:tc>
        <w:tc>
          <w:tcPr>
            <w:tcW w:w="22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</w:tc>
        <w:tc>
          <w:tcPr>
            <w:tcW w:w="260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45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35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45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46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462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48" w:type="pct"/>
            <w:vAlign w:val="bottom"/>
          </w:tcPr>
          <w:p w:rsidR="00DD6344" w:rsidRPr="00D37D65" w:rsidRDefault="00DD63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344" w:rsidRPr="00D37D65">
        <w:trPr>
          <w:trHeight w:val="316"/>
        </w:trPr>
        <w:tc>
          <w:tcPr>
            <w:tcW w:w="40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c_526</w:t>
            </w:r>
          </w:p>
        </w:tc>
        <w:tc>
          <w:tcPr>
            <w:tcW w:w="50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Фактический счет-уведомление (для покупателя)</w:t>
            </w:r>
          </w:p>
        </w:tc>
        <w:tc>
          <w:tcPr>
            <w:tcW w:w="49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21</w:t>
            </w:r>
          </w:p>
        </w:tc>
        <w:tc>
          <w:tcPr>
            <w:tcW w:w="22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txt</w:t>
            </w:r>
          </w:p>
        </w:tc>
        <w:tc>
          <w:tcPr>
            <w:tcW w:w="260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45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35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45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46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462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48" w:type="pct"/>
            <w:vAlign w:val="bottom"/>
          </w:tcPr>
          <w:p w:rsidR="00DD6344" w:rsidRPr="00D37D65" w:rsidRDefault="00DD63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6344" w:rsidRPr="00D37D65">
        <w:trPr>
          <w:trHeight w:val="316"/>
        </w:trPr>
        <w:tc>
          <w:tcPr>
            <w:tcW w:w="40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BILLFSK_FACT</w:t>
            </w:r>
          </w:p>
        </w:tc>
        <w:tc>
          <w:tcPr>
            <w:tcW w:w="50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Фактический счет по ФСК</w:t>
            </w:r>
          </w:p>
        </w:tc>
        <w:tc>
          <w:tcPr>
            <w:tcW w:w="49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Договор между АО «ЦФР» и ПАО «ФСК ЕЭС»</w:t>
            </w:r>
          </w:p>
        </w:tc>
        <w:tc>
          <w:tcPr>
            <w:tcW w:w="226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260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45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58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8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53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465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462" w:type="pct"/>
            <w:vAlign w:val="bottom"/>
          </w:tcPr>
          <w:p w:rsidR="00DD6344" w:rsidRPr="00D37D65" w:rsidRDefault="001E27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7D6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348" w:type="pct"/>
            <w:vAlign w:val="bottom"/>
          </w:tcPr>
          <w:p w:rsidR="00DD6344" w:rsidRPr="00D37D65" w:rsidRDefault="00DD63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D6344" w:rsidRDefault="00DD6344">
      <w:pPr>
        <w:rPr>
          <w:rFonts w:ascii="Times New Roman" w:hAnsi="Times New Roman" w:cs="Times New Roman"/>
          <w:sz w:val="28"/>
          <w:szCs w:val="28"/>
        </w:rPr>
      </w:pPr>
    </w:p>
    <w:p w:rsidR="00DD6344" w:rsidRDefault="00DD6344">
      <w:pPr>
        <w:rPr>
          <w:rFonts w:ascii="Times New Roman" w:hAnsi="Times New Roman" w:cs="Times New Roman"/>
          <w:sz w:val="28"/>
          <w:szCs w:val="28"/>
        </w:rPr>
      </w:pPr>
    </w:p>
    <w:sectPr w:rsidR="00DD6344" w:rsidSect="008A067F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344" w:rsidRDefault="001E279C">
      <w:pPr>
        <w:spacing w:after="0" w:line="240" w:lineRule="auto"/>
      </w:pPr>
      <w:r>
        <w:separator/>
      </w:r>
    </w:p>
  </w:endnote>
  <w:endnote w:type="continuationSeparator" w:id="0">
    <w:p w:rsidR="00DD6344" w:rsidRDefault="001E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344" w:rsidRDefault="001E279C">
      <w:pPr>
        <w:spacing w:after="0" w:line="240" w:lineRule="auto"/>
      </w:pPr>
      <w:r>
        <w:separator/>
      </w:r>
    </w:p>
  </w:footnote>
  <w:footnote w:type="continuationSeparator" w:id="0">
    <w:p w:rsidR="00DD6344" w:rsidRDefault="001E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DFCC1D2A"/>
    <w:lvl w:ilvl="0">
      <w:start w:val="1"/>
      <w:numFmt w:val="decimal"/>
      <w:lvlText w:val="%1."/>
      <w:lvlJc w:val="left"/>
      <w:pPr>
        <w:ind w:left="-36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pPr>
        <w:ind w:left="-36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."/>
      <w:lvlJc w:val="left"/>
      <w:pPr>
        <w:ind w:left="-36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FE460F"/>
    <w:multiLevelType w:val="multilevel"/>
    <w:tmpl w:val="6B18EF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876922"/>
    <w:multiLevelType w:val="hybridMultilevel"/>
    <w:tmpl w:val="209A40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0B04"/>
    <w:multiLevelType w:val="multilevel"/>
    <w:tmpl w:val="4BE88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5E2B60"/>
    <w:multiLevelType w:val="multilevel"/>
    <w:tmpl w:val="7544321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253681D"/>
    <w:multiLevelType w:val="hybridMultilevel"/>
    <w:tmpl w:val="77AA29A0"/>
    <w:lvl w:ilvl="0" w:tplc="BF0A8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4504E9"/>
    <w:multiLevelType w:val="hybridMultilevel"/>
    <w:tmpl w:val="FB9E74FC"/>
    <w:lvl w:ilvl="0" w:tplc="838CF2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44"/>
    <w:rsid w:val="001E279C"/>
    <w:rsid w:val="00224252"/>
    <w:rsid w:val="005610BD"/>
    <w:rsid w:val="008A067F"/>
    <w:rsid w:val="00C52F97"/>
    <w:rsid w:val="00D37D65"/>
    <w:rsid w:val="00DD6344"/>
    <w:rsid w:val="00E05E4A"/>
    <w:rsid w:val="00E63081"/>
    <w:rsid w:val="00E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AB7D8-3BDA-4FC9-993B-7283E9ED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ac">
    <w:name w:val="Обычный текст"/>
    <w:basedOn w:val="a"/>
    <w:link w:val="ad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d">
    <w:name w:val="Обычный текст Знак"/>
    <w:link w:val="ac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footnote text"/>
    <w:basedOn w:val="a"/>
    <w:link w:val="af0"/>
    <w:semiHidden/>
    <w:pPr>
      <w:tabs>
        <w:tab w:val="left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semiHidden/>
    <w:rPr>
      <w:rFonts w:cs="Times New Roman"/>
      <w:vertAlign w:val="superscript"/>
    </w:rPr>
  </w:style>
  <w:style w:type="paragraph" w:styleId="2">
    <w:name w:val="List Number 2"/>
    <w:basedOn w:val="a"/>
    <w:uiPriority w:val="99"/>
    <w:pPr>
      <w:keepNext/>
      <w:keepLines/>
      <w:numPr>
        <w:numId w:val="6"/>
      </w:numPr>
      <w:tabs>
        <w:tab w:val="left" w:pos="1260"/>
      </w:tabs>
      <w:spacing w:before="120"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af2">
    <w:name w:val="caption"/>
    <w:basedOn w:val="a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uiPriority w:val="99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2">
    <w:name w:val="Основной текст с отступом 32"/>
    <w:basedOn w:val="a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pPr>
      <w:spacing w:after="0" w:line="240" w:lineRule="auto"/>
    </w:pPr>
  </w:style>
  <w:style w:type="character" w:customStyle="1" w:styleId="22">
    <w:name w:val="Основной текст Знак2"/>
    <w:aliases w:val="body text Знак2"/>
    <w:rPr>
      <w:sz w:val="22"/>
      <w:lang w:val="en-GB" w:eastAsia="en-US" w:bidi="ar-SA"/>
    </w:rPr>
  </w:style>
  <w:style w:type="paragraph" w:styleId="af4">
    <w:name w:val="Body Text Indent"/>
    <w:basedOn w:val="a"/>
    <w:link w:val="af5"/>
    <w:uiPriority w:val="99"/>
    <w:semiHidden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7B69-8997-428B-9142-8302269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Усман</dc:creator>
  <cp:keywords/>
  <dc:description/>
  <cp:lastModifiedBy>Гирина Марина Владимировна</cp:lastModifiedBy>
  <cp:revision>10</cp:revision>
  <cp:lastPrinted>2019-02-08T06:40:00Z</cp:lastPrinted>
  <dcterms:created xsi:type="dcterms:W3CDTF">2019-03-11T09:54:00Z</dcterms:created>
  <dcterms:modified xsi:type="dcterms:W3CDTF">2019-03-20T09:05:00Z</dcterms:modified>
</cp:coreProperties>
</file>