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37" w:rsidRDefault="00B06AA8" w:rsidP="0091334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  <w:lang w:val="en-US"/>
        </w:rPr>
        <w:t>VII</w:t>
      </w:r>
      <w:r>
        <w:rPr>
          <w:rFonts w:ascii="Garamond" w:hAnsi="Garamond"/>
          <w:b/>
          <w:bCs/>
          <w:sz w:val="28"/>
          <w:szCs w:val="28"/>
        </w:rPr>
        <w:t>.4</w:t>
      </w:r>
      <w:r w:rsidR="0091334B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 xml:space="preserve"> Изменения, связанные с верификацией отчетной информации в части величин реструктурированной и мораторной задолженности</w:t>
      </w:r>
    </w:p>
    <w:p w:rsidR="00975037" w:rsidRDefault="00975037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975037" w:rsidRPr="0091334B" w:rsidRDefault="00B06AA8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Pr="0091334B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7.4.1</w:t>
      </w:r>
    </w:p>
    <w:p w:rsidR="00975037" w:rsidRDefault="00975037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975037" w:rsidTr="009B0ADB">
        <w:tc>
          <w:tcPr>
            <w:tcW w:w="14879" w:type="dxa"/>
          </w:tcPr>
          <w:p w:rsidR="00975037" w:rsidRDefault="00B06AA8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Инициатор:</w:t>
            </w:r>
            <w:r>
              <w:rPr>
                <w:rFonts w:ascii="Garamond" w:hAnsi="Garamond"/>
                <w:bCs/>
              </w:rPr>
              <w:t xml:space="preserve"> Ассоциация «НП Совет рынка»</w:t>
            </w:r>
            <w:r w:rsidR="00A763C2">
              <w:rPr>
                <w:rFonts w:ascii="Garamond" w:hAnsi="Garamond"/>
                <w:bCs/>
              </w:rPr>
              <w:t>.</w:t>
            </w:r>
          </w:p>
          <w:p w:rsidR="00975037" w:rsidRDefault="00B06A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</w:rPr>
              <w:t xml:space="preserve">: Наблюдательным советом Ассоциации «НП Совет рынка» 24.11.2017 утверждены изменения в регламенты оптового рынка, связанные с исключением реструктурированной задолженности из алгоритма расчета индикатора К1 и мораторной задолженности из алгоритма расчета индикатора К2, с ограниченным сроком действия </w:t>
            </w:r>
            <w:r w:rsidR="0091334B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до 31.01.2018. </w:t>
            </w:r>
            <w:r w:rsidR="0091334B">
              <w:rPr>
                <w:rFonts w:ascii="Garamond" w:hAnsi="Garamond"/>
              </w:rPr>
              <w:t>Ранее т</w:t>
            </w:r>
            <w:r>
              <w:rPr>
                <w:rFonts w:ascii="Garamond" w:hAnsi="Garamond"/>
              </w:rPr>
              <w:t xml:space="preserve">акже дано поручение разработать и вынести на рассмотрение Наблюдательного совета Ассоциации «НП Совет рынка» изменения, позволяющие обеспечить возможность </w:t>
            </w:r>
            <w:proofErr w:type="gramStart"/>
            <w:r>
              <w:rPr>
                <w:rFonts w:ascii="Garamond" w:hAnsi="Garamond"/>
              </w:rPr>
              <w:t>верификации</w:t>
            </w:r>
            <w:proofErr w:type="gramEnd"/>
            <w:r>
              <w:rPr>
                <w:rFonts w:ascii="Garamond" w:hAnsi="Garamond"/>
              </w:rPr>
              <w:t xml:space="preserve"> получаемой от гарантирующих поставщиков и </w:t>
            </w:r>
            <w:proofErr w:type="spellStart"/>
            <w:r>
              <w:rPr>
                <w:rFonts w:ascii="Garamond" w:hAnsi="Garamond"/>
              </w:rPr>
              <w:t>энергосбытовых</w:t>
            </w:r>
            <w:proofErr w:type="spellEnd"/>
            <w:r>
              <w:rPr>
                <w:rFonts w:ascii="Garamond" w:hAnsi="Garamond"/>
              </w:rPr>
              <w:t xml:space="preserve"> организаций отчетной информации в части величин реструктурированной и мораторной задолженности (поручение Наблюдательного совета Ассоциации «НП Совет рынка» № 1575, </w:t>
            </w:r>
            <w:r w:rsidR="0091334B">
              <w:rPr>
                <w:rFonts w:ascii="Garamond" w:hAnsi="Garamond"/>
              </w:rPr>
              <w:t>п</w:t>
            </w:r>
            <w:r>
              <w:rPr>
                <w:rFonts w:ascii="Garamond" w:hAnsi="Garamond"/>
              </w:rPr>
              <w:t>ротокол № 21/2017 от 20.09.2017).</w:t>
            </w:r>
          </w:p>
          <w:p w:rsidR="00975037" w:rsidRDefault="00B06AA8" w:rsidP="00A763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 xml:space="preserve">1 </w:t>
            </w:r>
            <w:r w:rsidR="00E0587C">
              <w:rPr>
                <w:rFonts w:ascii="Garamond" w:hAnsi="Garamond"/>
                <w:bCs/>
              </w:rPr>
              <w:t>апреля</w:t>
            </w:r>
            <w:r>
              <w:rPr>
                <w:rFonts w:ascii="Garamond" w:hAnsi="Garamond"/>
                <w:bCs/>
              </w:rPr>
              <w:t xml:space="preserve"> 2018 года</w:t>
            </w:r>
            <w:r w:rsidR="00A763C2">
              <w:rPr>
                <w:rFonts w:ascii="Garamond" w:hAnsi="Garamond"/>
                <w:bCs/>
              </w:rPr>
              <w:t>.</w:t>
            </w:r>
            <w:r>
              <w:rPr>
                <w:rFonts w:ascii="Garamond" w:hAnsi="Garamond"/>
                <w:bCs/>
              </w:rPr>
              <w:t xml:space="preserve"> </w:t>
            </w:r>
          </w:p>
        </w:tc>
      </w:tr>
    </w:tbl>
    <w:p w:rsidR="00975037" w:rsidRDefault="00975037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975037" w:rsidRDefault="00B06AA8" w:rsidP="00A763C2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975037" w:rsidRDefault="00975037">
      <w:pPr>
        <w:pStyle w:val="afc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975037" w:rsidTr="009B0ADB">
        <w:trPr>
          <w:trHeight w:val="435"/>
        </w:trPr>
        <w:tc>
          <w:tcPr>
            <w:tcW w:w="1008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975037" w:rsidRDefault="00B06AA8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975037" w:rsidTr="009B0ADB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4.1.1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К1 осуществляется на основе данных формы приложения № 47А по одной из следующих формул: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а) в случае принятия ЦФР данных от участника оптового рынка по форме приложения 47Р к 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>
              <w:rPr>
                <w:rFonts w:ascii="Garamond" w:hAnsi="Garamond"/>
                <w:sz w:val="22"/>
                <w:szCs w:val="22"/>
              </w:rPr>
              <w:t>(Приложение № 16 к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): 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)) /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T,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/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(потери)) * T, 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lastRenderedPageBreak/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Cрз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13 «Реструктурированная»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столбца 3 «Фактические начисления за отчетный период» строки «Услуги по передаче» Блока II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К1 осуществляется на основе данных формы приложения № 47А, по одной из следующих формул: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а) в случае принятия ЦФР данных от участника по форме приложения 47Р к </w:t>
            </w:r>
            <w:r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 (Приложение № 16 к Договору о присоединении к торговой системе оптового рынка)</w:t>
            </w:r>
            <w:r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)) /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T,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/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T,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lastRenderedPageBreak/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Cрз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9 «Фактический размер остатка реструктурированной задолженности (по основному долгу) на отчетную дату» строки «Итого расшифрованная задолженность» формы № 47Р;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столбца 3 «Фактические начисления за отчетный период» строки «Услуги по передаче» Блока II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  <w:p w:rsidR="00975037" w:rsidRDefault="00F6060D" w:rsidP="00F6060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На основании решения Комиссии при Наблюдательном совете Ассоциации «НП Совет рынка» по платежам на оптовом рынке электрической энергии и мощности, принятого с</w:t>
            </w:r>
            <w:r w:rsidR="001D7ED6">
              <w:rPr>
                <w:rFonts w:ascii="Garamond" w:hAnsi="Garamond"/>
                <w:sz w:val="22"/>
                <w:szCs w:val="22"/>
                <w:highlight w:val="yellow"/>
              </w:rPr>
              <w:t xml:space="preserve"> учетом результатов проверки реструктурированной задолженности, проведенной ЦФР в соответствии с п</w:t>
            </w:r>
            <w:r w:rsidR="001D7ED6" w:rsidRPr="00F6060D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="001D7ED6" w:rsidRPr="00F31AE8">
              <w:rPr>
                <w:rFonts w:ascii="Garamond" w:hAnsi="Garamond"/>
                <w:sz w:val="22"/>
                <w:szCs w:val="22"/>
                <w:highlight w:val="yellow"/>
              </w:rPr>
              <w:t>16.1.3.2</w:t>
            </w:r>
            <w:r w:rsidR="001D7ED6" w:rsidRPr="00F6060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D7ED6"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</w:t>
            </w:r>
            <w:r w:rsid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>а</w:t>
            </w:r>
            <w:r w:rsidR="001D7ED6"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финансовых расчетов на оптовом рынке электроэнергии </w:t>
            </w:r>
            <w:r w:rsidR="001D7ED6" w:rsidRPr="00465509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="001D7ED6"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="001D7ED6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B06AA8">
              <w:rPr>
                <w:rFonts w:ascii="Garamond" w:hAnsi="Garamond"/>
                <w:sz w:val="22"/>
                <w:szCs w:val="22"/>
                <w:highlight w:val="yellow"/>
              </w:rPr>
              <w:t xml:space="preserve">асчет фактического значения индикатора К1 может быть произведен по формуле 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="00B06AA8">
              <w:rPr>
                <w:rFonts w:ascii="Garamond" w:hAnsi="Garamond"/>
                <w:sz w:val="22"/>
                <w:szCs w:val="22"/>
                <w:highlight w:val="yellow"/>
              </w:rPr>
              <w:t>б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="00B06AA8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</w:tr>
      <w:tr w:rsidR="00975037" w:rsidTr="009B0ADB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4.1.2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К2 осуществляется на основе данных формы приложения № 47А, указанной в приложении 1 к настоящему Регламенту, по одной из следующих формул: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а) в случае принятия ЦФР данных от участника оптового рынка по форме приложения 47М к 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>
              <w:rPr>
                <w:rFonts w:ascii="Garamond" w:hAnsi="Garamond"/>
                <w:sz w:val="22"/>
                <w:szCs w:val="22"/>
              </w:rPr>
              <w:t>(Приложение № 16 к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):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К2 = 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К2 = 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17 «Мораторная»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17 «Мораторная»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 столбца 3 «Фактические начисления за электроэнергию (мощность) за отчетный период»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47А, ЦФР за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К2 осуществляется на основе данных формы приложения № 47А, указанной в приложении 1 к настоящему регламенту, по одной из следующих формул: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а) в случае принятия ЦФР данных от участника по форме приложения 47М к </w:t>
            </w:r>
            <w:r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 (Приложение № 16 к Договору о присоединении к торговой системе оптового рынка)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К2 = 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К2 = 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(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-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7 «Фактический размер требований кредитора (по основному долгу) с учетом проведенных платежей» строки «Итого расшифрованная задолженность» формы № 47М;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-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7 «Фактический размер требований кредитора (по основному долгу) с учетом проведенных платежей» строки «Итого расшифрованная задолженность МРСК и прочих ТСО» формы № 47М;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 столбца 3 «Фактические начисления за электроэнергию (мощность) за отчетный период»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ВСЕГО» Блока I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  <w:p w:rsidR="00975037" w:rsidRDefault="00F6060D" w:rsidP="004C5F77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На основании решения Комиссии при Наблюдательном совете Ассоциации «НП Совет рынка» по платежам на оптовом рынке электрической энергии и мощности, принятого с учетом результатов проверки мораторной задолженности, проведенной ЦФР в соответствии с п</w:t>
            </w:r>
            <w:r w:rsidRPr="00F6060D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Pr="0070466E">
              <w:rPr>
                <w:rFonts w:ascii="Garamond" w:hAnsi="Garamond"/>
                <w:sz w:val="22"/>
                <w:szCs w:val="22"/>
                <w:highlight w:val="yellow"/>
              </w:rPr>
              <w:t>16.1.3.2</w:t>
            </w:r>
            <w:r w:rsidRPr="00F6060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>а</w:t>
            </w:r>
            <w:r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финансовых расчетов на оптовом рынке электроэнергии </w:t>
            </w:r>
            <w:r w:rsidRPr="00465509"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 w:rsidRPr="001D7ED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 фактического значения индикатора К2 может быть произведен по формуле 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б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</w:tr>
    </w:tbl>
    <w:p w:rsidR="00975037" w:rsidRDefault="00975037">
      <w:pPr>
        <w:rPr>
          <w:rFonts w:ascii="Garamond" w:hAnsi="Garamond"/>
          <w:sz w:val="26"/>
          <w:szCs w:val="26"/>
        </w:rPr>
      </w:pPr>
    </w:p>
    <w:p w:rsidR="00975037" w:rsidRDefault="00B06AA8" w:rsidP="00364987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975037" w:rsidRDefault="00975037">
      <w:pPr>
        <w:rPr>
          <w:b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237"/>
        <w:gridCol w:w="7654"/>
      </w:tblGrid>
      <w:tr w:rsidR="00975037" w:rsidRPr="00364987" w:rsidTr="00364987">
        <w:tc>
          <w:tcPr>
            <w:tcW w:w="1060" w:type="dxa"/>
            <w:vAlign w:val="center"/>
          </w:tcPr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237" w:type="dxa"/>
          </w:tcPr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975037" w:rsidRPr="00364987" w:rsidRDefault="00B06AA8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4" w:type="dxa"/>
          </w:tcPr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75037" w:rsidRPr="00364987" w:rsidTr="00364987">
        <w:tc>
          <w:tcPr>
            <w:tcW w:w="1060" w:type="dxa"/>
            <w:vAlign w:val="center"/>
          </w:tcPr>
          <w:p w:rsidR="00975037" w:rsidRPr="00364987" w:rsidRDefault="00B06AA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64987">
              <w:rPr>
                <w:rFonts w:ascii="Garamond" w:hAnsi="Garamond"/>
                <w:b/>
                <w:sz w:val="22"/>
                <w:szCs w:val="22"/>
              </w:rPr>
              <w:t>16.1.3.2</w:t>
            </w:r>
          </w:p>
        </w:tc>
        <w:tc>
          <w:tcPr>
            <w:tcW w:w="6237" w:type="dxa"/>
          </w:tcPr>
          <w:p w:rsidR="00975037" w:rsidRPr="00364987" w:rsidRDefault="00B06AA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t xml:space="preserve">16.1.3.2. В целях обеспечения учета реструктурированной и/или мораторной задолженности при осуществлении мониторинга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</w:rPr>
              <w:t xml:space="preserve"> деятельности гарантирующие поставщики и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</w:rPr>
              <w:t xml:space="preserve"> организации, отразившие величины такой задолженности в форме приложения 47А за отчетный месяц m, вправе направить в ЦФР расшифровку реструктурированной задолженности за услуги по передаче электроэнергии и/или мораторной задолженности потребителей – субъектов розничных рынков за электрическую энергию  за отчетный месяц m.</w:t>
            </w:r>
          </w:p>
          <w:p w:rsidR="00975037" w:rsidRPr="00364987" w:rsidRDefault="00B06AA8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lastRenderedPageBreak/>
              <w:t xml:space="preserve">Данные предоставляются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соответствии с формами приложений 47Р и 47М к настоящему Регламенту, в электронном виде с использованием ЭП с помощью ПО «АРМ участника». Указанные данные представляются в целом по участнику оптового рынка по факту за отчетный месяц </w:t>
            </w:r>
            <w:r w:rsidRPr="00364987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</w:rPr>
              <w:t xml:space="preserve">, с расшифровкой данных в отношении каждого заключенного участником оптового рынка с контрагентами Соглашения о реструктуризации и/или Мирового соглашения, а также каждого арбитражного дела, находящегося в </w:t>
            </w:r>
            <w:r w:rsidRPr="00364987">
              <w:rPr>
                <w:rFonts w:ascii="Garamond" w:hAnsi="Garamond"/>
                <w:i/>
                <w:sz w:val="22"/>
                <w:szCs w:val="22"/>
              </w:rPr>
              <w:t>Информационной системе "Картотека арбитражных дел" (далее - КАД), утвержденной постановлением Пленума Высшего Арбитражного Суда Российской Федерации от 25.12.2013г. № 100)</w:t>
            </w:r>
            <w:r w:rsidRPr="00364987">
              <w:rPr>
                <w:rFonts w:ascii="Garamond" w:hAnsi="Garamond"/>
                <w:sz w:val="22"/>
                <w:szCs w:val="22"/>
              </w:rPr>
              <w:t>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 xml:space="preserve">ЦФР осуществляет проверку представленных данных в течение 2 (двух) рабочих дней после получения данных от участника оптового рынка. По результатам проверки ЦФР принимает или не принимает к учету данные, представленные по формам приложений 47Р и/или 47М к настоящему Регламенту,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КО. 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В случае принятия указанных данных ЦФР размещает уведомление по форме приложения 142 к настоящему Регламенту. В случае непринятия данных по форме приложения 47Р к настоящему Регламенту ЦФР размещает уведомление по форме приложения 145В к настоящему Регламенту. В случае непринятия данных по форме приложения 47М к настоящему Регламенту ЦФР размещает уведомление по форме приложения 145Г к настоящему Регламенту.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ЦФР не принимает к учету данные по формам приложений 47Р и 47М к настоящему Регламенту, если: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 xml:space="preserve">– сумма указанных в них фактических остатков реструктурированной и/или мораторной задолженности в части основного долга (без учета штрафов и пеней) в отчетном периоде m не соответствует величине, указанной в столбце №13 "Реструктурированная задолженность" и/или №17 "Мораторная задолженность" формы приложения №47А к настоящему 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Регламенту, представленной участником оптового рынка за отчетный период </w:t>
            </w:r>
            <w:r w:rsidRPr="00364987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- величины указанных в них фактических остатков реструктурированной задолженности в части основного долга (без учета штрафов и пеней) в отчетном периоде m больше указанных в них в соответствии с соглашением о реструктуризации общих величин реструктурированной задолженности в части основного долга (без учета штрафов и пеней);</w:t>
            </w:r>
          </w:p>
          <w:p w:rsidR="00975037" w:rsidRPr="00364987" w:rsidRDefault="00B06AA8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t>- величины указанных в них фактических остатков мораторной задолженности в части основного долга (без учета штрафов и пеней) в отчетном периоде m больше указанных в них в соответствии с размером требований кредиторов, установленных соответствующими судебными актами, общих величин мораторной задолженности в части основного долга (без учета штрафов и пеней).</w:t>
            </w:r>
          </w:p>
        </w:tc>
        <w:tc>
          <w:tcPr>
            <w:tcW w:w="7654" w:type="dxa"/>
            <w:shd w:val="clear" w:color="auto" w:fill="auto"/>
          </w:tcPr>
          <w:p w:rsidR="00975037" w:rsidRPr="00364987" w:rsidRDefault="00B06AA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lastRenderedPageBreak/>
              <w:t xml:space="preserve">16.1.3.2. В целях обеспечения учета реструктурированной и/или мораторной задолженности при осуществлении мониторинга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</w:rPr>
              <w:t xml:space="preserve"> деятельности гарантирующие поставщики и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</w:rPr>
              <w:t xml:space="preserve"> организации, отразившие величины такой задолженности в форме приложения 47А за отчетный месяц m, вправе направить в ЦФР расшифровку реструктурированной задолженности за услуги по передаче электроэнергии и/или мораторной задолженности потребителей – субъектов розничных рынков за электрическую энергию  за отчетный месяц m.</w:t>
            </w:r>
          </w:p>
          <w:p w:rsidR="00975037" w:rsidRPr="00364987" w:rsidRDefault="00B06AA8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</w:rPr>
              <w:t xml:space="preserve">Данные предоставляются не позднее 28-го числа месяца, следующего за </w:t>
            </w:r>
            <w:r w:rsidRPr="00364987">
              <w:rPr>
                <w:rFonts w:ascii="Garamond" w:hAnsi="Garamond"/>
                <w:sz w:val="22"/>
                <w:szCs w:val="22"/>
              </w:rPr>
              <w:lastRenderedPageBreak/>
              <w:t xml:space="preserve">отчетным, либо не позднее следующего рабочего дня, если 28-е число месяца, следующего за отчетным, приходится на нерабочий день, в соответствии с формами приложений 47Р и 47М к настоящему Регламенту, в электронном виде с использованием ЭП с помощью ПО «АРМ участника». Указанные данные представляются в целом по участнику оптового рынка по факту за отчетный месяц </w:t>
            </w:r>
            <w:r w:rsidRPr="00364987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</w:rPr>
              <w:t xml:space="preserve">, с расшифровкой данных в отношении каждого заключенного участником оптового рынка с контрагентами Соглашения о реструктуризации и/или Мирового соглашения, а также каждого арбитражного дела, находящегося в </w:t>
            </w:r>
            <w:r w:rsidRPr="00364987">
              <w:rPr>
                <w:rFonts w:ascii="Garamond" w:hAnsi="Garamond"/>
                <w:i/>
                <w:sz w:val="22"/>
                <w:szCs w:val="22"/>
              </w:rPr>
              <w:t>Информационной системе "Картотека арбитражных дел" (далее - КАД), утвержденной постановлением Пленума Высшего Арбитражного Суда Российской Федерации от 25.12.2013г. № 100)</w:t>
            </w:r>
            <w:r w:rsidRPr="00364987">
              <w:rPr>
                <w:rFonts w:ascii="Garamond" w:hAnsi="Garamond"/>
                <w:sz w:val="22"/>
                <w:szCs w:val="22"/>
              </w:rPr>
              <w:t>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Срок предоставления информации по формам приложений 47Р 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 w:rsidR="00B30FEC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47М, скорректированной за отчетные периоды (месяцы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="000C7AC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 и т.д.)</w:t>
            </w:r>
            <w:r w:rsidR="000C7AC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до 5 (пятого) числа месяца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+2</w:t>
            </w:r>
            <w:r w:rsidR="00F6060D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либо до следующего рабочего дня, если 5 (пятое) число месяца </w:t>
            </w:r>
            <w:r w:rsidR="00F6060D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6060D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+2 приходится на нерабочий день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 При предоставлении скорректированной информации участником оптового рынка в адрес ЦФР направляется письмо за подписью руководителя организации либо уполномоченного лица. В письме указываются причины, объемы проведенных корректировок по каждому скорректированному отчетному периоду.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предоставлении в ЦФР до 5 (пятого) числа месяца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+2 скорректированной информации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за отчетный месяц </w:t>
            </w:r>
            <w:r w:rsidR="006F45A8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форме приложения 47А к настоящему Регламенту 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участник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также вправе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предоставить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(при необходимости)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скорректированную информацию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за отчетный месяц </w:t>
            </w:r>
            <w:r w:rsidR="006F45A8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формам приложений 47Р 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47М к настоящему Регламенту для приведения в соответствие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указанной в них </w:t>
            </w:r>
            <w:r w:rsidR="00385E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информации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 В случаях, если:</w:t>
            </w:r>
          </w:p>
          <w:p w:rsidR="00975037" w:rsidRPr="00364987" w:rsidRDefault="00364987" w:rsidP="00783BB9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скорректированн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ая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информаци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я 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за отчетный месяц </w:t>
            </w:r>
            <w:r w:rsidR="00F67610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формам приложений 47Р и (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47М к настоящему Регламенту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не предоставлена</w:t>
            </w:r>
            <w:r w:rsidR="00783BB9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или</w:t>
            </w:r>
          </w:p>
          <w:p w:rsidR="00975037" w:rsidRPr="00364987" w:rsidRDefault="0036498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скорректированн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ая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информаци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я 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за отчетный месяц </w:t>
            </w:r>
            <w:r w:rsidR="00F67610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формам приложений 47Р и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47М к настоящему Регламенту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предоставлена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но 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 принят</w:t>
            </w:r>
            <w:r w:rsidR="006F45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учету ЦФР</w:t>
            </w:r>
            <w:r w:rsidR="000C7AC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–</w:t>
            </w:r>
            <w:r w:rsidR="00B06AA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</w:p>
          <w:p w:rsidR="006F45A8" w:rsidRPr="00364987" w:rsidRDefault="00B06AA8" w:rsidP="000C7AC7">
            <w:pPr>
              <w:pStyle w:val="a4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расчет </w:t>
            </w:r>
            <w:r w:rsidR="00F67610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фактических </w:t>
            </w:r>
            <w:r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значений индикаторов К1 и К2 </w:t>
            </w:r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 xml:space="preserve">Регламента мониторинга </w:t>
            </w:r>
            <w:proofErr w:type="spellStart"/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>энергосбытовой</w:t>
            </w:r>
            <w:proofErr w:type="spellEnd"/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 xml:space="preserve"> деятельности гарантирующих поставщиков и </w:t>
            </w:r>
            <w:proofErr w:type="spellStart"/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>энергосбытовых</w:t>
            </w:r>
            <w:proofErr w:type="spellEnd"/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 xml:space="preserve"> организаций </w:t>
            </w:r>
            <w:r w:rsidRPr="00364987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  <w:lang w:val="ru-RU"/>
              </w:rPr>
              <w:t>(Приложение № 29 к</w:t>
            </w:r>
            <w:r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</w:t>
            </w:r>
            <w:r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а) </w:t>
            </w:r>
            <w:r w:rsidR="00F67610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за 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отчетный месяц </w:t>
            </w:r>
            <w:r w:rsidR="00F67610" w:rsidRPr="00D737C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67610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осуществляется на основе данных последних принятых к учету форм приложений 47Р и</w:t>
            </w:r>
            <w:r w:rsid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 (</w:t>
            </w:r>
            <w:r w:rsidR="00B30FEC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)</w:t>
            </w:r>
            <w:r w:rsidR="00F67610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 47М за 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отчетный месяц </w:t>
            </w:r>
            <w:r w:rsidR="00F67610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67610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 xml:space="preserve">ЦФР осуществляет проверку представленных данных в течение 2 (двух) рабочих дней после получения данных от участника оптового рынка. По результатам проверки ЦФР принимает или не принимает к учету данные, 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представленные по формам приложений 47Р и/или 47М к настоящему Регламенту,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КО. 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В случае принятия указанных данных ЦФР размещает уведомление по форме приложения 142 к настоящему Регламенту. В случае непринятия данных по форме приложения 47Р к настоящему Регламенту ЦФР размещает уведомление по форме приложения 145В к настоящему Регламенту. В случае непринятия данных по форме приложения 47М к настоящему Регламенту ЦФР размещает уведомление по форме приложения 145Г к настоящему Регламенту.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ЦФР не принимает к учету данные по формам приложений 47Р и 47М к настоящему Регламенту, если: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 xml:space="preserve">– сумма указанных в них фактических остатков реструктурированной и/или мораторной задолженности в части основного долга (без учета штрафов и пеней) в отчетном периоде m не соответствует величине, указанной в столбце №13 "Реструктурированная задолженность" и/или №17 "Мораторная задолженность" формы приложения №47А к настоящему Регламенту, представленной участником оптового рынка за отчетный период </w:t>
            </w:r>
            <w:r w:rsidRPr="00364987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- величины указанных в них фактических остатков реструктурированной задолженности в части основного долга (без учета штрафов и пеней) в отчетном периоде m больше указанных в них в соответствии с соглашением о реструктуризации общих величин реструктурированной задолженности в части основного долга (без учета штрафов и пеней);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- величины указанных в них фактических остатков мораторной задолженности в части основного долга (без учета штрафов и пеней) в отчетном периоде m больше указанных в них в соответствии с размером требований кредиторов, установленных соответствующими судебными актами, общих величин мораторной задолженности в части основного долга (без учета штрафов и пеней);</w:t>
            </w:r>
          </w:p>
          <w:p w:rsidR="00975037" w:rsidRPr="00364987" w:rsidRDefault="00B06AA8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– указанные участником оптового рынка уникальные коды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энергосбытовых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компаний, гарантирующих поставщиков не соответствуют кодам, присвоенным им инфраструктурными организациями;</w:t>
            </w:r>
          </w:p>
          <w:p w:rsidR="00975037" w:rsidRPr="00364987" w:rsidRDefault="00B06AA8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– столбцы и строки, предназначенные для заполнения с использованием ПО «АРМ участника», не заполнены участником оптового рынка (все поля фор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>м приложений 47Р и 47М пустые и (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равны нулю);</w:t>
            </w:r>
          </w:p>
          <w:p w:rsidR="00975037" w:rsidRPr="00364987" w:rsidRDefault="00B06AA8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– в соответствующих полях отсутствует контактная информация участника 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оптового рынка</w:t>
            </w:r>
            <w:r w:rsidRPr="00364987">
              <w:rPr>
                <w:rFonts w:ascii="Garamond" w:hAnsi="Garamond"/>
                <w:sz w:val="22"/>
                <w:szCs w:val="22"/>
              </w:rPr>
              <w:t>.</w:t>
            </w:r>
          </w:p>
          <w:p w:rsidR="000157EE" w:rsidRPr="00364987" w:rsidRDefault="000157E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В случае принятия к учету данных по формам приложений 47Р 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B30FEC" w:rsidRPr="00364987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47М (в том числе скорректированных), предоставленных участником позднее 28-го числа месяца, следующего за отчетным (или после 5 (пятого) числа месяца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+2 для скорректированных данных), </w:t>
            </w:r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>ЦФР направляет информацию об этом в Комиссию при Наблюдательном совете Совет</w:t>
            </w:r>
            <w:r w:rsidR="00055C9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по платежам на оптовом рынке электрической энергии и мощности, которая принимает решение о возможности учета предоставленных данн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>ых при расчете индикаторов К1 и (</w:t>
            </w:r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 К2 в соответствии с </w:t>
            </w:r>
            <w:proofErr w:type="spellStart"/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>пп</w:t>
            </w:r>
            <w:proofErr w:type="spellEnd"/>
            <w:r w:rsidR="00BA0A8B" w:rsidRPr="00364987">
              <w:rPr>
                <w:rFonts w:ascii="Garamond" w:hAnsi="Garamond"/>
                <w:sz w:val="22"/>
                <w:szCs w:val="22"/>
                <w:highlight w:val="yellow"/>
              </w:rPr>
              <w:t xml:space="preserve">. 4.1.1 и 4.1.2 </w:t>
            </w:r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Регламента мониторинга </w:t>
            </w:r>
            <w:proofErr w:type="spellStart"/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энергосбытовой</w:t>
            </w:r>
            <w:proofErr w:type="spellEnd"/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 деятельности гарантирующих поставщиков и </w:t>
            </w:r>
            <w:proofErr w:type="spellStart"/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энергосбытовых</w:t>
            </w:r>
            <w:proofErr w:type="spellEnd"/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 организаций </w:t>
            </w:r>
            <w:r w:rsidR="00BA0A8B" w:rsidRPr="00364987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(Приложение № 29 к</w:t>
            </w:r>
            <w:r w:rsidR="00BA0A8B" w:rsidRPr="00364987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</w:t>
            </w:r>
            <w:r w:rsidR="00BA0A8B" w:rsidRPr="002A1F0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а</w:t>
            </w:r>
            <w:r w:rsidR="00BA0A8B"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).</w:t>
            </w:r>
            <w:r w:rsidR="00BA0A8B" w:rsidRPr="0036498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вправе осуществлять выборочную проверку указываемых участником оптового рынк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 величин реструктурированной и (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мораторной задолженности по формам приложений 47Р и 47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может быть проведена в отношении участников, для которых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исключение реструктурированной 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мораторной задолженности по итогам расчета индикаторов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энергосбытовой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деятельности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период (месяц </w:t>
            </w:r>
            <w:r w:rsidR="0045680E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45680E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="002A1F0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45680E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45680E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 и т.д.)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овлекло переход индикатора К1 и (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К2 от значений, не соответствующих рекомендуемому, к значениям, соответствующим рекомендуемому.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Проверка величи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 реструктурированной и (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мораторной задолженности по формам приложений 47Р и 47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период </w:t>
            </w:r>
            <w:r w:rsidR="00EE7E0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(месяц </w:t>
            </w:r>
            <w:r w:rsidR="00EE7E08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EE7E0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</w:t>
            </w:r>
            <w:r w:rsidR="00EE7E08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EE7E0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</w:t>
            </w:r>
            <w:r w:rsidR="002A1F0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EE7E0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EE7E08"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EE7E08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 и т.д.)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осуществляется в срок не более 15 (пятнадцати) рабочих дней, начиная с даты расчета фактических значений индикаторов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энергосбытовой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деятельности за отчетный период (месяц) </w:t>
            </w:r>
            <w:r w:rsidRPr="0036498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информации о реструктурированной задолженности проводится путем сравнения данных, отраженных в форме приложения 47Р, с данными, указанными в соглашениях о реструктуризации задолженности/мировых соглашений.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Для проведения соответствующей проверки ЦФР вправе запрашивать у участника </w:t>
            </w:r>
            <w:proofErr w:type="gramStart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копии</w:t>
            </w:r>
            <w:proofErr w:type="gramEnd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указанных в форме приложения 47Р соглашений о реструктуризации задолженности/мировых соглашений со всеми приложениями, являющимися неотъемлемыми частями таких соглашений, а также запрашивать у контрагента, с которым у участника заключено соглашение о реструктуризации задолженности/мировое соглашение</w:t>
            </w:r>
            <w:r w:rsidR="002A1F0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информацию, подтверждающую действие указанных соглашений. </w:t>
            </w:r>
            <w:r w:rsidR="008F4976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Запрос о предоставлении информации для проведения проверки направляется ЦФР участнику на бумажном носителе, а также </w:t>
            </w:r>
            <w:r w:rsidR="00466E83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дублируется </w:t>
            </w:r>
            <w:r w:rsidR="008F4976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электронной почте на адрес ответственных исполнителей, указанных в </w:t>
            </w:r>
            <w:r w:rsidR="002F7041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реквизитах</w:t>
            </w:r>
            <w:r w:rsidR="008F4976"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форм приложений 47Р и 47М.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 обязан представить в адрес ЦФР запрашиваемые документы в течение 5 (пяти) рабочих дней после получения запроса ЦФР. В случае </w:t>
            </w:r>
            <w:proofErr w:type="spellStart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непред</w:t>
            </w:r>
            <w:r w:rsidR="002A1F0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ставления</w:t>
            </w:r>
            <w:proofErr w:type="spellEnd"/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(несвоевременного предоставления) участником запрашиваемых документов ЦФР направляет информацию об этом в Комиссию при Наблюдательном совете Совет</w:t>
            </w:r>
            <w:r w:rsidR="00055C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рынка по платежам на оптовом рынке электрической энергии и мощности.</w:t>
            </w:r>
          </w:p>
          <w:p w:rsidR="00975037" w:rsidRPr="00364987" w:rsidRDefault="00B06AA8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 проверке сравниваются следующие данные, указанные в форме приложения 47Р, с данными копий соглашений о реструктуризации задолженности/мировых соглашений: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реквизиты соглашения о реструктуризации задолженности/мирового соглашения;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дата вступления в силу соглашения о реструктуризации задолженности/мирового соглашения;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наименование контрагента – территориальной сетевой организации;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сумма реструктурированной задолженности (по основному долгу);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фактический размер остатка задолженности (по основному долгу).</w:t>
            </w:r>
          </w:p>
          <w:p w:rsidR="00975037" w:rsidRPr="00364987" w:rsidRDefault="00B06AA8">
            <w:pPr>
              <w:pStyle w:val="a4"/>
              <w:shd w:val="clear" w:color="auto" w:fill="FFFF00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Выборочная проверка информации о мораторной задолженности, представленной по форме приложения 47М к настоящему Регламенту, проводится путем сравнения данных, отраженных в форме приложения 47М, с аналогичными данными, указанными в судебных актах по соответствующим арбитражным делам в Информационной системе «Картотека арбитражных дел» (</w:t>
            </w:r>
            <w:hyperlink r:id="rId8" w:history="1">
              <w:r w:rsidRPr="00364987">
                <w:rPr>
                  <w:rStyle w:val="aff1"/>
                  <w:rFonts w:ascii="Garamond" w:hAnsi="Garamond"/>
                  <w:sz w:val="22"/>
                  <w:szCs w:val="22"/>
                  <w:lang w:val="ru-RU"/>
                </w:rPr>
                <w:t>http://kad.arbitr.ru/</w:t>
              </w:r>
            </w:hyperlink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975037" w:rsidRPr="00364987" w:rsidRDefault="00B06AA8">
            <w:pPr>
              <w:pStyle w:val="a4"/>
              <w:shd w:val="clear" w:color="auto" w:fill="FFFF00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При проверке сравниваются следующие данные, указанные в форме приложения 47М, с данными судебных актов: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реквизиты судебных актов;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наименования и ИНН/</w:t>
            </w:r>
            <w:r w:rsidRPr="0036498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ОГРНИП</w:t>
            </w: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дебитора (должника);</w:t>
            </w:r>
          </w:p>
          <w:p w:rsidR="00975037" w:rsidRPr="00364987" w:rsidRDefault="00B06AA8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размер требований кредитора (по основному долгу), включенных в реестр требований кредиторов.</w:t>
            </w:r>
          </w:p>
          <w:p w:rsidR="00975037" w:rsidRPr="00364987" w:rsidRDefault="00B06AA8" w:rsidP="00055C9E">
            <w:pPr>
              <w:pStyle w:val="a4"/>
              <w:shd w:val="clear" w:color="auto" w:fill="FFFF00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>Результаты проверки информации о реструктурированной и мораторной задолженности направляются в Комиссию при Наблюдательном совете Совет</w:t>
            </w:r>
            <w:r w:rsidR="00055C9E">
              <w:rPr>
                <w:rFonts w:ascii="Garamond" w:hAnsi="Garamond"/>
                <w:sz w:val="22"/>
                <w:szCs w:val="22"/>
                <w:lang w:val="ru-RU"/>
              </w:rPr>
              <w:t>а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t xml:space="preserve"> рынка по платежам на оптовом рынке электрической энергии и мощности и в </w:t>
            </w:r>
            <w:r w:rsidRPr="00364987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адрес участника оптового рынка, в отношении которого проводилась проверка, в срок, не превышающий 2 (два) рабочих дня после окончания проверки.</w:t>
            </w:r>
          </w:p>
        </w:tc>
      </w:tr>
    </w:tbl>
    <w:p w:rsidR="00975037" w:rsidRDefault="00975037">
      <w:pPr>
        <w:rPr>
          <w:rFonts w:ascii="Garamond" w:hAnsi="Garamond"/>
          <w:b/>
          <w:sz w:val="22"/>
          <w:szCs w:val="22"/>
        </w:rPr>
      </w:pPr>
    </w:p>
    <w:tbl>
      <w:tblPr>
        <w:tblW w:w="5140" w:type="pct"/>
        <w:tblInd w:w="-132" w:type="dxa"/>
        <w:tblLayout w:type="fixed"/>
        <w:tblLook w:val="00A0" w:firstRow="1" w:lastRow="0" w:firstColumn="1" w:lastColumn="0" w:noHBand="0" w:noVBand="0"/>
      </w:tblPr>
      <w:tblGrid>
        <w:gridCol w:w="1184"/>
        <w:gridCol w:w="1734"/>
        <w:gridCol w:w="1872"/>
        <w:gridCol w:w="1096"/>
        <w:gridCol w:w="1447"/>
        <w:gridCol w:w="1564"/>
        <w:gridCol w:w="1453"/>
        <w:gridCol w:w="312"/>
        <w:gridCol w:w="479"/>
        <w:gridCol w:w="923"/>
        <w:gridCol w:w="479"/>
        <w:gridCol w:w="467"/>
        <w:gridCol w:w="1968"/>
      </w:tblGrid>
      <w:tr w:rsidR="00975037" w:rsidTr="009B0AD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Действующая редакция</w:t>
            </w:r>
          </w:p>
          <w:p w:rsidR="00975037" w:rsidRDefault="00B06AA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47Р</w:t>
            </w:r>
          </w:p>
        </w:tc>
      </w:tr>
      <w:tr w:rsidR="00975037" w:rsidTr="009B0ADB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975037" w:rsidTr="009B0ADB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Реестр информации по заключенным участником оптового рынка (наименование ГП или ЭСК) соглашениям о реструктуризации задолженности на РРЭ по состоянию на (ДД.ММ.ГГГГ)</w:t>
            </w:r>
          </w:p>
          <w:p w:rsidR="00975037" w:rsidRDefault="00975037">
            <w:pPr>
              <w:jc w:val="center"/>
              <w:rPr>
                <w:rFonts w:ascii="Garamond" w:hAnsi="Garamond"/>
                <w:b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  <w:sz w:val="2"/>
                <w:szCs w:val="2"/>
              </w:rPr>
            </w:pPr>
          </w:p>
        </w:tc>
      </w:tr>
      <w:tr w:rsidR="00975037" w:rsidTr="009B0ADB">
        <w:trPr>
          <w:trHeight w:val="300"/>
        </w:trPr>
        <w:tc>
          <w:tcPr>
            <w:tcW w:w="5000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9B0ADB">
        <w:trPr>
          <w:trHeight w:val="300"/>
        </w:trPr>
        <w:tc>
          <w:tcPr>
            <w:tcW w:w="345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734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1134"/>
              <w:gridCol w:w="960"/>
              <w:gridCol w:w="960"/>
              <w:gridCol w:w="960"/>
              <w:gridCol w:w="960"/>
              <w:gridCol w:w="960"/>
            </w:tblGrid>
            <w:tr w:rsidR="00975037" w:rsidTr="00AC5366">
              <w:trPr>
                <w:trHeight w:val="69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Pr="009B0ADB" w:rsidRDefault="00B06AA8">
                  <w:pPr>
                    <w:jc w:val="center"/>
                    <w:rPr>
                      <w:rFonts w:ascii="Garamond" w:hAnsi="Garamond"/>
                      <w:b/>
                      <w:color w:val="000000"/>
                      <w:sz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Ф.И.О. исполнителя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Pr="009B0ADB" w:rsidRDefault="00B06AA8">
                  <w:pPr>
                    <w:jc w:val="center"/>
                    <w:rPr>
                      <w:rFonts w:ascii="Garamond" w:hAnsi="Garamond"/>
                      <w:color w:val="000000"/>
                      <w:sz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75037" w:rsidRPr="00AC5366" w:rsidRDefault="00975037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:rsidR="00975037" w:rsidRPr="00AC5366" w:rsidRDefault="00975037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5037" w:rsidTr="00AC536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Default="00975037">
                  <w:pPr>
                    <w:jc w:val="center"/>
                    <w:rPr>
                      <w:rFonts w:ascii="Garamond" w:hAnsi="Garamond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Pr="00AC5366" w:rsidRDefault="00B06AA8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536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Pr="00AC5366" w:rsidRDefault="00B06AA8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536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5037" w:rsidTr="00AC5366">
              <w:trPr>
                <w:trHeight w:val="9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Default="00B06AA8">
                  <w:pPr>
                    <w:jc w:val="center"/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Контактный телефон исполнителя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Default="00B06AA8">
                  <w:pPr>
                    <w:jc w:val="center"/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975037" w:rsidRPr="00AC5366" w:rsidRDefault="00975037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:rsidR="00975037" w:rsidRPr="00AC5366" w:rsidRDefault="00975037" w:rsidP="00AC536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5037">
              <w:trPr>
                <w:trHeight w:val="315"/>
              </w:trPr>
              <w:tc>
                <w:tcPr>
                  <w:tcW w:w="1073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b/>
                      <w:bCs/>
                      <w:color w:val="000000"/>
                    </w:rPr>
                  </w:pPr>
                </w:p>
              </w:tc>
            </w:tr>
          </w:tbl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9B0ADB">
        <w:trPr>
          <w:trHeight w:val="14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Название организации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Код участника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 </w:t>
            </w:r>
          </w:p>
        </w:tc>
      </w:tr>
      <w:tr w:rsidR="00975037" w:rsidTr="009B0ADB">
        <w:trPr>
          <w:trHeight w:val="13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Отчетный период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(ММ.ГГГГ)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5037" w:rsidRDefault="009750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75037" w:rsidTr="009B0ADB">
        <w:trPr>
          <w:trHeight w:val="2069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Вид документа (Соглашение о реструктуризации задолженности / Мировое соглашение)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Номер Соглашения о реструктуризации / Арбитражного дела, по которому заключено мировое соглашение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Дата соглашения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Дата вступления в силу соглашения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Наименование контрагента, с которым у ГП/ЭСК заключено соглашение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ИНН контрагента, с которым у ГП/ЭСК заключено соглашение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Сумма реструктурированной задолженности (по основному долгу) в соответствии с заключенным соглашением, руб.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Фактический размер остатка реструктурированной задолженности (по основному долгу) на отчетную дату (соответствует столбцу 13 «Реструктурированная задолженность» формы приложения 47А к Регламенту финансовых расчетов на ОРЭ), руб.</w:t>
            </w:r>
          </w:p>
        </w:tc>
      </w:tr>
      <w:tr w:rsidR="00975037" w:rsidTr="009B0ADB">
        <w:trPr>
          <w:trHeight w:val="7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75037" w:rsidTr="009B0ADB">
        <w:trPr>
          <w:trHeight w:val="3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37" w:rsidRDefault="00B06AA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30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ВСЕГО по Участнику ОРЭМ (ГП/ЭСК):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5037" w:rsidTr="009B0ADB">
        <w:trPr>
          <w:trHeight w:val="3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Соглашение о реструктуризации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037" w:rsidTr="009B0ADB">
        <w:trPr>
          <w:trHeight w:val="3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Мировое соглашение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037" w:rsidTr="009B0ADB">
        <w:trPr>
          <w:trHeight w:val="3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…………..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75037" w:rsidTr="009B0ADB">
        <w:trPr>
          <w:trHeight w:val="3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75037" w:rsidRDefault="00975037">
      <w:pPr>
        <w:rPr>
          <w:rFonts w:ascii="Garamond" w:hAnsi="Garamond"/>
          <w:b/>
          <w:sz w:val="22"/>
          <w:szCs w:val="22"/>
        </w:rPr>
        <w:sectPr w:rsidR="00975037">
          <w:footerReference w:type="default" r:id="rId9"/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tbl>
      <w:tblPr>
        <w:tblW w:w="5456" w:type="pct"/>
        <w:tblInd w:w="-132" w:type="dxa"/>
        <w:tblLayout w:type="fixed"/>
        <w:tblLook w:val="00A0" w:firstRow="1" w:lastRow="0" w:firstColumn="1" w:lastColumn="0" w:noHBand="0" w:noVBand="0"/>
      </w:tblPr>
      <w:tblGrid>
        <w:gridCol w:w="854"/>
        <w:gridCol w:w="438"/>
        <w:gridCol w:w="396"/>
        <w:gridCol w:w="1252"/>
        <w:gridCol w:w="635"/>
        <w:gridCol w:w="236"/>
        <w:gridCol w:w="236"/>
        <w:gridCol w:w="210"/>
        <w:gridCol w:w="585"/>
        <w:gridCol w:w="512"/>
        <w:gridCol w:w="976"/>
        <w:gridCol w:w="57"/>
        <w:gridCol w:w="906"/>
        <w:gridCol w:w="639"/>
        <w:gridCol w:w="391"/>
        <w:gridCol w:w="236"/>
        <w:gridCol w:w="855"/>
        <w:gridCol w:w="1049"/>
        <w:gridCol w:w="16"/>
        <w:gridCol w:w="874"/>
        <w:gridCol w:w="1590"/>
        <w:gridCol w:w="1975"/>
        <w:gridCol w:w="509"/>
        <w:gridCol w:w="236"/>
        <w:gridCol w:w="236"/>
      </w:tblGrid>
      <w:tr w:rsidR="00975037" w:rsidTr="00E0587C">
        <w:trPr>
          <w:gridAfter w:val="4"/>
          <w:wAfter w:w="930" w:type="pct"/>
          <w:trHeight w:val="300"/>
        </w:trPr>
        <w:tc>
          <w:tcPr>
            <w:tcW w:w="407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Предлагаемая редакция </w:t>
            </w:r>
          </w:p>
          <w:p w:rsidR="00975037" w:rsidRDefault="00B06AA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47Р</w:t>
            </w:r>
          </w:p>
        </w:tc>
      </w:tr>
      <w:tr w:rsidR="00975037" w:rsidTr="00E0587C">
        <w:trPr>
          <w:gridAfter w:val="4"/>
          <w:wAfter w:w="930" w:type="pct"/>
          <w:trHeight w:val="300"/>
        </w:trPr>
        <w:tc>
          <w:tcPr>
            <w:tcW w:w="407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975037" w:rsidTr="00E0587C">
        <w:trPr>
          <w:gridAfter w:val="4"/>
          <w:wAfter w:w="930" w:type="pct"/>
          <w:trHeight w:val="300"/>
        </w:trPr>
        <w:tc>
          <w:tcPr>
            <w:tcW w:w="407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Реестр информации по заключенным участником оптового рынка (наименование ГП или ЭСК) соглашениям о реструктуризации задолженности на РРЭ по состоянию на (ДД.ММ.ГГГГ)</w:t>
            </w:r>
          </w:p>
          <w:p w:rsidR="00975037" w:rsidRDefault="00975037">
            <w:pPr>
              <w:jc w:val="center"/>
              <w:rPr>
                <w:rFonts w:ascii="Garamond" w:hAnsi="Garamond"/>
                <w:b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  <w:sz w:val="2"/>
                <w:szCs w:val="2"/>
              </w:rPr>
            </w:pPr>
          </w:p>
        </w:tc>
      </w:tr>
      <w:tr w:rsidR="00975037" w:rsidTr="00E0587C">
        <w:trPr>
          <w:gridAfter w:val="4"/>
          <w:wAfter w:w="930" w:type="pct"/>
          <w:trHeight w:val="300"/>
        </w:trPr>
        <w:tc>
          <w:tcPr>
            <w:tcW w:w="407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690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Ф.И.О. исполнителя</w:t>
            </w:r>
          </w:p>
        </w:tc>
        <w:tc>
          <w:tcPr>
            <w:tcW w:w="6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Pr="009B0ADB" w:rsidRDefault="00975037" w:rsidP="009B0AD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Pr="00AC5366" w:rsidRDefault="00975037" w:rsidP="009B0ADB">
            <w:pPr>
              <w:rPr>
                <w:rFonts w:ascii="Calibri" w:hAnsi="Calibri"/>
                <w:color w:val="000000"/>
                <w:sz w:val="22"/>
                <w:highlight w:val="yellow"/>
              </w:rPr>
            </w:pPr>
          </w:p>
        </w:tc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AC5366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  <w:highlight w:val="yellow"/>
              </w:rPr>
            </w:pPr>
            <w:r w:rsidRPr="00AC5366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Должность исполнителя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AC5366" w:rsidRDefault="00B06AA8" w:rsidP="009B0ADB">
            <w:pPr>
              <w:rPr>
                <w:rFonts w:ascii="Garamond" w:hAnsi="Garamond"/>
                <w:color w:val="000000"/>
                <w:sz w:val="28"/>
                <w:highlight w:val="yellow"/>
              </w:rPr>
            </w:pPr>
            <w:r w:rsidRPr="00AC5366">
              <w:rPr>
                <w:rFonts w:ascii="Garamond" w:hAnsi="Garamond" w:cs="Arial CYR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39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Pr="00AC5366" w:rsidRDefault="00975037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Pr="00AC5366" w:rsidRDefault="00B06AA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C5366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Pr="00AC5366" w:rsidRDefault="00B06AA8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AC5366">
              <w:rPr>
                <w:rFonts w:ascii="Garamond" w:hAnsi="Garamond" w:cs="Arial CYR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91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Контактный телефон исполнителя</w:t>
            </w:r>
          </w:p>
        </w:tc>
        <w:tc>
          <w:tcPr>
            <w:tcW w:w="6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Pr="00AC5366" w:rsidRDefault="00975037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AC5366" w:rsidRDefault="00B06AA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C5366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Адрес электронной почты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AC5366" w:rsidRDefault="0097503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315"/>
        </w:trPr>
        <w:tc>
          <w:tcPr>
            <w:tcW w:w="329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7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330"/>
        </w:trPr>
        <w:tc>
          <w:tcPr>
            <w:tcW w:w="329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7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30"/>
        </w:trPr>
        <w:tc>
          <w:tcPr>
            <w:tcW w:w="9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Название организации</w:t>
            </w:r>
          </w:p>
        </w:tc>
        <w:tc>
          <w:tcPr>
            <w:tcW w:w="2036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Код участника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30"/>
        </w:trPr>
        <w:tc>
          <w:tcPr>
            <w:tcW w:w="9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Отчетный период</w:t>
            </w:r>
          </w:p>
        </w:tc>
        <w:tc>
          <w:tcPr>
            <w:tcW w:w="2036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(ММ.ГГГГ)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2490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№ п/п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Вид документа (Соглашение о реструктуризации задолженности / Мировое соглашение)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Номер Соглашения о реструктуризации / Арбитражного дела, по которому заключено мировое соглашение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Дата соглашения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 xml:space="preserve">Дата вступления в силу </w:t>
            </w: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Соглашения/ </w:t>
            </w:r>
            <w:r w:rsidRPr="00B06AA8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Дата судебного акта об утверждении мирового </w:t>
            </w:r>
            <w:r w:rsidRPr="009B0ADB">
              <w:rPr>
                <w:rFonts w:ascii="Garamond" w:hAnsi="Garamond"/>
                <w:b/>
                <w:color w:val="000000"/>
                <w:sz w:val="16"/>
                <w:highlight w:val="yellow"/>
              </w:rPr>
              <w:t>соглашения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Наименование контрагента, с которым у ГП/ЭСК заключено соглашение</w:t>
            </w:r>
          </w:p>
        </w:tc>
        <w:tc>
          <w:tcPr>
            <w:tcW w:w="3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ИНН контрагента, с которым у ГП/ЭСК заключено соглашение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Сумма реструктурированной задолженности (по основному долгу) в соответствии с заключенным соглашением, руб.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Фактический размер остатка реструктурированной задолженности (по основному долгу) на отчетную дату (соответствует столбцу 13 «Реструктурированная задолженность» формы приложения 47А к Регламенту финансовых расчетов на ОРЭ), руб.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2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3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4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5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6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7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8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9</w:t>
            </w:r>
          </w:p>
        </w:tc>
      </w:tr>
      <w:tr w:rsidR="00EE7E0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3296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08" w:rsidRPr="009B0ADB" w:rsidRDefault="00EE7E0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 xml:space="preserve">ВСЕГО по Участнику ОРЭМ (ГП/ЭСК): </w:t>
            </w:r>
            <w:r w:rsidRPr="008A3A3B">
              <w:rPr>
                <w:rFonts w:ascii="Garamond" w:hAnsi="Garamond"/>
                <w:b/>
                <w:color w:val="000000"/>
                <w:sz w:val="16"/>
                <w:highlight w:val="yellow"/>
              </w:rPr>
              <w:t>*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08" w:rsidRPr="009B0ADB" w:rsidRDefault="00EE7E0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E08" w:rsidRPr="009B0ADB" w:rsidRDefault="00EE7E0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9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Прочая реструктурированная задолженность **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Pr="009B0ADB" w:rsidRDefault="00B06AA8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9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Итого расшифрованная задолженность ***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Соглашение о реструктуризации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15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2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Мировое соглашение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30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9B0ADB">
              <w:rPr>
                <w:rFonts w:ascii="Garamond" w:hAnsi="Garamond"/>
                <w:color w:val="000000"/>
                <w:sz w:val="22"/>
              </w:rPr>
              <w:t>…………..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B06AA8" w:rsidTr="00E0587C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330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lastRenderedPageBreak/>
              <w:t>N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****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975037" w:rsidTr="00E0587C">
        <w:tblPrEx>
          <w:tblLook w:val="04A0" w:firstRow="1" w:lastRow="0" w:firstColumn="1" w:lastColumn="0" w:noHBand="0" w:noVBand="1"/>
        </w:tblPrEx>
        <w:trPr>
          <w:gridAfter w:val="1"/>
          <w:wAfter w:w="74" w:type="pct"/>
          <w:trHeight w:val="300"/>
        </w:trPr>
        <w:tc>
          <w:tcPr>
            <w:tcW w:w="40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B06A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75037" w:rsidRPr="008A3A3B" w:rsidTr="00EE7E08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465"/>
        </w:trPr>
        <w:tc>
          <w:tcPr>
            <w:tcW w:w="4852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8A3A3B" w:rsidRDefault="00B06AA8" w:rsidP="005C3E1A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1. При формировании отчетного </w:t>
            </w:r>
            <w:r w:rsidR="005C3E1A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риложения 47Р с использованием ПО «АРМ участника»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</w:tr>
      <w:tr w:rsidR="00975037" w:rsidRPr="008A3A3B" w:rsidTr="00EE7E08">
        <w:tblPrEx>
          <w:tblLook w:val="04A0" w:firstRow="1" w:lastRow="0" w:firstColumn="1" w:lastColumn="0" w:noHBand="0" w:noVBand="1"/>
        </w:tblPrEx>
        <w:trPr>
          <w:gridAfter w:val="2"/>
          <w:wAfter w:w="148" w:type="pct"/>
          <w:trHeight w:val="525"/>
        </w:trPr>
        <w:tc>
          <w:tcPr>
            <w:tcW w:w="4852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8A3A3B" w:rsidRDefault="00B06AA8" w:rsidP="005C3E1A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*</w:t>
            </w:r>
            <w:r w:rsidR="005C3E1A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С</w:t>
            </w: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трока </w:t>
            </w:r>
            <w:r w:rsidR="005C3E1A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ВСЕГО по </w:t>
            </w:r>
            <w:r w:rsidR="005C3E1A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</w:t>
            </w: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частнику ОРЭМ (ГП/ЭСК)</w:t>
            </w:r>
            <w:r w:rsidR="005C3E1A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8A3A3B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в соответствующих ячейках столбцов 8 и 9 является не редактируемой (формируется расчетным путем). Ячейки рассчитываются как сумма строк «Прочая реструктурированная задолженность» и «Итого расшифрованная задолженность».</w:t>
            </w:r>
          </w:p>
        </w:tc>
      </w:tr>
      <w:tr w:rsidR="00975037" w:rsidRPr="008A3A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5440" w:type="dxa"/>
              <w:tblLayout w:type="fixed"/>
              <w:tblLook w:val="04A0" w:firstRow="1" w:lastRow="0" w:firstColumn="1" w:lastColumn="0" w:noHBand="0" w:noVBand="1"/>
            </w:tblPr>
            <w:tblGrid>
              <w:gridCol w:w="14991"/>
              <w:gridCol w:w="213"/>
              <w:gridCol w:w="236"/>
            </w:tblGrid>
            <w:tr w:rsidR="00975037" w:rsidRPr="008A3A3B">
              <w:trPr>
                <w:gridAfter w:val="2"/>
                <w:wAfter w:w="236" w:type="dxa"/>
                <w:trHeight w:val="570"/>
              </w:trPr>
              <w:tc>
                <w:tcPr>
                  <w:tcW w:w="15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Pr="008A3A3B" w:rsidRDefault="00B06AA8" w:rsidP="005C3E1A">
                  <w:pPr>
                    <w:jc w:val="both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**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В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строке «Прочая реструктурированная задолженность» в каждом из столбцов 8 и 9 одним числовым значением указывается суммарная величина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«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Прочей реструктурированной задолженности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»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, не вошедшей в строку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«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Итого расшифрованная задолженность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»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.</w:t>
                  </w:r>
                </w:p>
              </w:tc>
            </w:tr>
            <w:tr w:rsidR="00975037" w:rsidRPr="008A3A3B">
              <w:trPr>
                <w:trHeight w:val="300"/>
              </w:trPr>
              <w:tc>
                <w:tcPr>
                  <w:tcW w:w="15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Pr="008A3A3B" w:rsidRDefault="00B06AA8" w:rsidP="005C3E1A">
                  <w:pPr>
                    <w:jc w:val="both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***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С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трока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«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Итого расшифрованная задолженность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»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в соответствующих ячейках столбцов 8 и 9 является не редактируемой (формируется расчетным путем). Ячейки рассчитываются как сумма строк от 1 до N.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Pr="008A3A3B" w:rsidRDefault="00975037">
                  <w:pPr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75037" w:rsidRPr="008A3A3B">
              <w:trPr>
                <w:trHeight w:val="300"/>
              </w:trPr>
              <w:tc>
                <w:tcPr>
                  <w:tcW w:w="15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Pr="008A3A3B" w:rsidRDefault="00B06AA8" w:rsidP="005C3E1A">
                  <w:pPr>
                    <w:jc w:val="both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****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У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казывается расшифрованная информация в отношении каждого заключенного участником ОРЭМ (ГП/ЭСК) с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с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етевыми организациями Соглашения о реструктуризации задолженности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/ Мирового соглашения.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Pr="008A3A3B" w:rsidRDefault="00975037">
                  <w:pPr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75037" w:rsidRPr="008A3A3B">
              <w:trPr>
                <w:trHeight w:val="1035"/>
              </w:trPr>
              <w:tc>
                <w:tcPr>
                  <w:tcW w:w="15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Pr="008A3A3B" w:rsidRDefault="00B06AA8" w:rsidP="005C3E1A">
                  <w:pPr>
                    <w:ind w:left="-84"/>
                    <w:jc w:val="both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2. При расчете значения индикатора К1 в соответствии с </w:t>
                  </w:r>
                  <w:r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подпунктом </w:t>
                  </w:r>
                  <w:r w:rsidR="005C3E1A"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>«</w:t>
                  </w:r>
                  <w:r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>а</w:t>
                  </w:r>
                  <w:r w:rsidR="005C3E1A"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>»</w:t>
                  </w:r>
                  <w:r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п.</w:t>
                  </w:r>
                  <w:r w:rsidR="005C3E1A"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>4.1.1</w:t>
                  </w:r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Регламента мониторинга </w:t>
                  </w:r>
                  <w:proofErr w:type="spellStart"/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>энергосбытовой</w:t>
                  </w:r>
                  <w:proofErr w:type="spellEnd"/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деятельности гарантирующих поставщиков и </w:t>
                  </w:r>
                  <w:proofErr w:type="spellStart"/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>энергосбытовых</w:t>
                  </w:r>
                  <w:proofErr w:type="spellEnd"/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организаций </w:t>
                  </w:r>
                  <w:r w:rsidRPr="005C3E1A">
                    <w:rPr>
                      <w:rFonts w:ascii="Garamond" w:hAnsi="Garamond"/>
                      <w:iCs/>
                      <w:color w:val="000000"/>
                      <w:sz w:val="20"/>
                      <w:szCs w:val="20"/>
                      <w:highlight w:val="yellow"/>
                    </w:rPr>
                    <w:t>(Приложение № 29 к</w:t>
                  </w:r>
                  <w:r w:rsidRPr="008A3A3B">
                    <w:rPr>
                      <w:rFonts w:ascii="Garamond" w:hAnsi="Garamond"/>
                      <w:i/>
                      <w:iCs/>
                      <w:color w:val="000000"/>
                      <w:sz w:val="20"/>
                      <w:szCs w:val="20"/>
                      <w:highlight w:val="yellow"/>
                    </w:rPr>
                    <w:t xml:space="preserve"> Договору о присоединении к торговой системе оптового рынка) 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к учету принимаются фактические размеры остатков реструктурированной задолженности (столбец 9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п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риложения 47Р), расшифрованные в отношении каждого заключенного участником ОРЭМ (ГП/ЭСК) с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с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етевыми организациями Соглашения о реструктуризации задолженности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/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Мирового соглашения (без учета информации, отраженной в строке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«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Прочая реструктурированная задолженность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»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5C3E1A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п</w:t>
                  </w:r>
                  <w:r w:rsidRPr="008A3A3B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риложения 47Р).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975037" w:rsidRPr="008A3A3B" w:rsidRDefault="00975037">
                  <w:pPr>
                    <w:jc w:val="both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975037" w:rsidRPr="008A3A3B" w:rsidRDefault="00975037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  <w:tr w:rsidR="00975037" w:rsidTr="00EE7E0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2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037" w:rsidRDefault="009750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75037" w:rsidTr="00EE7E0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52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037" w:rsidRDefault="009750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75037" w:rsidTr="00E0587C">
        <w:trPr>
          <w:trHeight w:val="300"/>
        </w:trPr>
        <w:tc>
          <w:tcPr>
            <w:tcW w:w="2618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4558" w:type="dxa"/>
              <w:tblInd w:w="93" w:type="dxa"/>
              <w:tblLayout w:type="fixed"/>
              <w:tblLook w:val="00A0" w:firstRow="1" w:lastRow="0" w:firstColumn="1" w:lastColumn="0" w:noHBand="0" w:noVBand="0"/>
            </w:tblPr>
            <w:tblGrid>
              <w:gridCol w:w="3989"/>
              <w:gridCol w:w="10569"/>
            </w:tblGrid>
            <w:tr w:rsidR="00975037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037" w:rsidRDefault="00975037">
                  <w:pPr>
                    <w:jc w:val="center"/>
                    <w:rPr>
                      <w:rFonts w:ascii="Garamond" w:hAnsi="Garamond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75037" w:rsidRDefault="00975037">
                  <w:pPr>
                    <w:jc w:val="center"/>
                    <w:rPr>
                      <w:rFonts w:ascii="Garamond" w:hAnsi="Garamond"/>
                      <w:b/>
                      <w:bCs/>
                      <w:color w:val="000000"/>
                    </w:rPr>
                  </w:pPr>
                </w:p>
              </w:tc>
            </w:tr>
          </w:tbl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43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:rsidR="00975037" w:rsidRDefault="00975037">
      <w:pPr>
        <w:rPr>
          <w:rFonts w:ascii="Garamond" w:hAnsi="Garamond" w:cs="Arial"/>
          <w:sz w:val="16"/>
          <w:szCs w:val="16"/>
        </w:rPr>
      </w:pPr>
    </w:p>
    <w:p w:rsidR="00975037" w:rsidRDefault="00975037">
      <w:pPr>
        <w:rPr>
          <w:rFonts w:ascii="Garamond" w:hAnsi="Garamond"/>
          <w:b/>
          <w:sz w:val="22"/>
          <w:szCs w:val="22"/>
        </w:rPr>
      </w:pPr>
    </w:p>
    <w:p w:rsidR="00975037" w:rsidRDefault="00975037">
      <w:pPr>
        <w:rPr>
          <w:rFonts w:ascii="Garamond" w:hAnsi="Garamond"/>
          <w:b/>
          <w:sz w:val="22"/>
          <w:szCs w:val="22"/>
        </w:rPr>
        <w:sectPr w:rsidR="00975037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tbl>
      <w:tblPr>
        <w:tblW w:w="14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959"/>
        <w:gridCol w:w="2176"/>
        <w:gridCol w:w="2123"/>
        <w:gridCol w:w="1597"/>
        <w:gridCol w:w="1984"/>
        <w:gridCol w:w="2647"/>
        <w:gridCol w:w="3169"/>
      </w:tblGrid>
      <w:tr w:rsidR="00975037" w:rsidTr="009B0ADB">
        <w:trPr>
          <w:trHeight w:val="300"/>
        </w:trPr>
        <w:tc>
          <w:tcPr>
            <w:tcW w:w="14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Действующая редакция</w:t>
            </w:r>
          </w:p>
          <w:p w:rsidR="00975037" w:rsidRDefault="00B06AA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47М</w:t>
            </w:r>
          </w:p>
        </w:tc>
      </w:tr>
      <w:tr w:rsidR="00975037" w:rsidTr="009B0ADB">
        <w:trPr>
          <w:trHeight w:val="300"/>
        </w:trPr>
        <w:tc>
          <w:tcPr>
            <w:tcW w:w="14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975037" w:rsidTr="009B0ADB">
        <w:trPr>
          <w:trHeight w:val="600"/>
        </w:trPr>
        <w:tc>
          <w:tcPr>
            <w:tcW w:w="14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Реестр информации, передаваемой участником оптового рынка (наименование ГП или ЭСК) в целях верификации объемов мораторной задолженности на РРЭ по состоянию на (ДД.ММ.ГГГГ)</w:t>
            </w: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tbl>
            <w:tblPr>
              <w:tblW w:w="7940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2920"/>
              <w:gridCol w:w="960"/>
              <w:gridCol w:w="960"/>
              <w:gridCol w:w="760"/>
              <w:gridCol w:w="1220"/>
            </w:tblGrid>
            <w:tr w:rsidR="00975037">
              <w:trPr>
                <w:trHeight w:val="690"/>
              </w:trPr>
              <w:tc>
                <w:tcPr>
                  <w:tcW w:w="1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Ф.И.О. исполнителя</w:t>
                  </w:r>
                </w:p>
              </w:tc>
              <w:tc>
                <w:tcPr>
                  <w:tcW w:w="2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Должность исполнителя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5037">
              <w:trPr>
                <w:trHeight w:val="390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5037">
              <w:trPr>
                <w:trHeight w:val="690"/>
              </w:trPr>
              <w:tc>
                <w:tcPr>
                  <w:tcW w:w="1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Контактный телефон исполнителя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037" w:rsidRDefault="00975037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Адрес электронной почты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975037" w:rsidRDefault="00B06AA8">
                  <w:pPr>
                    <w:rPr>
                      <w:rFonts w:ascii="Garamond" w:hAnsi="Garamon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Garamond" w:hAnsi="Garamond" w:cs="Arial CYR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5037" w:rsidRDefault="009750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75037" w:rsidTr="009B0ADB">
        <w:trPr>
          <w:trHeight w:val="300"/>
        </w:trPr>
        <w:tc>
          <w:tcPr>
            <w:tcW w:w="3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37" w:rsidRPr="009B0ADB" w:rsidRDefault="00975037">
            <w:pPr>
              <w:jc w:val="center"/>
              <w:rPr>
                <w:rFonts w:ascii="Garamond" w:hAnsi="Garamond"/>
                <w:b/>
                <w:sz w:val="16"/>
              </w:rPr>
            </w:pP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37" w:rsidRPr="009B0ADB" w:rsidRDefault="00975037">
            <w:pPr>
              <w:jc w:val="center"/>
              <w:rPr>
                <w:rFonts w:ascii="Garamond" w:hAnsi="Garamond"/>
                <w:b/>
                <w:sz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5037" w:rsidRPr="009B0ADB" w:rsidRDefault="00975037" w:rsidP="009B0ADB">
            <w:pPr>
              <w:rPr>
                <w:rFonts w:ascii="Garamond" w:hAnsi="Garamond"/>
                <w:b/>
                <w:sz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37" w:rsidRPr="009B0ADB" w:rsidRDefault="00975037" w:rsidP="009B0ADB">
            <w:pPr>
              <w:jc w:val="center"/>
              <w:rPr>
                <w:rFonts w:ascii="Garamond" w:hAnsi="Garamond"/>
                <w:b/>
                <w:sz w:val="16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37" w:rsidRPr="009B0ADB" w:rsidRDefault="00975037">
            <w:pPr>
              <w:jc w:val="center"/>
              <w:rPr>
                <w:rFonts w:ascii="Garamond" w:hAnsi="Garamond"/>
                <w:b/>
                <w:sz w:val="16"/>
              </w:rPr>
            </w:pPr>
          </w:p>
        </w:tc>
      </w:tr>
      <w:tr w:rsidR="00B06AA8">
        <w:trPr>
          <w:trHeight w:val="300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Название организации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Код участника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 </w:t>
            </w:r>
          </w:p>
        </w:tc>
      </w:tr>
      <w:tr w:rsidR="00975037" w:rsidTr="009B0ADB">
        <w:trPr>
          <w:trHeight w:val="300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Отчетный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(ММ.ГГГГ)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975037" w:rsidTr="009B0ADB">
        <w:trPr>
          <w:trHeight w:val="174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Номер арбитражного дела (сведения на сайте Информационной системы «Картотека арбитражных дел» http://kad.arbitr.ru/)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Наименование дебитора (должника)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ИНН дебитора (должника)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Размер требований кредитора (по основному долгу), включенных в реестр требований кредиторов, руб.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Фактический размер требований кредитора (по основному долгу) с учетом проведенных платежей (соответствует столбцу 17 «Мораторная задолженность» формы приложения 47А к Регламенту финансовых расчетов на ОРЭ), руб.</w:t>
            </w:r>
          </w:p>
        </w:tc>
      </w:tr>
      <w:tr w:rsidR="00975037" w:rsidTr="009B0ADB">
        <w:trPr>
          <w:trHeight w:val="1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B06A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7</w:t>
            </w:r>
          </w:p>
        </w:tc>
      </w:tr>
      <w:tr w:rsidR="00975037" w:rsidTr="009B0ADB">
        <w:trPr>
          <w:trHeight w:val="26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37" w:rsidRDefault="00B06AA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5037" w:rsidRDefault="00B06AA8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ВСЕГО по участнику ОРЭМ (ГП/ЭСК):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B06AA8">
        <w:trPr>
          <w:trHeight w:val="3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B06AA8">
        <w:trPr>
          <w:trHeight w:val="3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75037" w:rsidRDefault="00975037">
            <w:pPr>
              <w:jc w:val="right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B06AA8">
        <w:trPr>
          <w:trHeight w:val="3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…………..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B06AA8">
        <w:trPr>
          <w:trHeight w:val="3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75037" w:rsidRDefault="0097503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</w:tr>
    </w:tbl>
    <w:p w:rsidR="00975037" w:rsidRDefault="00975037">
      <w:pPr>
        <w:rPr>
          <w:rFonts w:ascii="Garamond" w:hAnsi="Garamond"/>
          <w:b/>
          <w:sz w:val="22"/>
          <w:szCs w:val="22"/>
        </w:rPr>
        <w:sectPr w:rsidR="00975037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tbl>
      <w:tblPr>
        <w:tblW w:w="14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20"/>
        <w:gridCol w:w="2920"/>
        <w:gridCol w:w="960"/>
        <w:gridCol w:w="960"/>
        <w:gridCol w:w="760"/>
        <w:gridCol w:w="1375"/>
        <w:gridCol w:w="1593"/>
        <w:gridCol w:w="1951"/>
        <w:gridCol w:w="2977"/>
        <w:gridCol w:w="39"/>
      </w:tblGrid>
      <w:tr w:rsidR="00975037" w:rsidTr="009B0ADB">
        <w:trPr>
          <w:trHeight w:val="300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B06AA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Предлагаемая редакция </w:t>
            </w:r>
          </w:p>
          <w:p w:rsidR="00975037" w:rsidRDefault="00B06AA8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47М</w:t>
            </w:r>
          </w:p>
        </w:tc>
      </w:tr>
      <w:tr w:rsidR="00975037" w:rsidTr="009B0ADB">
        <w:trPr>
          <w:trHeight w:val="300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  <w:p w:rsidR="00975037" w:rsidRDefault="00975037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975037" w:rsidTr="009B0ADB">
        <w:trPr>
          <w:trHeight w:val="600"/>
        </w:trPr>
        <w:tc>
          <w:tcPr>
            <w:tcW w:w="146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037" w:rsidRDefault="00B06AA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Реестр информации, передаваемой участником оптового рынка (наименование ГП или ЭСК) в целях верификации объемов мораторной задолженности на РРЭ по состоянию на (ДД.ММ.ГГГГ)</w:t>
            </w:r>
          </w:p>
          <w:p w:rsidR="00975037" w:rsidRDefault="0097503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06AA8" w:rsidTr="00E0587C">
        <w:trPr>
          <w:gridAfter w:val="1"/>
          <w:wAfter w:w="39" w:type="dxa"/>
          <w:trHeight w:val="6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 w:rsidP="009B0ADB">
            <w:pPr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Ф.И.О. исполнителя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 w:rsidP="009B0ADB">
            <w:pPr>
              <w:rPr>
                <w:rFonts w:ascii="Garamond" w:hAnsi="Garamond"/>
                <w:color w:val="000000"/>
                <w:sz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Pr="009B0ADB" w:rsidRDefault="00B06AA8" w:rsidP="009B0AD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 w:rsidP="009B0ADB">
            <w:pPr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Должность исполнителя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Pr="009B0ADB" w:rsidRDefault="00B06AA8" w:rsidP="009B0ADB">
            <w:pPr>
              <w:rPr>
                <w:rFonts w:ascii="Garamond" w:hAnsi="Garamond"/>
                <w:color w:val="000000"/>
                <w:sz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AA8" w:rsidTr="00E0587C">
        <w:trPr>
          <w:gridAfter w:val="1"/>
          <w:wAfter w:w="39" w:type="dxa"/>
          <w:trHeight w:val="39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AA8" w:rsidTr="00E0587C">
        <w:trPr>
          <w:gridAfter w:val="1"/>
          <w:wAfter w:w="39" w:type="dxa"/>
          <w:trHeight w:val="6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Default="00B06AA8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Контактный телефон исполнителя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037" w:rsidRDefault="0097503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Default="00B06AA8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Адрес электронной почты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Default="00B06AA8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Default="00B06AA8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Название организации</w:t>
            </w:r>
          </w:p>
        </w:tc>
        <w:tc>
          <w:tcPr>
            <w:tcW w:w="40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975037">
            <w:pPr>
              <w:rPr>
                <w:rFonts w:ascii="Garamond" w:hAnsi="Garamond"/>
                <w:b/>
                <w:color w:val="000000"/>
                <w:sz w:val="16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Код участника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Отчетный период</w:t>
            </w:r>
          </w:p>
        </w:tc>
        <w:tc>
          <w:tcPr>
            <w:tcW w:w="40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(ММ.ГГГГ)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975037">
            <w:pPr>
              <w:rPr>
                <w:rFonts w:ascii="Garamond" w:hAnsi="Garamond"/>
                <w:b/>
                <w:color w:val="000000"/>
                <w:sz w:val="1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975037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20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№ п/п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Номер арбитражного дела (сведения на сайте Информационной системы «Картотека арбитражных дел» http://kad.arbitr.ru/)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Дата судебного акта о включении требований кредитора в реестр требований кредиторов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Наименование дебитора (должника)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ИНН</w:t>
            </w: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ОГРНИП</w:t>
            </w:r>
            <w:r w:rsidR="005C3E1A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*</w:t>
            </w:r>
            <w:r w:rsidRPr="009B0ADB">
              <w:rPr>
                <w:rFonts w:ascii="Garamond" w:hAnsi="Garamond"/>
                <w:b/>
                <w:color w:val="000000"/>
                <w:sz w:val="16"/>
              </w:rPr>
              <w:t xml:space="preserve"> дебитора (должника)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Размер требований кредитора (по основному долгу), включенных в реестр требований кредиторов, руб.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>Фактический размер требований кредитора (по основному долгу) с учетом проведенных платежей (соответствует столбцу 17 «Мораторная задолженность» формы приложения 47А к Регламенту финансовых расчетов на ОРЭ), руб.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2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037" w:rsidRPr="009B0ADB" w:rsidRDefault="00B06AA8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 w:rsidRPr="009B0ADB">
              <w:rPr>
                <w:rFonts w:ascii="Garamond" w:hAnsi="Garamond"/>
                <w:color w:val="000000"/>
                <w:sz w:val="16"/>
              </w:rPr>
              <w:t>7</w:t>
            </w:r>
          </w:p>
        </w:tc>
      </w:tr>
      <w:tr w:rsidR="00EE7E08" w:rsidTr="00E0587C">
        <w:trPr>
          <w:gridAfter w:val="1"/>
          <w:wAfter w:w="39" w:type="dxa"/>
          <w:trHeight w:val="315"/>
        </w:trPr>
        <w:tc>
          <w:tcPr>
            <w:tcW w:w="9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7E08" w:rsidRPr="009B0ADB" w:rsidRDefault="00EE7E0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  <w:r w:rsidRPr="009B0ADB">
              <w:rPr>
                <w:rFonts w:ascii="Garamond" w:hAnsi="Garamond"/>
                <w:b/>
                <w:color w:val="000000"/>
                <w:sz w:val="16"/>
              </w:rPr>
              <w:t xml:space="preserve">ВСЕГО по участнику ОРЭМ (ГП/ЭСК): </w:t>
            </w:r>
            <w:r w:rsidRPr="005C3E1A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  <w:highlight w:val="yellow"/>
              </w:rPr>
              <w:t>**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E08" w:rsidRPr="009B0ADB" w:rsidRDefault="00EE7E08">
            <w:pPr>
              <w:jc w:val="center"/>
              <w:rPr>
                <w:rFonts w:ascii="Garamond" w:hAnsi="Garamond"/>
                <w:b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E08" w:rsidRPr="009B0ADB" w:rsidRDefault="00EE7E08">
            <w:pPr>
              <w:jc w:val="right"/>
              <w:rPr>
                <w:rFonts w:ascii="Garamond" w:hAnsi="Garamond"/>
                <w:b/>
                <w:color w:val="000000"/>
                <w:sz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Прочая мораторная задолженность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Итого расшифрованная задолженность</w:t>
            </w:r>
            <w:r w:rsidR="005C3E1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****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…………..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N*****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5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Итого расшифрованная задолженность МРСК и прочих ТСО ******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75037" w:rsidRDefault="00B06AA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…………..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B06AA8" w:rsidTr="00E0587C">
        <w:trPr>
          <w:gridAfter w:val="1"/>
          <w:wAfter w:w="39" w:type="dxa"/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N*******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975037" w:rsidRDefault="00B06AA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75037" w:rsidTr="00E0587C">
        <w:trPr>
          <w:gridAfter w:val="1"/>
          <w:wAfter w:w="39" w:type="dxa"/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Default="00975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75037" w:rsidRPr="00E70209" w:rsidTr="00B06AA8">
        <w:trPr>
          <w:gridAfter w:val="1"/>
          <w:wAfter w:w="39" w:type="dxa"/>
          <w:trHeight w:val="76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E70209" w:rsidRDefault="00B06AA8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 ОГРНИП используется для отражения в отчетном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риложении 47М информации по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ндивидуальным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редпринимателям (ИП) и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к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рестьянско-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ф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ермерским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х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озяйствам (КФХ). ОГРНИП (основной государственный номер индивидуального предпринимателя) присваивается территориальным налоговым органом Российской Федерации; информация о ОГРНИП содержится в выписке из ЕГРИП (Единый государственный реестр индивидуальных предпринимателей Российской Федерации).</w:t>
            </w:r>
          </w:p>
        </w:tc>
      </w:tr>
      <w:tr w:rsidR="00975037" w:rsidRPr="00E70209" w:rsidTr="00B06AA8">
        <w:trPr>
          <w:gridAfter w:val="1"/>
          <w:wAfter w:w="39" w:type="dxa"/>
          <w:trHeight w:val="51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E70209" w:rsidRDefault="00B06AA8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1. При формировании отчетного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риложения 47М с использованием ПО «АРМ участника» заполняются только ячейки, доступные для заполнения (редактируемые ячейки). Остальные ячейки являются не редактируемыми (с рассчитанными данными) и недоступны для пользователя.</w:t>
            </w:r>
          </w:p>
        </w:tc>
      </w:tr>
      <w:tr w:rsidR="009B0ADB" w:rsidRPr="00E70209" w:rsidTr="009B0ADB">
        <w:trPr>
          <w:gridAfter w:val="1"/>
          <w:wAfter w:w="39" w:type="dxa"/>
          <w:trHeight w:val="55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трока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ВСЕГО по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частнику ОРЭМ (ГП/ЭСК)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в соответствующих ячейках столбцов 6 и 7 является не редактируемой (формируется расчетным путем). Ячейки рассчитываются как сумма строк «Прочая мораторная задолженность», «Итого расшифрованная задолженность» и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 МРСК и прочих ТСО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9B0ADB" w:rsidRPr="00E70209" w:rsidTr="009B0ADB">
        <w:trPr>
          <w:gridAfter w:val="1"/>
          <w:wAfter w:w="39" w:type="dxa"/>
          <w:trHeight w:val="55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В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строке «Прочая мораторная задолженность» в каждом из столбцов 6 и 7 одним числовым значением указывается суммарная величина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Прочей мораторной задолженности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, не вошедшей в строки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и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 МРСК и прочих ТСО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975037" w:rsidRPr="00E70209" w:rsidTr="00B06AA8">
        <w:trPr>
          <w:gridAfter w:val="1"/>
          <w:wAfter w:w="39" w:type="dxa"/>
          <w:trHeight w:val="46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E70209" w:rsidRDefault="00B06AA8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трока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в соответствующих ячейках столбцов 6 и 7 является не редактируемой (формируется расчетным путем). Ячейки рассчитываются как сумма строк от 1 до N блока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975037" w:rsidRPr="00E70209" w:rsidTr="00B06AA8">
        <w:trPr>
          <w:gridAfter w:val="1"/>
          <w:wAfter w:w="39" w:type="dxa"/>
          <w:trHeight w:val="55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E70209" w:rsidRDefault="00B06AA8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*****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казывается расшифрованная информация в отношении каждого судебного акта, включенного в реестр требований кредиторов по каждому дебитору (должнику), имеющему перед участником ОРЭМ (ГП/ЭСК) мораторную задолженность за потребленную на розничных рынках электроэнергию.</w:t>
            </w:r>
          </w:p>
        </w:tc>
      </w:tr>
      <w:tr w:rsidR="009B0ADB" w:rsidRPr="00E70209" w:rsidTr="009B0ADB">
        <w:trPr>
          <w:gridAfter w:val="1"/>
          <w:wAfter w:w="39" w:type="dxa"/>
          <w:trHeight w:val="64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******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трока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 МРСК и прочих ТСО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в соответствующих ячейках столбцов 6 и 7 является не редактируемой (формируется расчетным путем). Ячейки рассчитываются как сумма строк от 1 до N блока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Итого расшифрованная задолженность МРСК и прочих ТСО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9B0ADB" w:rsidRPr="00E70209" w:rsidTr="00385E41">
        <w:trPr>
          <w:gridAfter w:val="1"/>
          <w:wAfter w:w="39" w:type="dxa"/>
          <w:trHeight w:val="69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D11C00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*******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казывается расшифрованная информация в отношении каждого судебного акта, включенного в реестр требований кредиторов по каждому должнику, имеющему перед участником ОРЭМ (ГП/ЭСК) мораторную задолженность по заключенным ГП/ЭСК с </w:t>
            </w:r>
            <w:r w:rsidR="00D11C00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етевыми организациями договорам оказания услуг на передачу электроэнергии в части расчетов за потери, оплачиваемые ДЗО ПАО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proofErr w:type="spellStart"/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Россети</w:t>
            </w:r>
            <w:proofErr w:type="spellEnd"/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(МРСК) и прочими ТСО.</w:t>
            </w:r>
          </w:p>
        </w:tc>
      </w:tr>
      <w:tr w:rsidR="009B0ADB" w:rsidRPr="00E70209" w:rsidTr="00385E41">
        <w:trPr>
          <w:gridAfter w:val="1"/>
          <w:wAfter w:w="39" w:type="dxa"/>
          <w:trHeight w:val="70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2. При расчете значения индикатора К2 в соответствии с подпунктом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а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п.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4.1.2 </w:t>
            </w:r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 xml:space="preserve">Регламента мониторинга </w:t>
            </w:r>
            <w:proofErr w:type="spellStart"/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>энергосбытовой</w:t>
            </w:r>
            <w:proofErr w:type="spellEnd"/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 xml:space="preserve"> деятельности гарантирующих поставщиков и </w:t>
            </w:r>
            <w:proofErr w:type="spellStart"/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>энергосбытовых</w:t>
            </w:r>
            <w:proofErr w:type="spellEnd"/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 xml:space="preserve"> организаций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(Приложение № 29 к </w:t>
            </w:r>
            <w:r w:rsidRPr="00E70209">
              <w:rPr>
                <w:rFonts w:ascii="Garamond" w:hAnsi="Garamond"/>
                <w:i/>
                <w:color w:val="000000"/>
                <w:sz w:val="20"/>
                <w:szCs w:val="20"/>
                <w:highlight w:val="yellow"/>
              </w:rPr>
              <w:t>Договору о присоединении к торговой системе оптового рынка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)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к учету принимаются фактические размеры требований кредитора (по основному долгу) с учетом проведенных платежей (столбец 7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риложения 47М), расшифрованные в отношении каждого судебного акта, включенного в реестр требований кредиторов по каждому дебитору (должнику), имеющему перед участником ОРЭМ (ГП/ЭСК) мораторную задолженность:</w:t>
            </w:r>
          </w:p>
        </w:tc>
      </w:tr>
      <w:tr w:rsidR="009B0ADB" w:rsidRPr="00E70209" w:rsidTr="00385E41">
        <w:trPr>
          <w:gridAfter w:val="1"/>
          <w:wAfter w:w="39" w:type="dxa"/>
          <w:trHeight w:val="211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9B0ADB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а) за потребленную на розничных рынках электроэнергию;</w:t>
            </w:r>
          </w:p>
        </w:tc>
      </w:tr>
      <w:tr w:rsidR="009B0ADB" w:rsidRPr="00E70209" w:rsidTr="00385E41">
        <w:trPr>
          <w:gridAfter w:val="1"/>
          <w:wAfter w:w="39" w:type="dxa"/>
          <w:trHeight w:val="46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DB" w:rsidRPr="00E70209" w:rsidRDefault="009B0ADB" w:rsidP="00E70209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б) по заключенным ГП/ЭСК с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етевыми организациями договорам оказания услуг на передачу электроэнергии в части расчетов за потери, оплачиваемые ДЗО ПАО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proofErr w:type="spellStart"/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Россети</w:t>
            </w:r>
            <w:proofErr w:type="spellEnd"/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(МРСК) и прочими ТСО.</w:t>
            </w:r>
          </w:p>
        </w:tc>
      </w:tr>
      <w:tr w:rsidR="00975037" w:rsidRPr="00E70209" w:rsidTr="00B06AA8">
        <w:trPr>
          <w:gridAfter w:val="1"/>
          <w:wAfter w:w="39" w:type="dxa"/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037" w:rsidRPr="00E70209" w:rsidRDefault="00AC5366" w:rsidP="00AC5366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</w:t>
            </w:r>
            <w:r w:rsidR="00B06AA8"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асчет значений индикатора К2 осуществляется без учета информации, отраженной в строке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="00B06AA8"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Прочая мораторная задолженность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="00B06AA8"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="00B06AA8" w:rsidRPr="00E7020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риложения 47М.</w:t>
            </w:r>
          </w:p>
        </w:tc>
      </w:tr>
    </w:tbl>
    <w:p w:rsidR="00975037" w:rsidRPr="009B0ADB" w:rsidRDefault="00975037" w:rsidP="009B0ADB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</w:rPr>
      </w:pPr>
    </w:p>
    <w:p w:rsidR="00975037" w:rsidRDefault="00975037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E70209" w:rsidRPr="00E70209" w:rsidRDefault="00E70209" w:rsidP="009B0ADB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E70209" w:rsidRPr="00E70209" w:rsidRDefault="00E70209" w:rsidP="009B0ADB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E70209" w:rsidRPr="00E70209" w:rsidRDefault="00E70209" w:rsidP="009B0ADB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975037" w:rsidRPr="009B0ADB" w:rsidRDefault="00B06AA8" w:rsidP="009B0ADB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lang w:val="en-US"/>
        </w:rPr>
      </w:pPr>
      <w:proofErr w:type="spellStart"/>
      <w:r>
        <w:rPr>
          <w:rFonts w:ascii="Garamond" w:hAnsi="Garamond"/>
          <w:b/>
          <w:sz w:val="28"/>
          <w:szCs w:val="28"/>
          <w:lang w:val="en-US"/>
        </w:rPr>
        <w:lastRenderedPageBreak/>
        <w:t>Приложение</w:t>
      </w:r>
      <w:proofErr w:type="spellEnd"/>
      <w:r>
        <w:rPr>
          <w:rFonts w:ascii="Garamond" w:hAnsi="Garamond"/>
          <w:b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sz w:val="28"/>
          <w:szCs w:val="28"/>
        </w:rPr>
        <w:t>№</w:t>
      </w:r>
      <w:r w:rsidR="00055C9E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7.4.2</w:t>
      </w:r>
    </w:p>
    <w:p w:rsidR="00975037" w:rsidRDefault="00975037">
      <w:pPr>
        <w:jc w:val="right"/>
        <w:rPr>
          <w:rFonts w:ascii="Garamond" w:hAnsi="Garamond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975037" w:rsidTr="009B0ADB">
        <w:trPr>
          <w:trHeight w:val="332"/>
        </w:trPr>
        <w:tc>
          <w:tcPr>
            <w:tcW w:w="15021" w:type="dxa"/>
          </w:tcPr>
          <w:p w:rsidR="00975037" w:rsidRDefault="00B06AA8" w:rsidP="00AE710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Дата вступления в силу: </w:t>
            </w:r>
            <w:r>
              <w:rPr>
                <w:rFonts w:ascii="Garamond" w:hAnsi="Garamond"/>
              </w:rPr>
              <w:t>1 февраля 2018 года.</w:t>
            </w:r>
          </w:p>
        </w:tc>
      </w:tr>
    </w:tbl>
    <w:p w:rsidR="00975037" w:rsidRDefault="00975037">
      <w:pPr>
        <w:keepNext/>
        <w:ind w:right="-296"/>
        <w:rPr>
          <w:rFonts w:ascii="Garamond" w:hAnsi="Garamond"/>
          <w:b/>
          <w:sz w:val="22"/>
          <w:szCs w:val="22"/>
        </w:rPr>
      </w:pPr>
    </w:p>
    <w:p w:rsidR="00975037" w:rsidRDefault="00B06AA8" w:rsidP="00465509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975037" w:rsidRDefault="00975037">
      <w:pPr>
        <w:pStyle w:val="afc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975037" w:rsidTr="009B0ADB">
        <w:trPr>
          <w:trHeight w:val="435"/>
        </w:trPr>
        <w:tc>
          <w:tcPr>
            <w:tcW w:w="1008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975037" w:rsidRDefault="00B06AA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975037" w:rsidRDefault="00B06AA8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975037" w:rsidTr="009B0ADB">
        <w:trPr>
          <w:trHeight w:val="435"/>
        </w:trPr>
        <w:tc>
          <w:tcPr>
            <w:tcW w:w="1008" w:type="dxa"/>
            <w:vAlign w:val="center"/>
          </w:tcPr>
          <w:p w:rsidR="00975037" w:rsidRDefault="00B06A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4.1.1</w:t>
            </w:r>
          </w:p>
        </w:tc>
        <w:tc>
          <w:tcPr>
            <w:tcW w:w="6784" w:type="dxa"/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К1 осуществляется на основе данных формы № 47А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по формуле: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/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 * T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столбца 3 «Фактические начисления за отчетный период» строки «Услуги по передаче» Блока II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</w:tc>
        <w:tc>
          <w:tcPr>
            <w:tcW w:w="7087" w:type="dxa"/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Расчет фактического значения индикатора К1 осуществляется на основе данных формы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приложения </w:t>
            </w:r>
            <w:r>
              <w:rPr>
                <w:rFonts w:ascii="Garamond" w:hAnsi="Garamond"/>
                <w:sz w:val="22"/>
                <w:szCs w:val="22"/>
              </w:rPr>
              <w:t>№ 47А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одной из следующих формул: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принятия ЦФР данных от участника оптового рынка по форме приложения 47Р к 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): 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)) /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* T,</w:t>
            </w:r>
          </w:p>
          <w:p w:rsidR="00975037" w:rsidRDefault="00B06AA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К1 =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/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–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* T,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Cрз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13 «Реструктурированная» строки «Услуги по передаче» Блока II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тсо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столбца 3 «Фактические начисления за отчетный период» строки «Услуги по передаче» Блока II формы № 47А,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</w:tc>
      </w:tr>
      <w:tr w:rsidR="00975037" w:rsidTr="009B0ADB">
        <w:trPr>
          <w:trHeight w:val="435"/>
        </w:trPr>
        <w:tc>
          <w:tcPr>
            <w:tcW w:w="1008" w:type="dxa"/>
            <w:vAlign w:val="center"/>
          </w:tcPr>
          <w:p w:rsidR="00975037" w:rsidRDefault="00B06A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4.1.2</w:t>
            </w:r>
          </w:p>
        </w:tc>
        <w:tc>
          <w:tcPr>
            <w:tcW w:w="6784" w:type="dxa"/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К2 осуществляется на основе данных формы № 47А указанной в приложении 1 к настоящему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sz w:val="22"/>
                <w:szCs w:val="22"/>
              </w:rPr>
              <w:t>егламенту,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формуле: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</w:t>
            </w:r>
            <w:proofErr w:type="gramStart"/>
            <w:r>
              <w:rPr>
                <w:rFonts w:ascii="Garamond" w:hAnsi="Garamond"/>
                <w:sz w:val="22"/>
                <w:szCs w:val="22"/>
                <w:highlight w:val="yellow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 столбца 3 «Фактические начисления за электроэнергию (мощность) за отчетный период»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lastRenderedPageBreak/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</w:tc>
        <w:tc>
          <w:tcPr>
            <w:tcW w:w="7087" w:type="dxa"/>
          </w:tcPr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Расчет фактического значения индикатора К2 осуществляется на основе данных формы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приложения</w:t>
            </w:r>
            <w:r>
              <w:rPr>
                <w:rFonts w:ascii="Garamond" w:hAnsi="Garamond"/>
                <w:sz w:val="22"/>
                <w:szCs w:val="22"/>
              </w:rPr>
              <w:t xml:space="preserve"> № 47А, указанной в приложении 1 к настоящему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sz w:val="22"/>
                <w:szCs w:val="22"/>
              </w:rPr>
              <w:t>егламенту,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одной из следующих формул: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принятия ЦФР данных от участника оптового рынка по форме приложения 47М к 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(Приложение № 16 к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(потери) -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</w:t>
            </w:r>
            <w:proofErr w:type="gramStart"/>
            <w:r>
              <w:rPr>
                <w:rFonts w:ascii="Garamond" w:hAnsi="Garamond"/>
                <w:sz w:val="22"/>
                <w:szCs w:val="22"/>
                <w:highlight w:val="yellow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975037" w:rsidRDefault="00B06AA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К2 = 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 - 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</w:t>
            </w:r>
            <w:proofErr w:type="gramStart"/>
            <w:r>
              <w:rPr>
                <w:rFonts w:ascii="Garamond" w:hAnsi="Garamond"/>
                <w:sz w:val="22"/>
                <w:szCs w:val="22"/>
                <w:highlight w:val="yellow"/>
              </w:rPr>
              <w:t>))/</w:t>
            </w:r>
            <w:proofErr w:type="gram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-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Ссс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(потери)) * Т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</w:instrTex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instrText>QUOTE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instrText xml:space="preserve">  </w:instrTex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Cмз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) 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17 «Мораторная»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компания, ВСЕГО»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lastRenderedPageBreak/>
              <w:t>Cсз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мз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(потери) </w:t>
            </w:r>
            <w:r w:rsidR="00465509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17 «Мораторная» строки «Потери» Блока I формы № 47А;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Cсс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ррэ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)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 столбца 3 «Фактические начисления за электроэнергию (мощность) за отчетный период» строки «Участник оптового рынка – гарантирующий поставщик /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компания, ВСЕГО» Блока I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Cсc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975037" w:rsidRDefault="00B06AA8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Рекомендуемое значение индикатора К2 – не более 75 дней.</w:t>
            </w:r>
          </w:p>
        </w:tc>
      </w:tr>
    </w:tbl>
    <w:p w:rsidR="00975037" w:rsidRDefault="00975037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07445" w:rsidRDefault="00007445" w:rsidP="00007445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975037" w:rsidRDefault="00B06AA8" w:rsidP="008A3A3B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975037" w:rsidRDefault="00975037" w:rsidP="00007445">
      <w:pPr>
        <w:jc w:val="both"/>
        <w:rPr>
          <w:rFonts w:ascii="Garamond" w:hAnsi="Garamond"/>
          <w:b/>
          <w:iCs/>
        </w:rPr>
      </w:pPr>
    </w:p>
    <w:p w:rsidR="00975037" w:rsidRDefault="00B06AA8" w:rsidP="00007445">
      <w:pPr>
        <w:jc w:val="both"/>
        <w:rPr>
          <w:rFonts w:ascii="Garamond" w:eastAsia="SimSun" w:hAnsi="Garamond"/>
          <w:b/>
          <w:sz w:val="26"/>
          <w:szCs w:val="26"/>
        </w:rPr>
      </w:pPr>
      <w:r>
        <w:rPr>
          <w:rFonts w:ascii="Garamond" w:eastAsia="SimSun" w:hAnsi="Garamond"/>
          <w:b/>
          <w:sz w:val="26"/>
          <w:szCs w:val="26"/>
        </w:rPr>
        <w:t>Добавить строк</w:t>
      </w:r>
      <w:r w:rsidR="0091334B">
        <w:rPr>
          <w:rFonts w:ascii="Garamond" w:eastAsia="SimSun" w:hAnsi="Garamond"/>
          <w:b/>
          <w:sz w:val="26"/>
          <w:szCs w:val="26"/>
        </w:rPr>
        <w:t>у</w:t>
      </w:r>
      <w:r>
        <w:rPr>
          <w:rFonts w:ascii="Garamond" w:eastAsia="SimSun" w:hAnsi="Garamond"/>
          <w:b/>
          <w:sz w:val="26"/>
          <w:szCs w:val="26"/>
        </w:rPr>
        <w:t xml:space="preserve"> в приложение 2 к Правилам ЭДО СЭД КО:</w:t>
      </w:r>
    </w:p>
    <w:p w:rsidR="00975037" w:rsidRDefault="00975037">
      <w:pPr>
        <w:rPr>
          <w:rFonts w:ascii="Garamond" w:eastAsia="SimSun" w:hAnsi="Garamond"/>
          <w:i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975037" w:rsidRPr="008A3A3B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75037" w:rsidRPr="008A3A3B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037" w:rsidRPr="008A3A3B" w:rsidRDefault="00B06AA8">
            <w:pPr>
              <w:ind w:hanging="2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CFR_PART_DOP_F47_REJECT2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Уведомление участника оптового рынка об отказе в приеме отчета при обработке информации по форме приложения 145б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 w:rsidP="00913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Регламент </w:t>
            </w:r>
            <w:r w:rsidR="0091334B">
              <w:rPr>
                <w:rFonts w:ascii="Arial" w:hAnsi="Arial" w:cs="Arial"/>
                <w:sz w:val="18"/>
                <w:szCs w:val="18"/>
                <w:highlight w:val="yellow"/>
              </w:rPr>
              <w:t>№ 16,</w:t>
            </w:r>
            <w:r w:rsidR="0091334B" w:rsidRPr="008A3A3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п. 16.1.3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8A3A3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xlsx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1.3.6.1.4.1.18545.1.2.1.8</w:t>
            </w:r>
          </w:p>
          <w:p w:rsidR="00975037" w:rsidRPr="008A3A3B" w:rsidRDefault="009750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Excel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6 </w:t>
            </w:r>
            <w:proofErr w:type="spellStart"/>
            <w:r w:rsidRPr="008A3A3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мес</w:t>
            </w:r>
            <w:proofErr w:type="spellEnd"/>
          </w:p>
        </w:tc>
      </w:tr>
    </w:tbl>
    <w:p w:rsidR="00975037" w:rsidRDefault="00975037">
      <w:pPr>
        <w:rPr>
          <w:rFonts w:ascii="Garamond" w:hAnsi="Garamond" w:cs="Arial"/>
          <w:sz w:val="16"/>
          <w:szCs w:val="16"/>
        </w:rPr>
      </w:pPr>
    </w:p>
    <w:p w:rsidR="00975037" w:rsidRDefault="00975037">
      <w:pPr>
        <w:rPr>
          <w:rFonts w:ascii="Garamond" w:hAnsi="Garamond" w:cs="Arial"/>
          <w:sz w:val="16"/>
          <w:szCs w:val="16"/>
        </w:rPr>
      </w:pPr>
    </w:p>
    <w:p w:rsidR="00975037" w:rsidRPr="00B06AA8" w:rsidRDefault="00B06AA8">
      <w:pPr>
        <w:contextualSpacing/>
        <w:rPr>
          <w:rFonts w:ascii="Garamond" w:eastAsia="SimSun" w:hAnsi="Garamond"/>
          <w:b/>
          <w:sz w:val="26"/>
          <w:szCs w:val="26"/>
        </w:rPr>
      </w:pPr>
      <w:r w:rsidRPr="00B06AA8">
        <w:rPr>
          <w:rFonts w:ascii="Garamond" w:eastAsia="SimSun" w:hAnsi="Garamond"/>
          <w:b/>
          <w:iCs/>
          <w:sz w:val="26"/>
          <w:szCs w:val="26"/>
        </w:rPr>
        <w:t>Действующая редакция</w:t>
      </w:r>
      <w:r w:rsidRPr="00B06AA8">
        <w:rPr>
          <w:rFonts w:ascii="Garamond" w:eastAsia="SimSun" w:hAnsi="Garamond"/>
          <w:b/>
          <w:sz w:val="26"/>
          <w:szCs w:val="26"/>
        </w:rPr>
        <w:t xml:space="preserve"> приложения 2 к Правилам ЭДО СЭД КО</w:t>
      </w:r>
    </w:p>
    <w:p w:rsidR="00975037" w:rsidRPr="00B06AA8" w:rsidRDefault="00975037">
      <w:pPr>
        <w:contextualSpacing/>
        <w:rPr>
          <w:rFonts w:ascii="Garamond" w:eastAsia="SimSun" w:hAnsi="Garamond"/>
          <w:b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975037" w:rsidRPr="008A3A3B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75037" w:rsidRPr="008A3A3B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037" w:rsidRPr="008A3A3B" w:rsidRDefault="00B06AA8">
            <w:pPr>
              <w:ind w:hanging="2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 xml:space="preserve">Уведомление участника оптового рынка об отказе в приеме отчета при обработке информации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 w:rsidP="00913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Регламент</w:t>
            </w:r>
            <w:r w:rsidR="0091334B">
              <w:rPr>
                <w:rFonts w:ascii="Arial" w:hAnsi="Arial" w:cs="Arial"/>
                <w:sz w:val="18"/>
                <w:szCs w:val="18"/>
              </w:rPr>
              <w:t xml:space="preserve"> № 16,</w:t>
            </w:r>
            <w:r w:rsidR="0091334B" w:rsidRPr="008A3A3B">
              <w:rPr>
                <w:rFonts w:ascii="Arial" w:hAnsi="Arial" w:cs="Arial"/>
                <w:sz w:val="18"/>
                <w:szCs w:val="18"/>
              </w:rPr>
              <w:t xml:space="preserve"> п. 16.1.3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docx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975037" w:rsidRPr="008A3A3B" w:rsidRDefault="009750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WORD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proofErr w:type="spellStart"/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мес</w:t>
            </w:r>
            <w:proofErr w:type="spellEnd"/>
          </w:p>
        </w:tc>
      </w:tr>
    </w:tbl>
    <w:p w:rsidR="00975037" w:rsidRDefault="00975037">
      <w:pPr>
        <w:contextualSpacing/>
        <w:rPr>
          <w:rFonts w:ascii="Garamond" w:eastAsia="SimSun" w:hAnsi="Garamond"/>
          <w:i/>
          <w:sz w:val="26"/>
          <w:szCs w:val="26"/>
          <w:highlight w:val="green"/>
        </w:rPr>
      </w:pPr>
    </w:p>
    <w:p w:rsidR="00975037" w:rsidRPr="00B06AA8" w:rsidRDefault="00B06AA8">
      <w:pPr>
        <w:contextualSpacing/>
        <w:rPr>
          <w:rFonts w:ascii="Garamond" w:eastAsia="SimSun" w:hAnsi="Garamond"/>
          <w:b/>
          <w:sz w:val="26"/>
          <w:szCs w:val="26"/>
        </w:rPr>
      </w:pPr>
      <w:r w:rsidRPr="00B06AA8">
        <w:rPr>
          <w:rFonts w:ascii="Garamond" w:eastAsia="SimSun" w:hAnsi="Garamond"/>
          <w:b/>
          <w:iCs/>
          <w:sz w:val="26"/>
          <w:szCs w:val="26"/>
        </w:rPr>
        <w:t>Предлагаемая редакция</w:t>
      </w:r>
      <w:r w:rsidRPr="00B06AA8">
        <w:rPr>
          <w:rFonts w:ascii="Garamond" w:eastAsia="SimSun" w:hAnsi="Garamond"/>
          <w:b/>
          <w:sz w:val="26"/>
          <w:szCs w:val="26"/>
        </w:rPr>
        <w:t xml:space="preserve"> приложения 2 к Правилам ЭДО СЭД КО </w:t>
      </w:r>
    </w:p>
    <w:p w:rsidR="00975037" w:rsidRPr="00B06AA8" w:rsidRDefault="00975037">
      <w:pPr>
        <w:contextualSpacing/>
        <w:rPr>
          <w:rFonts w:ascii="Garamond" w:eastAsia="SimSun" w:hAnsi="Garamond"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975037" w:rsidRPr="008A3A3B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75037" w:rsidRPr="008A3A3B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5037" w:rsidRPr="008A3A3B" w:rsidRDefault="00B06AA8">
            <w:pPr>
              <w:ind w:hanging="2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 xml:space="preserve">Уведомление участника оптового рынка об отказе в приеме отчета при обработке информации </w:t>
            </w:r>
            <w:r w:rsidRPr="008A3A3B">
              <w:rPr>
                <w:rFonts w:ascii="Arial" w:hAnsi="Arial" w:cs="Arial"/>
                <w:sz w:val="18"/>
                <w:szCs w:val="18"/>
                <w:highlight w:val="yellow"/>
              </w:rPr>
              <w:t>по форме приложения 145а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 w:rsidP="00913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Регламент</w:t>
            </w:r>
            <w:r w:rsidR="0091334B">
              <w:rPr>
                <w:rFonts w:ascii="Arial" w:hAnsi="Arial" w:cs="Arial"/>
                <w:sz w:val="18"/>
                <w:szCs w:val="18"/>
              </w:rPr>
              <w:t xml:space="preserve"> № 16,</w:t>
            </w:r>
            <w:r w:rsidR="0091334B" w:rsidRPr="008A3A3B">
              <w:rPr>
                <w:rFonts w:ascii="Arial" w:hAnsi="Arial" w:cs="Arial"/>
                <w:sz w:val="18"/>
                <w:szCs w:val="18"/>
              </w:rPr>
              <w:t xml:space="preserve"> п. 16.1.3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docx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975037" w:rsidRPr="008A3A3B" w:rsidRDefault="009750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A3B">
              <w:rPr>
                <w:rFonts w:ascii="Arial" w:hAnsi="Arial" w:cs="Arial"/>
                <w:sz w:val="18"/>
                <w:szCs w:val="18"/>
                <w:lang w:val="en-US"/>
              </w:rPr>
              <w:t>WORD</w:t>
            </w:r>
          </w:p>
          <w:p w:rsidR="00975037" w:rsidRPr="008A3A3B" w:rsidRDefault="0097503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A3B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037" w:rsidRPr="008A3A3B" w:rsidRDefault="00B06A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proofErr w:type="spellStart"/>
            <w:r w:rsidRPr="008A3A3B">
              <w:rPr>
                <w:rFonts w:ascii="Arial" w:hAnsi="Arial" w:cs="Arial"/>
                <w:color w:val="000000"/>
                <w:sz w:val="18"/>
                <w:szCs w:val="18"/>
              </w:rPr>
              <w:t>мес</w:t>
            </w:r>
            <w:proofErr w:type="spellEnd"/>
          </w:p>
        </w:tc>
      </w:tr>
    </w:tbl>
    <w:p w:rsidR="00975037" w:rsidRDefault="00975037">
      <w:pPr>
        <w:rPr>
          <w:rFonts w:ascii="Garamond" w:hAnsi="Garamond" w:cs="Arial"/>
          <w:sz w:val="16"/>
          <w:szCs w:val="16"/>
        </w:rPr>
      </w:pPr>
    </w:p>
    <w:p w:rsidR="00975037" w:rsidRDefault="00975037">
      <w:pPr>
        <w:rPr>
          <w:rFonts w:ascii="Garamond" w:hAnsi="Garamond" w:cs="Arial"/>
          <w:sz w:val="16"/>
          <w:szCs w:val="16"/>
        </w:rPr>
      </w:pPr>
    </w:p>
    <w:sectPr w:rsidR="00975037">
      <w:footerReference w:type="default" r:id="rId10"/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4B" w:rsidRDefault="0091334B">
      <w:r>
        <w:separator/>
      </w:r>
    </w:p>
  </w:endnote>
  <w:endnote w:type="continuationSeparator" w:id="0">
    <w:p w:rsidR="0091334B" w:rsidRDefault="0091334B">
      <w:r>
        <w:continuationSeparator/>
      </w:r>
    </w:p>
  </w:endnote>
  <w:endnote w:type="continuationNotice" w:id="1">
    <w:p w:rsidR="0091334B" w:rsidRDefault="00913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4B" w:rsidRDefault="0091334B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6550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4B" w:rsidRDefault="0091334B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65509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4B" w:rsidRDefault="0091334B">
      <w:r>
        <w:separator/>
      </w:r>
    </w:p>
  </w:footnote>
  <w:footnote w:type="continuationSeparator" w:id="0">
    <w:p w:rsidR="0091334B" w:rsidRDefault="0091334B">
      <w:r>
        <w:continuationSeparator/>
      </w:r>
    </w:p>
  </w:footnote>
  <w:footnote w:type="continuationNotice" w:id="1">
    <w:p w:rsidR="0091334B" w:rsidRDefault="009133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A957D64"/>
    <w:multiLevelType w:val="hybridMultilevel"/>
    <w:tmpl w:val="620CC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6DFA5EA0"/>
    <w:multiLevelType w:val="hybridMultilevel"/>
    <w:tmpl w:val="B7D27A38"/>
    <w:lvl w:ilvl="0" w:tplc="FFFFFFFF">
      <w:start w:val="10"/>
      <w:numFmt w:val="bullet"/>
      <w:lvlText w:val="-"/>
      <w:lvlJc w:val="left"/>
      <w:pPr>
        <w:ind w:left="502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9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19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9"/>
  </w:num>
  <w:num w:numId="24">
    <w:abstractNumId w:val="3"/>
  </w:num>
  <w:num w:numId="25">
    <w:abstractNumId w:val="1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37"/>
    <w:rsid w:val="00007445"/>
    <w:rsid w:val="000157EE"/>
    <w:rsid w:val="00027C1D"/>
    <w:rsid w:val="00031353"/>
    <w:rsid w:val="00053B25"/>
    <w:rsid w:val="00055C9E"/>
    <w:rsid w:val="00096186"/>
    <w:rsid w:val="000C3A54"/>
    <w:rsid w:val="000C7AC7"/>
    <w:rsid w:val="000F1164"/>
    <w:rsid w:val="00107F4C"/>
    <w:rsid w:val="00126DD9"/>
    <w:rsid w:val="00170DAC"/>
    <w:rsid w:val="001850BB"/>
    <w:rsid w:val="001A248F"/>
    <w:rsid w:val="001A3F14"/>
    <w:rsid w:val="001A545A"/>
    <w:rsid w:val="001D2746"/>
    <w:rsid w:val="001D7ED6"/>
    <w:rsid w:val="001E3638"/>
    <w:rsid w:val="0022474C"/>
    <w:rsid w:val="00231648"/>
    <w:rsid w:val="002336F9"/>
    <w:rsid w:val="0024168B"/>
    <w:rsid w:val="00251132"/>
    <w:rsid w:val="002628B7"/>
    <w:rsid w:val="00264E45"/>
    <w:rsid w:val="002826F8"/>
    <w:rsid w:val="0029012C"/>
    <w:rsid w:val="00290802"/>
    <w:rsid w:val="002962F5"/>
    <w:rsid w:val="002A1065"/>
    <w:rsid w:val="002A1F04"/>
    <w:rsid w:val="002B52B8"/>
    <w:rsid w:val="002D54DE"/>
    <w:rsid w:val="002E3E9F"/>
    <w:rsid w:val="002F7041"/>
    <w:rsid w:val="003356E1"/>
    <w:rsid w:val="00364987"/>
    <w:rsid w:val="00385E41"/>
    <w:rsid w:val="003A1C2F"/>
    <w:rsid w:val="003A1D5D"/>
    <w:rsid w:val="003A7497"/>
    <w:rsid w:val="003E7A6B"/>
    <w:rsid w:val="003F5BCD"/>
    <w:rsid w:val="003F6D68"/>
    <w:rsid w:val="00413FE0"/>
    <w:rsid w:val="00423935"/>
    <w:rsid w:val="004247A9"/>
    <w:rsid w:val="0045232E"/>
    <w:rsid w:val="0045680E"/>
    <w:rsid w:val="00465509"/>
    <w:rsid w:val="00466E83"/>
    <w:rsid w:val="004775ED"/>
    <w:rsid w:val="004A1BB4"/>
    <w:rsid w:val="004A59FD"/>
    <w:rsid w:val="004B0DB8"/>
    <w:rsid w:val="004C5F77"/>
    <w:rsid w:val="004F23AE"/>
    <w:rsid w:val="004F53D1"/>
    <w:rsid w:val="00501334"/>
    <w:rsid w:val="00506F76"/>
    <w:rsid w:val="0050784B"/>
    <w:rsid w:val="00535AD0"/>
    <w:rsid w:val="0054098C"/>
    <w:rsid w:val="0057027C"/>
    <w:rsid w:val="00574922"/>
    <w:rsid w:val="0057702B"/>
    <w:rsid w:val="00585B1B"/>
    <w:rsid w:val="0059180D"/>
    <w:rsid w:val="005A1D6D"/>
    <w:rsid w:val="005B0796"/>
    <w:rsid w:val="005C3E1A"/>
    <w:rsid w:val="006000DC"/>
    <w:rsid w:val="00607257"/>
    <w:rsid w:val="0062317A"/>
    <w:rsid w:val="0063737B"/>
    <w:rsid w:val="00691821"/>
    <w:rsid w:val="00692CB2"/>
    <w:rsid w:val="006C5825"/>
    <w:rsid w:val="006D526D"/>
    <w:rsid w:val="006F36A9"/>
    <w:rsid w:val="006F45A8"/>
    <w:rsid w:val="00716549"/>
    <w:rsid w:val="00765998"/>
    <w:rsid w:val="00777540"/>
    <w:rsid w:val="00783BB9"/>
    <w:rsid w:val="00786890"/>
    <w:rsid w:val="0079716A"/>
    <w:rsid w:val="007A0BA7"/>
    <w:rsid w:val="007D0F2D"/>
    <w:rsid w:val="007D11CB"/>
    <w:rsid w:val="007D5A1B"/>
    <w:rsid w:val="007D5E3C"/>
    <w:rsid w:val="007E0943"/>
    <w:rsid w:val="007F6726"/>
    <w:rsid w:val="008000CF"/>
    <w:rsid w:val="00806E4F"/>
    <w:rsid w:val="00816B53"/>
    <w:rsid w:val="008857B1"/>
    <w:rsid w:val="00887801"/>
    <w:rsid w:val="008A3A3B"/>
    <w:rsid w:val="008A64DB"/>
    <w:rsid w:val="008A6998"/>
    <w:rsid w:val="008B2686"/>
    <w:rsid w:val="008D0205"/>
    <w:rsid w:val="008F3F00"/>
    <w:rsid w:val="008F4976"/>
    <w:rsid w:val="0091334B"/>
    <w:rsid w:val="00936A39"/>
    <w:rsid w:val="009403A9"/>
    <w:rsid w:val="00955F28"/>
    <w:rsid w:val="00963AE9"/>
    <w:rsid w:val="00975037"/>
    <w:rsid w:val="00975395"/>
    <w:rsid w:val="009931AA"/>
    <w:rsid w:val="009B0ADB"/>
    <w:rsid w:val="009B2E94"/>
    <w:rsid w:val="009D4245"/>
    <w:rsid w:val="009F01F4"/>
    <w:rsid w:val="00A2073D"/>
    <w:rsid w:val="00A45473"/>
    <w:rsid w:val="00A763C2"/>
    <w:rsid w:val="00A81437"/>
    <w:rsid w:val="00A91CE1"/>
    <w:rsid w:val="00A92538"/>
    <w:rsid w:val="00AA741D"/>
    <w:rsid w:val="00AC5366"/>
    <w:rsid w:val="00AD3F22"/>
    <w:rsid w:val="00AE361E"/>
    <w:rsid w:val="00AE710B"/>
    <w:rsid w:val="00B022CF"/>
    <w:rsid w:val="00B06AA8"/>
    <w:rsid w:val="00B30FEC"/>
    <w:rsid w:val="00B4396B"/>
    <w:rsid w:val="00B64D53"/>
    <w:rsid w:val="00B818E8"/>
    <w:rsid w:val="00B90EC9"/>
    <w:rsid w:val="00B926DA"/>
    <w:rsid w:val="00BA0A45"/>
    <w:rsid w:val="00BA0A8B"/>
    <w:rsid w:val="00BF16CE"/>
    <w:rsid w:val="00C02116"/>
    <w:rsid w:val="00C3019E"/>
    <w:rsid w:val="00C362C8"/>
    <w:rsid w:val="00C4638E"/>
    <w:rsid w:val="00C55ABA"/>
    <w:rsid w:val="00C5795F"/>
    <w:rsid w:val="00C8699B"/>
    <w:rsid w:val="00C927DF"/>
    <w:rsid w:val="00C941D2"/>
    <w:rsid w:val="00CB0337"/>
    <w:rsid w:val="00CC2B79"/>
    <w:rsid w:val="00CF1731"/>
    <w:rsid w:val="00CF7C6F"/>
    <w:rsid w:val="00D00BFD"/>
    <w:rsid w:val="00D0330A"/>
    <w:rsid w:val="00D03C6A"/>
    <w:rsid w:val="00D11C00"/>
    <w:rsid w:val="00D37F5A"/>
    <w:rsid w:val="00D432B1"/>
    <w:rsid w:val="00D55FAA"/>
    <w:rsid w:val="00D737C0"/>
    <w:rsid w:val="00DA6175"/>
    <w:rsid w:val="00DB2D52"/>
    <w:rsid w:val="00DE1FF7"/>
    <w:rsid w:val="00DE2B9F"/>
    <w:rsid w:val="00DF1F2C"/>
    <w:rsid w:val="00E0587C"/>
    <w:rsid w:val="00E071A9"/>
    <w:rsid w:val="00E56F71"/>
    <w:rsid w:val="00E70209"/>
    <w:rsid w:val="00E7435A"/>
    <w:rsid w:val="00E83AE2"/>
    <w:rsid w:val="00EA283C"/>
    <w:rsid w:val="00ED0C39"/>
    <w:rsid w:val="00EE7E08"/>
    <w:rsid w:val="00EF6EC9"/>
    <w:rsid w:val="00F31AE8"/>
    <w:rsid w:val="00F37420"/>
    <w:rsid w:val="00F50C70"/>
    <w:rsid w:val="00F6060D"/>
    <w:rsid w:val="00F67610"/>
    <w:rsid w:val="00F90ABD"/>
    <w:rsid w:val="00F94A5B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0F5295-0368-4B45-85BF-6A782012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hAnsi="Garamond"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table" w:styleId="aff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.arbi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0C37-3B65-4A1F-8E83-9B745CC8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19</Pages>
  <Words>5991</Words>
  <Characters>41884</Characters>
  <Application>Microsoft Office Word</Application>
  <DocSecurity>0</DocSecurity>
  <Lines>349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8</cp:revision>
  <cp:lastPrinted>2018-01-23T11:29:00Z</cp:lastPrinted>
  <dcterms:created xsi:type="dcterms:W3CDTF">2018-01-18T18:18:00Z</dcterms:created>
  <dcterms:modified xsi:type="dcterms:W3CDTF">2018-01-23T13:14:00Z</dcterms:modified>
</cp:coreProperties>
</file>