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9A" w:rsidRDefault="00962C55">
      <w:pPr>
        <w:spacing w:after="0" w:line="240" w:lineRule="auto"/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V</w:t>
      </w:r>
      <w:r w:rsidR="001475E5">
        <w:rPr>
          <w:rFonts w:ascii="Garamond" w:hAnsi="Garamond" w:cs="Arial"/>
          <w:b/>
          <w:sz w:val="28"/>
          <w:szCs w:val="28"/>
        </w:rPr>
        <w:t>.6</w:t>
      </w:r>
      <w:r w:rsidR="00946E50">
        <w:rPr>
          <w:rFonts w:ascii="Garamond" w:hAnsi="Garamond" w:cs="Arial"/>
          <w:b/>
          <w:sz w:val="28"/>
          <w:szCs w:val="28"/>
        </w:rPr>
        <w:t>.</w:t>
      </w:r>
      <w:r w:rsidRPr="00962C55">
        <w:rPr>
          <w:rFonts w:ascii="Garamond" w:hAnsi="Garamond" w:cs="Arial"/>
          <w:b/>
          <w:sz w:val="28"/>
          <w:szCs w:val="28"/>
        </w:rPr>
        <w:t xml:space="preserve"> </w:t>
      </w:r>
      <w:r w:rsidR="00356CF2">
        <w:rPr>
          <w:rFonts w:ascii="Garamond" w:hAnsi="Garamond" w:cs="Arial"/>
          <w:b/>
          <w:sz w:val="28"/>
          <w:szCs w:val="28"/>
        </w:rPr>
        <w:t>Изменения, связанные с определением суммарного размера неисполненных обязательств участника оптового рынка</w:t>
      </w:r>
    </w:p>
    <w:p w:rsidR="00A23F9A" w:rsidRDefault="00A23F9A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A23F9A" w:rsidRPr="001475E5" w:rsidRDefault="00356CF2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962C55" w:rsidRPr="001475E5">
        <w:rPr>
          <w:rFonts w:ascii="Garamond" w:hAnsi="Garamond" w:cs="Arial"/>
          <w:b/>
          <w:sz w:val="28"/>
          <w:szCs w:val="28"/>
        </w:rPr>
        <w:t>5.</w:t>
      </w:r>
      <w:r w:rsidR="001475E5">
        <w:rPr>
          <w:rFonts w:ascii="Garamond" w:hAnsi="Garamond" w:cs="Arial"/>
          <w:b/>
          <w:sz w:val="28"/>
          <w:szCs w:val="28"/>
        </w:rPr>
        <w:t>6</w:t>
      </w:r>
    </w:p>
    <w:p w:rsidR="00A23F9A" w:rsidRDefault="00A23F9A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</w:p>
    <w:p w:rsidR="00A23F9A" w:rsidRDefault="00356CF2" w:rsidP="00F9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>
        <w:rPr>
          <w:rFonts w:ascii="Garamond" w:hAnsi="Garamond"/>
          <w:sz w:val="24"/>
          <w:szCs w:val="24"/>
        </w:rPr>
        <w:t>НП Совет рынка».</w:t>
      </w:r>
    </w:p>
    <w:p w:rsidR="00A23F9A" w:rsidRDefault="00356CF2" w:rsidP="00F9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>
        <w:rPr>
          <w:rFonts w:ascii="Garamond" w:hAnsi="Garamond"/>
          <w:sz w:val="24"/>
          <w:szCs w:val="24"/>
        </w:rPr>
        <w:t xml:space="preserve"> в соответствии с постановлением Прави</w:t>
      </w:r>
      <w:r w:rsidR="00840707">
        <w:rPr>
          <w:rFonts w:ascii="Garamond" w:hAnsi="Garamond"/>
          <w:sz w:val="24"/>
          <w:szCs w:val="24"/>
        </w:rPr>
        <w:t>тельства РФ от 30.04.2018 № 534</w:t>
      </w:r>
      <w:r>
        <w:rPr>
          <w:rFonts w:ascii="Garamond" w:hAnsi="Garamond"/>
          <w:sz w:val="24"/>
          <w:szCs w:val="24"/>
        </w:rPr>
        <w:t xml:space="preserve"> доли, применяемые для определения объемов поставки электрической энергии и мощности по регулируемым ценам (тарифам) для покупателей, функционирующих в отдельных частях ценовых зон оптового </w:t>
      </w:r>
      <w:r w:rsidR="00D25D8D">
        <w:rPr>
          <w:rFonts w:ascii="Garamond" w:hAnsi="Garamond"/>
          <w:sz w:val="24"/>
          <w:szCs w:val="24"/>
        </w:rPr>
        <w:t>рынка, снижаются дополнительно К</w:t>
      </w:r>
      <w:r>
        <w:rPr>
          <w:rFonts w:ascii="Garamond" w:hAnsi="Garamond"/>
          <w:sz w:val="24"/>
          <w:szCs w:val="24"/>
        </w:rPr>
        <w:t>оммерческим оператором оптового рынка в случае несоблюдения определенных критериев, в том числе критерия исполнения покупателем обязательств по оплате электрической энергии и мощности. В целях установления фактов несоблю</w:t>
      </w:r>
      <w:r w:rsidR="00D25D8D">
        <w:rPr>
          <w:rFonts w:ascii="Garamond" w:hAnsi="Garamond"/>
          <w:sz w:val="24"/>
          <w:szCs w:val="24"/>
        </w:rPr>
        <w:t>дения указанного критерия,</w:t>
      </w:r>
      <w:r>
        <w:rPr>
          <w:rFonts w:ascii="Garamond" w:hAnsi="Garamond"/>
          <w:sz w:val="24"/>
          <w:szCs w:val="24"/>
        </w:rPr>
        <w:t xml:space="preserve"> ЦФР и Совет</w:t>
      </w:r>
      <w:r w:rsidR="00D25D8D">
        <w:rPr>
          <w:rFonts w:ascii="Garamond" w:hAnsi="Garamond"/>
          <w:sz w:val="24"/>
          <w:szCs w:val="24"/>
        </w:rPr>
        <w:t>у рынка необходимо получать от К</w:t>
      </w:r>
      <w:r>
        <w:rPr>
          <w:rFonts w:ascii="Garamond" w:hAnsi="Garamond"/>
          <w:sz w:val="24"/>
          <w:szCs w:val="24"/>
        </w:rPr>
        <w:t>оммерческого оператора перечни покупателей, функционирующих в отдельных частях ценовых зон оптового рынка, по состоянию на первый и последний дни отчетного квартала.</w:t>
      </w:r>
    </w:p>
    <w:p w:rsidR="00A23F9A" w:rsidRDefault="00356CF2" w:rsidP="00F97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962C55">
        <w:rPr>
          <w:rFonts w:ascii="Garamond" w:eastAsia="Times New Roman" w:hAnsi="Garamond" w:cs="Garamond"/>
          <w:bCs/>
          <w:sz w:val="24"/>
          <w:szCs w:val="24"/>
          <w:lang w:eastAsia="ru-RU"/>
        </w:rPr>
        <w:t>1 мая 2019 года</w:t>
      </w:r>
      <w:r w:rsidR="00D25D8D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A23F9A" w:rsidRDefault="00A23F9A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:rsidR="00A23F9A" w:rsidRDefault="00356CF2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КОНТРОЛЯ ЗА СОБЛЮДЕНИЕМ УЧАСТНИКАМИ ОПТОВОГО РЫНКА ПРАВИЛ ОПТОВОГО РЫНКА И ДОГОВОРА О ПРИСОЕДИНЕНИИ К ТОРГОВОЙ СИСТЕМЕ ОПТОВОГО РЫНКА (Приложение № 23 к Договору о присоединении к торговой системе оптового рынка)</w:t>
      </w:r>
    </w:p>
    <w:p w:rsidR="00A23F9A" w:rsidRDefault="00A23F9A">
      <w:pPr>
        <w:spacing w:after="0" w:line="240" w:lineRule="auto"/>
        <w:rPr>
          <w:b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973"/>
        <w:gridCol w:w="6851"/>
      </w:tblGrid>
      <w:tr w:rsidR="00A23F9A" w:rsidTr="00F97A80">
        <w:tc>
          <w:tcPr>
            <w:tcW w:w="918" w:type="dxa"/>
            <w:vAlign w:val="center"/>
          </w:tcPr>
          <w:p w:rsidR="00A23F9A" w:rsidRDefault="00356CF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№</w:t>
            </w:r>
          </w:p>
          <w:p w:rsidR="00A23F9A" w:rsidRDefault="00356CF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973" w:type="dxa"/>
          </w:tcPr>
          <w:p w:rsidR="00A23F9A" w:rsidRDefault="00356CF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A23F9A" w:rsidRDefault="00356CF2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6851" w:type="dxa"/>
          </w:tcPr>
          <w:p w:rsidR="00A23F9A" w:rsidRDefault="00356CF2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A23F9A" w:rsidRDefault="00356CF2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A23F9A" w:rsidTr="00F97A80">
        <w:tc>
          <w:tcPr>
            <w:tcW w:w="918" w:type="dxa"/>
            <w:vAlign w:val="center"/>
          </w:tcPr>
          <w:p w:rsidR="00A23F9A" w:rsidRDefault="00356CF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2.6.1.1</w:t>
            </w:r>
          </w:p>
        </w:tc>
        <w:tc>
          <w:tcPr>
            <w:tcW w:w="6973" w:type="dxa"/>
          </w:tcPr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Garamond"/>
              </w:rPr>
              <w:t xml:space="preserve">2.6.1.1. КО не позднее 5 рабочих дней месяца, следующего за отчетным кварталом (для целей применения настоящего порядка первым отчетным кварталом является 4 квартал 2018 года), </w:t>
            </w:r>
            <w:r>
              <w:rPr>
                <w:rFonts w:ascii="Garamond" w:hAnsi="Garamond"/>
              </w:rPr>
              <w:t xml:space="preserve">направляет в ЦФР и в Совет рынка </w:t>
            </w:r>
            <w:r>
              <w:rPr>
                <w:rFonts w:ascii="Garamond" w:hAnsi="Garamond"/>
                <w:highlight w:val="yellow"/>
              </w:rPr>
              <w:t>перечень</w:t>
            </w:r>
            <w:r>
              <w:rPr>
                <w:rFonts w:ascii="Garamond" w:hAnsi="Garamond"/>
              </w:rPr>
              <w:t xml:space="preserve"> покупателей, функционирующих в отдельных частях ценовых зон оптового рынка (</w:t>
            </w:r>
            <w:r>
              <w:rPr>
                <w:rFonts w:ascii="Garamond" w:hAnsi="Garamond"/>
                <w:highlight w:val="yellow"/>
              </w:rPr>
              <w:t>по состоянию на первый день отчетного квартала</w:t>
            </w:r>
            <w:r>
              <w:rPr>
                <w:rFonts w:ascii="Garamond" w:hAnsi="Garamond"/>
              </w:rPr>
              <w:t xml:space="preserve">), определенных </w:t>
            </w:r>
            <w:r>
              <w:rPr>
                <w:rFonts w:ascii="Garamond" w:hAnsi="Garamond" w:cs="Garamond"/>
              </w:rPr>
              <w:t>в приложении № 3 к Правилам оптового рынка (кроме организаций – участников оптового рынка, осуществляющих экспортно-импортные операции в части покупки электрической энергии и мощности на территории Республики Северная Осетия – Алания).</w:t>
            </w:r>
          </w:p>
          <w:p w:rsidR="00A23F9A" w:rsidRDefault="00356CF2" w:rsidP="00946E50">
            <w:pPr>
              <w:widowControl w:val="0"/>
              <w:spacing w:before="120" w:after="120" w:line="240" w:lineRule="auto"/>
              <w:ind w:left="-13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highlight w:val="yellow"/>
              </w:rPr>
              <w:t>Перечень покупателей предоставляется</w:t>
            </w:r>
            <w:r>
              <w:rPr>
                <w:rFonts w:ascii="Garamond" w:hAnsi="Garamond"/>
              </w:rPr>
              <w:t xml:space="preserve"> по форме приложения 3 к настоящему Регламенту в документарном виде с подписью уполномоченного лица КО и в электронном виде без применения ЭП.</w:t>
            </w:r>
          </w:p>
        </w:tc>
        <w:tc>
          <w:tcPr>
            <w:tcW w:w="6851" w:type="dxa"/>
            <w:shd w:val="clear" w:color="auto" w:fill="auto"/>
          </w:tcPr>
          <w:p w:rsidR="00187FA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Garamond"/>
              </w:rPr>
              <w:t xml:space="preserve">2.6.1.1. КО не позднее 5 рабочих дней месяца, следующего за отчетным кварталом (для целей применения настоящего порядка первым отчетным кварталом является 4 квартал 2018 года), </w:t>
            </w:r>
            <w:r>
              <w:rPr>
                <w:rFonts w:ascii="Garamond" w:hAnsi="Garamond"/>
              </w:rPr>
              <w:t xml:space="preserve">направляет в ЦФР и в Совет рынка </w:t>
            </w:r>
            <w:r>
              <w:rPr>
                <w:rFonts w:ascii="Garamond" w:hAnsi="Garamond"/>
                <w:highlight w:val="yellow"/>
              </w:rPr>
              <w:t>перечни</w:t>
            </w:r>
            <w:r>
              <w:rPr>
                <w:rFonts w:ascii="Garamond" w:hAnsi="Garamond"/>
              </w:rPr>
              <w:t xml:space="preserve"> покупателей, функционирующих в отдельных частях ценовых зон оптового рынка (</w:t>
            </w:r>
            <w:r>
              <w:rPr>
                <w:rFonts w:ascii="Garamond" w:hAnsi="Garamond"/>
                <w:highlight w:val="yellow"/>
              </w:rPr>
              <w:t xml:space="preserve">по состоянию на первый и </w:t>
            </w:r>
            <w:r w:rsidRPr="00187FAA">
              <w:rPr>
                <w:rFonts w:ascii="Garamond" w:hAnsi="Garamond"/>
                <w:highlight w:val="yellow"/>
              </w:rPr>
              <w:t xml:space="preserve">последний день отчетного </w:t>
            </w:r>
            <w:r>
              <w:rPr>
                <w:rFonts w:ascii="Garamond" w:hAnsi="Garamond"/>
                <w:highlight w:val="yellow"/>
              </w:rPr>
              <w:t>квартала</w:t>
            </w:r>
            <w:r>
              <w:rPr>
                <w:rFonts w:ascii="Garamond" w:hAnsi="Garamond"/>
              </w:rPr>
              <w:t xml:space="preserve">), определенных </w:t>
            </w:r>
            <w:r>
              <w:rPr>
                <w:rFonts w:ascii="Garamond" w:hAnsi="Garamond" w:cs="Garamond"/>
              </w:rPr>
              <w:t>в приложении № 3 к Правилам оптового рынка (кроме организаций – участников оптового рынка, осуществляющих экспортно-импортные операции в части покупки электрической энергии и мощности на территории Республики Северная Осетия – Алания).</w:t>
            </w:r>
          </w:p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Перечни покупателей предоставляются</w:t>
            </w:r>
            <w:r>
              <w:rPr>
                <w:rFonts w:ascii="Garamond" w:hAnsi="Garamond"/>
              </w:rPr>
              <w:t xml:space="preserve"> по форме приложения 3 к настоящему Регламенту в документарном виде с подписью уполномоченного лица КО и в электронном виде без применения ЭП.</w:t>
            </w:r>
          </w:p>
        </w:tc>
      </w:tr>
      <w:tr w:rsidR="00A23F9A" w:rsidTr="00F97A80">
        <w:tc>
          <w:tcPr>
            <w:tcW w:w="918" w:type="dxa"/>
            <w:vAlign w:val="center"/>
          </w:tcPr>
          <w:p w:rsidR="00A23F9A" w:rsidRDefault="00356CF2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2.6.1.2</w:t>
            </w:r>
          </w:p>
        </w:tc>
        <w:tc>
          <w:tcPr>
            <w:tcW w:w="6973" w:type="dxa"/>
          </w:tcPr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Garamond"/>
              </w:rPr>
              <w:t xml:space="preserve">2.6.1.2. ЦФР </w:t>
            </w:r>
            <w:r>
              <w:rPr>
                <w:rFonts w:ascii="Garamond" w:hAnsi="Garamond"/>
              </w:rPr>
              <w:t xml:space="preserve">не позднее 25-го числа месяца, следующего за отчетным кварталом, направляет в Совет рынка в отношении каждого покупателя, входящего </w:t>
            </w:r>
            <w:r w:rsidRPr="00187FAA">
              <w:rPr>
                <w:rFonts w:ascii="Garamond" w:hAnsi="Garamond"/>
              </w:rPr>
              <w:t>в перечень</w:t>
            </w:r>
            <w:r>
              <w:rPr>
                <w:rFonts w:ascii="Garamond" w:hAnsi="Garamond"/>
              </w:rPr>
              <w:t xml:space="preserve"> </w:t>
            </w:r>
            <w:r w:rsidRPr="00187FAA">
              <w:rPr>
                <w:rFonts w:ascii="Garamond" w:hAnsi="Garamond"/>
                <w:highlight w:val="yellow"/>
              </w:rPr>
              <w:t>субъектов оптового рынка – покупателей, функционирующих в отдельных частях ценовых зон оптового рынка, сформированный</w:t>
            </w:r>
            <w:r>
              <w:rPr>
                <w:rFonts w:ascii="Garamond" w:hAnsi="Garamond"/>
              </w:rPr>
              <w:t xml:space="preserve"> в соответствии с пунктом 2.6.1.1 настоящего Регламента, следующую информацию по договорам, по которым расчет денежных обязательств сторон производится организациями коммерческой инфраструктуры оптового рынка и перечисленным в пункте 2.3.2 настоящего Регламента, по которым субъект оптового рынка – покупатель, функционирующий в отдельных частях ценовых зон оптового рынка, покупает электрическую энергию и (или) мощность:</w:t>
            </w:r>
          </w:p>
          <w:p w:rsidR="00A23F9A" w:rsidRDefault="00356CF2" w:rsidP="00946E50">
            <w:pPr>
              <w:pStyle w:val="a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 о суммарном размере неисполненных обязательств такого покупателя по оплате электрической энергии и мощности (на последний день отчетного квартала);</w:t>
            </w:r>
          </w:p>
          <w:p w:rsidR="00A23F9A" w:rsidRDefault="00356CF2" w:rsidP="00946E50">
            <w:pPr>
              <w:pStyle w:val="ae"/>
              <w:spacing w:before="120" w:after="120"/>
              <w:jc w:val="both"/>
            </w:pPr>
            <w:r>
              <w:rPr>
                <w:rFonts w:ascii="Garamond" w:hAnsi="Garamond"/>
                <w:sz w:val="22"/>
                <w:szCs w:val="22"/>
              </w:rPr>
              <w:t>- о стоимости электрической энергии и мощности, поставленных за отчетный квартал такому покупателю.</w:t>
            </w:r>
          </w:p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Информация, указанная в настоящем пункте, предоставляется по форме приложений 4 и 5 к настоящему Регламенту в документарном виде с подписью уполномоченного лица ЦФР и в электронном виде без применения ЭП. Дата направления информации ЦФР в Совет рынка по форме приложения 5 может быть изменена по согласованию между ними на более позднюю дату в случае изменения сроков предоставления КО в ЦФР информации о стоимости электрической энергии и мощности, поставленных за последний месяц отчетного квартала.</w:t>
            </w:r>
          </w:p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Информацию, указанную в настоящем пункте, Совет рынка направляет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топливно-энергетического комплекса, в соответствии с подпунктом «б» пункта 72(10) Правил оптового рынка.</w:t>
            </w:r>
          </w:p>
        </w:tc>
        <w:tc>
          <w:tcPr>
            <w:tcW w:w="6851" w:type="dxa"/>
            <w:shd w:val="clear" w:color="auto" w:fill="auto"/>
          </w:tcPr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Garamond"/>
              </w:rPr>
              <w:t xml:space="preserve">2.6.1.2. ЦФР </w:t>
            </w:r>
            <w:r>
              <w:rPr>
                <w:rFonts w:ascii="Garamond" w:hAnsi="Garamond"/>
              </w:rPr>
              <w:t xml:space="preserve">не позднее 25-го числа месяца, следующего за отчетным кварталом, направляет в Совет рынка в отношении каждого покупателя, входящего в </w:t>
            </w:r>
            <w:r w:rsidRPr="00187FAA">
              <w:rPr>
                <w:rFonts w:ascii="Garamond" w:hAnsi="Garamond"/>
              </w:rPr>
              <w:t>переч</w:t>
            </w:r>
            <w:r>
              <w:rPr>
                <w:rFonts w:ascii="Garamond" w:hAnsi="Garamond"/>
              </w:rPr>
              <w:t xml:space="preserve">ень </w:t>
            </w:r>
            <w:r w:rsidR="009478A6">
              <w:rPr>
                <w:rFonts w:ascii="Garamond" w:hAnsi="Garamond"/>
                <w:highlight w:val="yellow"/>
              </w:rPr>
              <w:t>(по состоянию на первый и (</w:t>
            </w:r>
            <w:r w:rsidRPr="00187FAA">
              <w:rPr>
                <w:rFonts w:ascii="Garamond" w:hAnsi="Garamond"/>
                <w:highlight w:val="yellow"/>
              </w:rPr>
              <w:t>или</w:t>
            </w:r>
            <w:r w:rsidR="009478A6">
              <w:rPr>
                <w:rFonts w:ascii="Garamond" w:hAnsi="Garamond"/>
                <w:highlight w:val="yellow"/>
              </w:rPr>
              <w:t>)</w:t>
            </w:r>
            <w:r w:rsidRPr="00187FAA">
              <w:rPr>
                <w:rFonts w:ascii="Garamond" w:hAnsi="Garamond"/>
                <w:highlight w:val="yellow"/>
              </w:rPr>
              <w:t xml:space="preserve"> последний день отчетного квартала) субъектов оптового рынка – покупателей, функционирующих в отдельных частях ценовых зон оптового рынка, полученный</w:t>
            </w:r>
            <w:r>
              <w:rPr>
                <w:rFonts w:ascii="Garamond" w:hAnsi="Garamond"/>
              </w:rPr>
              <w:t xml:space="preserve"> в соответствии с пунктом 2.6.1.1 настоящего Регламента, следующую информацию по договорам, по которым расчет денежных обязательств сторон производится организациями коммерческой инфраструктуры оптового рынка и перечисленным в пункте 2.3.2 настоящего Регламента, по которым субъект оптового рынка – покупатель, функционирующий в отдельных частях ценовых зон оптового рынка, покупает электрическую энергию и (или) мощность:</w:t>
            </w:r>
          </w:p>
          <w:p w:rsidR="00A23F9A" w:rsidRDefault="00356CF2" w:rsidP="00946E50">
            <w:pPr>
              <w:pStyle w:val="a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- о суммарном размере неисполненных обязательств такого покупателя по оплате электрической энергии и мощности (на последний день отчетного квартала);</w:t>
            </w:r>
          </w:p>
          <w:p w:rsidR="00A23F9A" w:rsidRDefault="00356CF2" w:rsidP="00946E50">
            <w:pPr>
              <w:pStyle w:val="ae"/>
              <w:spacing w:before="120" w:after="120"/>
              <w:jc w:val="both"/>
            </w:pPr>
            <w:r>
              <w:rPr>
                <w:rFonts w:ascii="Garamond" w:hAnsi="Garamond"/>
                <w:sz w:val="22"/>
                <w:szCs w:val="22"/>
              </w:rPr>
              <w:t>- о стоимости электрической энергии и мощности, поставленных за отчетный квартал такому покупателю.</w:t>
            </w:r>
          </w:p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Информация, указанная в настоящем пункте, предоставляется по форме приложений 4 и 5 к настоящему Регламенту в документарном виде с подписью уполномочен</w:t>
            </w:r>
            <w:bookmarkStart w:id="0" w:name="_GoBack"/>
            <w:bookmarkEnd w:id="0"/>
            <w:r>
              <w:rPr>
                <w:rFonts w:ascii="Garamond" w:hAnsi="Garamond"/>
              </w:rPr>
              <w:t>ного лица ЦФР и в электронном виде без применения ЭП. Дата направления информации ЦФР в Совет рынка по форме приложения 5 может быть изменена по согласованию между ними на более позднюю дату в случае изменения сроков предоставления КО в ЦФР информации о стоимости электрической энергии и мощности, поставленных за последний месяц отчетного квартала.</w:t>
            </w:r>
          </w:p>
          <w:p w:rsidR="00A23F9A" w:rsidRDefault="00356CF2" w:rsidP="00946E50">
            <w:pPr>
              <w:tabs>
                <w:tab w:val="left" w:pos="0"/>
                <w:tab w:val="num" w:pos="567"/>
                <w:tab w:val="left" w:pos="1620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Информацию, указанную в настоящем пункте, Совет рынка направляет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топливно-энергетического комплекса, в соответствии с подпунктом «б» пункта 72(10) Правил оптового рынка.</w:t>
            </w:r>
          </w:p>
        </w:tc>
      </w:tr>
    </w:tbl>
    <w:p w:rsidR="00A23F9A" w:rsidRDefault="00A23F9A">
      <w:pPr>
        <w:jc w:val="both"/>
        <w:rPr>
          <w:rFonts w:ascii="Garamond" w:hAnsi="Garamond"/>
          <w:bCs/>
          <w:iCs/>
        </w:rPr>
      </w:pPr>
    </w:p>
    <w:sectPr w:rsidR="00A23F9A">
      <w:footerReference w:type="default" r:id="rId8"/>
      <w:pgSz w:w="16838" w:h="11906" w:orient="landscape"/>
      <w:pgMar w:top="1134" w:right="1134" w:bottom="1134" w:left="1134" w:header="709" w:footer="43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3E6DBA" w16cid:durableId="1FC0C1D7"/>
  <w16cid:commentId w16cid:paraId="1104564F" w16cid:durableId="1FC0C269"/>
  <w16cid:commentId w16cid:paraId="6E6FD117" w16cid:durableId="1FC0C26D"/>
  <w16cid:commentId w16cid:paraId="52B548A1" w16cid:durableId="1FC0C2A4"/>
  <w16cid:commentId w16cid:paraId="0FB02A46" w16cid:durableId="1FC0C2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08" w:rsidRDefault="00FF3108">
      <w:pPr>
        <w:spacing w:after="0" w:line="240" w:lineRule="auto"/>
      </w:pPr>
      <w:r>
        <w:separator/>
      </w:r>
    </w:p>
  </w:endnote>
  <w:endnote w:type="continuationSeparator" w:id="0">
    <w:p w:rsidR="00FF3108" w:rsidRDefault="00FF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099427"/>
      <w:docPartObj>
        <w:docPartGallery w:val="Page Numbers (Bottom of Page)"/>
        <w:docPartUnique/>
      </w:docPartObj>
    </w:sdtPr>
    <w:sdtEndPr/>
    <w:sdtContent>
      <w:p w:rsidR="00A23F9A" w:rsidRDefault="00356CF2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97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3F9A" w:rsidRDefault="00A23F9A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08" w:rsidRDefault="00FF3108">
      <w:pPr>
        <w:spacing w:after="0" w:line="240" w:lineRule="auto"/>
      </w:pPr>
      <w:r>
        <w:separator/>
      </w:r>
    </w:p>
  </w:footnote>
  <w:footnote w:type="continuationSeparator" w:id="0">
    <w:p w:rsidR="00FF3108" w:rsidRDefault="00FF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79F"/>
    <w:multiLevelType w:val="hybridMultilevel"/>
    <w:tmpl w:val="83E0A048"/>
    <w:lvl w:ilvl="0" w:tplc="6D025B54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2" w15:restartNumberingAfterBreak="0">
    <w:nsid w:val="205C1584"/>
    <w:multiLevelType w:val="hybridMultilevel"/>
    <w:tmpl w:val="01D8F77E"/>
    <w:lvl w:ilvl="0" w:tplc="8FBA7C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926C71"/>
    <w:multiLevelType w:val="hybridMultilevel"/>
    <w:tmpl w:val="0FC8B4F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F55684"/>
    <w:multiLevelType w:val="hybridMultilevel"/>
    <w:tmpl w:val="9FD63EE8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454E0924"/>
    <w:multiLevelType w:val="hybridMultilevel"/>
    <w:tmpl w:val="D7C8A140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492D7E12"/>
    <w:multiLevelType w:val="hybridMultilevel"/>
    <w:tmpl w:val="6C5219A4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B75582"/>
    <w:multiLevelType w:val="hybridMultilevel"/>
    <w:tmpl w:val="01B848A4"/>
    <w:lvl w:ilvl="0" w:tplc="0C6E2022">
      <w:start w:val="13"/>
      <w:numFmt w:val="decimal"/>
      <w:lvlText w:val="%1)"/>
      <w:lvlJc w:val="left"/>
      <w:pPr>
        <w:ind w:left="81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 w15:restartNumberingAfterBreak="0">
    <w:nsid w:val="5A717B7A"/>
    <w:multiLevelType w:val="hybridMultilevel"/>
    <w:tmpl w:val="89447C9E"/>
    <w:lvl w:ilvl="0" w:tplc="2D3A6B62">
      <w:start w:val="1"/>
      <w:numFmt w:val="bullet"/>
      <w:lvlText w:val="−"/>
      <w:lvlJc w:val="left"/>
      <w:pPr>
        <w:ind w:left="16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CF27516"/>
    <w:multiLevelType w:val="hybridMultilevel"/>
    <w:tmpl w:val="A48065E2"/>
    <w:lvl w:ilvl="0" w:tplc="0419000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6A517F"/>
    <w:multiLevelType w:val="multilevel"/>
    <w:tmpl w:val="EA62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2" w15:restartNumberingAfterBreak="0">
    <w:nsid w:val="6D0C2228"/>
    <w:multiLevelType w:val="hybridMultilevel"/>
    <w:tmpl w:val="33BE4B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584246D"/>
    <w:multiLevelType w:val="hybridMultilevel"/>
    <w:tmpl w:val="38A6993E"/>
    <w:lvl w:ilvl="0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 w15:restartNumberingAfterBreak="0">
    <w:nsid w:val="76F67BEF"/>
    <w:multiLevelType w:val="hybridMultilevel"/>
    <w:tmpl w:val="9C4A4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FF2679A">
      <w:numFmt w:val="decimal"/>
      <w:lvlText w:val="%2"/>
      <w:lvlJc w:val="left"/>
      <w:pPr>
        <w:ind w:left="202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A"/>
    <w:rsid w:val="001475E5"/>
    <w:rsid w:val="00187FAA"/>
    <w:rsid w:val="00356CF2"/>
    <w:rsid w:val="00840707"/>
    <w:rsid w:val="00946E50"/>
    <w:rsid w:val="009478A6"/>
    <w:rsid w:val="00962C55"/>
    <w:rsid w:val="00A23F9A"/>
    <w:rsid w:val="00D25D8D"/>
    <w:rsid w:val="00F97A80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EA3B-CF3D-468E-9C80-2703AA5F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Sub-Minor,Level 2 - a,H4,H41"/>
    <w:basedOn w:val="a"/>
    <w:next w:val="a"/>
    <w:link w:val="40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"/>
    <w:link w:val="50"/>
    <w:qFormat/>
    <w:pPr>
      <w:tabs>
        <w:tab w:val="num" w:pos="360"/>
      </w:tabs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p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qFormat/>
    <w:p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p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Body Text"/>
    <w:basedOn w:val="a"/>
    <w:link w:val="a6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6">
    <w:name w:val="Основной текст Знак"/>
    <w:link w:val="a5"/>
    <w:rPr>
      <w:rFonts w:ascii="Garamond" w:eastAsia="Times New Roman" w:hAnsi="Garamond"/>
      <w:sz w:val="22"/>
      <w:lang w:val="en-GB" w:eastAsia="en-US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rPr>
      <w:rFonts w:ascii="Garamond" w:eastAsia="Times New Roman" w:hAnsi="Garamond"/>
      <w:b/>
      <w:bCs/>
      <w:caps/>
      <w:color w:val="000000"/>
      <w:kern w:val="28"/>
      <w:sz w:val="22"/>
      <w:szCs w:val="22"/>
      <w:lang w:eastAsia="en-US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caption"/>
    <w:basedOn w:val="a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b">
    <w:name w:val="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</w:rPr>
  </w:style>
  <w:style w:type="character" w:customStyle="1" w:styleId="ad">
    <w:name w:val="Название Знак"/>
    <w:link w:val="ac"/>
    <w:rPr>
      <w:rFonts w:ascii="Garamond" w:eastAsia="Times New Roman" w:hAnsi="Garamond"/>
      <w:b/>
      <w:bCs/>
      <w:sz w:val="32"/>
      <w:szCs w:val="24"/>
    </w:rPr>
  </w:style>
  <w:style w:type="paragraph" w:styleId="32">
    <w:name w:val="Body Text 3"/>
    <w:basedOn w:val="a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Pr>
      <w:b/>
      <w:bCs/>
      <w:lang w:eastAsia="en-US"/>
    </w:rPr>
  </w:style>
  <w:style w:type="paragraph" w:styleId="22">
    <w:name w:val="List Number 2"/>
    <w:basedOn w:val="a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4">
    <w:name w:val="Strong"/>
    <w:uiPriority w:val="22"/>
    <w:qFormat/>
    <w:rPr>
      <w:b/>
      <w:bCs/>
    </w:rPr>
  </w:style>
  <w:style w:type="paragraph" w:styleId="af5">
    <w:name w:val="Normal (Web)"/>
    <w:basedOn w:val="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sz w:val="22"/>
      <w:szCs w:val="22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2"/>
      <w:szCs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basedOn w:val="a0"/>
    <w:link w:val="6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Pr>
      <w:rFonts w:ascii="Garamond" w:eastAsia="Times New Roman" w:hAnsi="Garamond"/>
      <w:sz w:val="22"/>
      <w:lang w:eastAsia="en-US"/>
    </w:rPr>
  </w:style>
  <w:style w:type="character" w:customStyle="1" w:styleId="80">
    <w:name w:val="Заголовок 8 Знак"/>
    <w:aliases w:val="Legal Level 1.1.1. Знак"/>
    <w:basedOn w:val="a0"/>
    <w:link w:val="8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aliases w:val="Legal Level 1.1.1.1. Знак"/>
    <w:basedOn w:val="a0"/>
    <w:link w:val="9"/>
    <w:rPr>
      <w:rFonts w:ascii="Arial" w:eastAsia="Times New Roman" w:hAnsi="Arial"/>
      <w:i/>
      <w:sz w:val="18"/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lang w:eastAsia="en-US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table" w:styleId="af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Обычный2"/>
    <w:basedOn w:val="a"/>
    <w:uiPriority w:val="99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table" w:customStyle="1" w:styleId="11">
    <w:name w:val="Сетка таблицы1"/>
    <w:basedOn w:val="a1"/>
    <w:next w:val="a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1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1A38-1F7F-4E3D-94B2-C2E851F7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Hewlett-Packard Company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Geil_YV</dc:creator>
  <cp:lastModifiedBy>Гирина Марина Владимировна</cp:lastModifiedBy>
  <cp:revision>7</cp:revision>
  <cp:lastPrinted>2018-12-21T08:29:00Z</cp:lastPrinted>
  <dcterms:created xsi:type="dcterms:W3CDTF">2019-03-22T06:53:00Z</dcterms:created>
  <dcterms:modified xsi:type="dcterms:W3CDTF">2019-04-19T13:05:00Z</dcterms:modified>
</cp:coreProperties>
</file>