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28" w:rsidRPr="002C4B28" w:rsidRDefault="002C4B28" w:rsidP="002C4B28">
      <w:pPr>
        <w:widowControl w:val="0"/>
        <w:spacing w:after="0"/>
        <w:ind w:left="57"/>
        <w:jc w:val="right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№ 1.1</w:t>
      </w:r>
      <w:r>
        <w:rPr>
          <w:rFonts w:ascii="Times New Roman" w:hAnsi="Times New Roman"/>
          <w:sz w:val="24"/>
          <w:szCs w:val="24"/>
          <w:lang w:val="en-US" w:eastAsia="ru-RU"/>
        </w:rPr>
        <w:t>2</w:t>
      </w:r>
    </w:p>
    <w:p w:rsidR="002C4B28" w:rsidRDefault="002C4B28" w:rsidP="002C4B28">
      <w:pPr>
        <w:widowControl w:val="0"/>
        <w:spacing w:after="0"/>
        <w:ind w:left="5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Протоколу № 31/2020 заседания Наблюдательного совета </w:t>
      </w:r>
    </w:p>
    <w:p w:rsidR="002C4B28" w:rsidRPr="002C4B28" w:rsidRDefault="002C4B28" w:rsidP="002C4B28">
      <w:pPr>
        <w:widowControl w:val="0"/>
        <w:spacing w:after="0"/>
        <w:jc w:val="right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Ассоциации «НП Совет рынка» от 24 ноября 2020 года.</w:t>
      </w:r>
    </w:p>
    <w:p w:rsidR="002C4B28" w:rsidRPr="002C4B28" w:rsidRDefault="002C4B28" w:rsidP="00731BFF">
      <w:pPr>
        <w:widowControl w:val="0"/>
        <w:spacing w:after="0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6218A" w:rsidRDefault="007745A6" w:rsidP="00731BFF">
      <w:pPr>
        <w:widowControl w:val="0"/>
        <w:spacing w:after="0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val="en-US" w:eastAsia="ru-RU"/>
        </w:rPr>
        <w:t>V</w:t>
      </w: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.6. Изменения, связанные с порядком определения нарушения сроков оплаты обязательств на оптовом рынке</w:t>
      </w:r>
    </w:p>
    <w:p w:rsidR="0086218A" w:rsidRDefault="0086218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6218A" w:rsidRDefault="007745A6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Приложение № </w:t>
      </w:r>
      <w:r w:rsidR="002C4B28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val="en-US" w:eastAsia="ru-RU"/>
        </w:rPr>
        <w:t>1</w:t>
      </w: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val="en-US" w:eastAsia="ru-RU"/>
        </w:rPr>
        <w:t>.</w:t>
      </w:r>
      <w:r w:rsidR="002C4B28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val="en-US" w:eastAsia="ru-RU"/>
        </w:rPr>
        <w:t>12</w:t>
      </w:r>
      <w:bookmarkStart w:id="0" w:name="_GoBack"/>
      <w:bookmarkEnd w:id="0"/>
    </w:p>
    <w:p w:rsidR="0086218A" w:rsidRDefault="0086218A">
      <w:pPr>
        <w:widowControl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9"/>
      </w:tblGrid>
      <w:tr w:rsidR="0086218A">
        <w:trPr>
          <w:trHeight w:val="386"/>
        </w:trPr>
        <w:tc>
          <w:tcPr>
            <w:tcW w:w="1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A" w:rsidRDefault="007745A6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АО «ЦФР».</w:t>
            </w:r>
          </w:p>
          <w:p w:rsidR="0086218A" w:rsidRDefault="007745A6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731BFF">
              <w:rPr>
                <w:rFonts w:ascii="Garamond" w:hAnsi="Garamond"/>
                <w:sz w:val="24"/>
                <w:szCs w:val="24"/>
              </w:rPr>
              <w:t>и</w:t>
            </w:r>
            <w:r>
              <w:rPr>
                <w:rFonts w:ascii="Garamond" w:hAnsi="Garamond"/>
                <w:sz w:val="24"/>
                <w:szCs w:val="24"/>
              </w:rPr>
              <w:t>сключить из порядка определения нарушения сроков оплаты обязательств на оптовом рынке обязательства, которые АО «ЦФР» не включает в Сводный реестр платежей участников оптового рынка.</w:t>
            </w:r>
          </w:p>
          <w:p w:rsidR="0086218A" w:rsidRDefault="007745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1 декабря 2020 года.</w:t>
            </w:r>
          </w:p>
        </w:tc>
      </w:tr>
    </w:tbl>
    <w:p w:rsidR="0086218A" w:rsidRDefault="0086218A">
      <w:pPr>
        <w:widowControl w:val="0"/>
        <w:spacing w:after="0" w:line="240" w:lineRule="auto"/>
        <w:rPr>
          <w:rFonts w:ascii="Garamond" w:hAnsi="Garamond"/>
          <w:sz w:val="24"/>
          <w:szCs w:val="24"/>
        </w:rPr>
      </w:pPr>
    </w:p>
    <w:p w:rsidR="0086218A" w:rsidRPr="00731BFF" w:rsidRDefault="007745A6" w:rsidP="00731BFF">
      <w:pPr>
        <w:rPr>
          <w:rFonts w:ascii="Garamond" w:hAnsi="Garamond"/>
          <w:b/>
          <w:sz w:val="26"/>
          <w:szCs w:val="26"/>
        </w:rPr>
      </w:pPr>
      <w:r w:rsidRPr="00731BFF">
        <w:rPr>
          <w:rFonts w:ascii="Garamond" w:hAnsi="Garamond"/>
          <w:b/>
          <w:sz w:val="26"/>
          <w:szCs w:val="26"/>
        </w:rPr>
        <w:t>Предложения по изменениям и дополнениям в ПОЛОЖЕНИЕ О ПОРЯДКЕ ПРЕДОСТАВЛЕНИЯ ФИНАНСОВЫХ ГАРАНТИЙ НА ОПТОВОМ РЫНКЕ (Приложение № 26 к Договору о присоединении к торговой системе оптового рынка)</w:t>
      </w: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945"/>
        <w:gridCol w:w="6684"/>
      </w:tblGrid>
      <w:tr w:rsidR="0086218A" w:rsidTr="00731BF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6218A" w:rsidRDefault="007745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№ пункта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6218A" w:rsidRDefault="007745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:rsidR="0086218A" w:rsidRDefault="007745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86218A" w:rsidRDefault="007745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Предлагаемая редакция </w:t>
            </w:r>
          </w:p>
          <w:p w:rsidR="0086218A" w:rsidRDefault="007745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86218A" w:rsidTr="00731BF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6218A" w:rsidRDefault="007745A6" w:rsidP="0055292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</w:t>
            </w:r>
            <w:r w:rsidR="00552920">
              <w:rPr>
                <w:rFonts w:ascii="Garamond" w:hAnsi="Garamond"/>
                <w:b/>
              </w:rPr>
              <w:t>е</w:t>
            </w:r>
            <w:r>
              <w:rPr>
                <w:rFonts w:ascii="Garamond" w:hAnsi="Garamond"/>
                <w:b/>
              </w:rPr>
              <w:t xml:space="preserve"> 7</w:t>
            </w:r>
            <w:r w:rsidR="00552920">
              <w:rPr>
                <w:rFonts w:ascii="Garamond" w:hAnsi="Garamond"/>
                <w:b/>
              </w:rPr>
              <w:t>, п. 1</w:t>
            </w:r>
          </w:p>
        </w:tc>
        <w:tc>
          <w:tcPr>
            <w:tcW w:w="6945" w:type="dxa"/>
            <w:shd w:val="clear" w:color="auto" w:fill="auto"/>
          </w:tcPr>
          <w:p w:rsidR="0086218A" w:rsidRDefault="007745A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                Порядок определения нарушения сроков оплаты обязательств на оптовом рынке в дату платежа </w:t>
            </w:r>
            <w:r>
              <w:rPr>
                <w:rFonts w:ascii="Garamond" w:hAnsi="Garamond"/>
                <w:b/>
                <w:iCs/>
                <w:spacing w:val="-3"/>
                <w:position w:val="-8"/>
              </w:rPr>
              <w:object w:dxaOrig="279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2pt;height:14.4pt" o:ole="">
                  <v:imagedata r:id="rId8" o:title=""/>
                </v:shape>
                <o:OLEObject Type="Embed" ProgID="Equation.3" ShapeID="_x0000_i1025" DrawAspect="Content" ObjectID="_1667397296" r:id="rId9"/>
              </w:objec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на следующий рабочий день после каждой даты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26" type="#_x0000_t75" style="width:24.2pt;height:14.4pt" o:ole="">
                  <v:imagedata r:id="rId10" o:title=""/>
                </v:shape>
                <o:OLEObject Type="Embed" ProgID="Equation.3" ShapeID="_x0000_i1026" DrawAspect="Content" ObjectID="_1667397297" r:id="rId11"/>
              </w:object>
            </w:r>
            <w:r>
              <w:rPr>
                <w:rFonts w:ascii="Garamond" w:hAnsi="Garamond"/>
              </w:rPr>
              <w:t xml:space="preserve"> (14, 21, 25, 28-е число месяца) либо на второй рабочий день после даты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27" type="#_x0000_t75" style="width:24.2pt;height:14.4pt" o:ole="">
                  <v:imagedata r:id="rId12" o:title=""/>
                </v:shape>
                <o:OLEObject Type="Embed" ProgID="Equation.3" ShapeID="_x0000_i1027" DrawAspect="Content" ObjectID="_1667397298" r:id="rId13"/>
              </w:object>
            </w:r>
            <w:r>
              <w:rPr>
                <w:rFonts w:ascii="Garamond" w:hAnsi="Garamond"/>
              </w:rPr>
              <w:t xml:space="preserve"> (14, 21, 25, 28-е число месяца), если дата платежа приходится на нерабочий день, осуществляет мониторинг нарушения покупателем сроков оплаты обязательств на оптовом рынке в дату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28" type="#_x0000_t75" style="width:24.2pt;height:14.4pt" o:ole="">
                  <v:imagedata r:id="rId14" o:title=""/>
                </v:shape>
                <o:OLEObject Type="Embed" ProgID="Equation.3" ShapeID="_x0000_i1028" DrawAspect="Content" ObjectID="_1667397299" r:id="rId15"/>
              </w:object>
            </w:r>
            <w:r>
              <w:rPr>
                <w:rFonts w:ascii="Garamond" w:hAnsi="Garamond"/>
              </w:rPr>
              <w:t xml:space="preserve">(14, 21, 25, 28-е число месяца). 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ЦФР на второй рабочий день после каждой даты платежа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29" type="#_x0000_t75" style="width:24.2pt;height:14.4pt" o:ole="">
                  <v:imagedata r:id="rId10" o:title=""/>
                </v:shape>
                <o:OLEObject Type="Embed" ProgID="Equation.3" ShapeID="_x0000_i1029" DrawAspect="Content" ObjectID="_1667397300" r:id="rId16"/>
              </w:object>
            </w:r>
            <w:r>
              <w:rPr>
                <w:rFonts w:ascii="Garamond" w:hAnsi="Garamond"/>
              </w:rPr>
              <w:t xml:space="preserve"> (14, 21, 25, 28-е число месяца), если в указанную дату платежа наступили обстоятельства, предусмотренные в пп. 2.5.2, 2.5.3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), осуществляет мониторинг нарушения покупателем сроков оплаты обязательств на оптовом рынке по </w:t>
            </w:r>
            <w:r>
              <w:rPr>
                <w:rFonts w:ascii="Garamond" w:hAnsi="Garamond"/>
              </w:rPr>
              <w:lastRenderedPageBreak/>
              <w:t xml:space="preserve">итогам следующего рабочего дня после даты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30" type="#_x0000_t75" style="width:24.2pt;height:14.4pt" o:ole="">
                  <v:imagedata r:id="rId14" o:title=""/>
                </v:shape>
                <o:OLEObject Type="Embed" ProgID="Equation.3" ShapeID="_x0000_i1030" DrawAspect="Content" ObjectID="_1667397301" r:id="rId17"/>
              </w:object>
            </w:r>
            <w:r>
              <w:rPr>
                <w:rFonts w:ascii="Garamond" w:hAnsi="Garamond"/>
              </w:rPr>
              <w:t>(14, 21, 25, 28-е число месяца).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месяце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 мониторинг осуществляется в отношении участников оптового рынка, указанных в Перечне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неценовой (неценовых) зоны (зон) оптового рынка, подлежащих мониторингу своевременного исполнения/неисполнения обязательств на оптовом рынке по состоянию на 1-е число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 (приложение 2 к настоящему Положению).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Для целей настоящего Положения под «нарушением покупателем сроков оплаты обязательств на оптовом рынке в дату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31" type="#_x0000_t75" style="width:24.2pt;height:14.4pt" o:ole="">
                  <v:imagedata r:id="rId18" o:title=""/>
                </v:shape>
                <o:OLEObject Type="Embed" ProgID="Equation.3" ShapeID="_x0000_i1031" DrawAspect="Content" ObjectID="_1667397302" r:id="rId19"/>
              </w:object>
            </w:r>
            <w:r>
              <w:rPr>
                <w:rFonts w:ascii="Garamond" w:hAnsi="Garamond"/>
              </w:rPr>
              <w:t>(14, 21, 25, 28-е число месяца)» понимается неисполнение (ненадлежащее исполнение) обязательств по оплате по договорам, указанным в пункте 2.3 Регламента финансовых расчетов на оптовом рынке электроэнергии (Приложение № 16 к Договору о присоединении к торговой системе оптового рынка), за исключением обязательств по оплате неустойки за просрочку платежа по оплате обязательств, возникших за расчетный период до 1 июля 2013 года.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При этом не учитываются неисполненные обязательства по оплате, расчеты по которым в соответствии с </w:t>
            </w:r>
            <w:r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highlight w:val="yellow"/>
              </w:rPr>
              <w:t xml:space="preserve"> осуществляются вне уполномоченной кредитной организации, в том числе:</w:t>
            </w:r>
          </w:p>
          <w:p w:rsidR="0086218A" w:rsidRDefault="007745A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обязательства в отношении контрагентов, в отношении которых судом принято решение о признании их банкротами и об открытии конкурсного производства;</w:t>
            </w:r>
          </w:p>
          <w:p w:rsidR="0086218A" w:rsidRDefault="007745A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обязательства по договорам, к которым заключены дополнительные соглашения о порядке расчетов вне уполномоченной кредитной организации.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7745A6">
              <w:rPr>
                <w:rFonts w:ascii="Garamond" w:hAnsi="Garamond"/>
                <w:highlight w:val="yellow"/>
              </w:rPr>
              <w:t>Н</w:t>
            </w:r>
            <w:r>
              <w:rPr>
                <w:rFonts w:ascii="Garamond" w:hAnsi="Garamond"/>
              </w:rPr>
              <w:t xml:space="preserve">е учитываются </w:t>
            </w:r>
            <w:r>
              <w:rPr>
                <w:rFonts w:ascii="Garamond" w:hAnsi="Garamond"/>
                <w:highlight w:val="yellow"/>
              </w:rPr>
              <w:t>также</w:t>
            </w:r>
            <w:r>
              <w:rPr>
                <w:rFonts w:ascii="Garamond" w:hAnsi="Garamond"/>
              </w:rPr>
              <w:t xml:space="preserve"> неисполненные обязательства контрагента в случае, если при проведении платежей в отчете, содержащем информацию об остатках на торговых счетах, направленном уполномоченной кредитной организацией в ЦФР в соответствии с приложением 54 к </w:t>
            </w:r>
            <w:r>
              <w:rPr>
                <w:rFonts w:ascii="Garamond" w:hAnsi="Garamond"/>
                <w:i/>
              </w:rPr>
              <w:t>Регламенту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 xml:space="preserve">Договору о присоединении к торговой системе </w:t>
            </w:r>
            <w:r>
              <w:rPr>
                <w:rFonts w:ascii="Garamond" w:hAnsi="Garamond"/>
                <w:i/>
              </w:rPr>
              <w:lastRenderedPageBreak/>
              <w:t>оптового рынка</w:t>
            </w:r>
            <w:r>
              <w:rPr>
                <w:rFonts w:ascii="Garamond" w:hAnsi="Garamond"/>
              </w:rPr>
              <w:t xml:space="preserve">), отсутствует информация о торговом счете получателя денежных средств. 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в течение 2 (двух) рабочих дней после наступления каждой даты платежа (14, 21, 25, 28-е число месяца) формирует уведомления покупателям по формам согласно приложениям 1а и 1б к настоящему Положению и размещает их для покупателей в разделе с ограниченным в соответствии с Правилами ЭДО СЭД КО доступом на официальном интернет-сайте КО. 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 случае отсутствия у покупателя обязательств к исполнению на дату платежа ЦФР в отношении такого участника оптового рынка не публикует указанное выше уведомление, при этом считается, что такой покупатель не имеет нарушения срока оплаты обязательств на оптовом рынке в соответствующую дату платежа.</w:t>
            </w:r>
          </w:p>
          <w:p w:rsidR="0086218A" w:rsidRPr="00731BFF" w:rsidRDefault="007745A6" w:rsidP="00731BFF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случае если покупатель является участником-банкротом, в отношении которого судом принято решение о признании его банкротом и об открытии конкурсного производства, и расчеты по обязательствам осуществляются в соответствии с разделом 21 </w:t>
            </w:r>
            <w:r>
              <w:rPr>
                <w:rFonts w:ascii="Garamond" w:hAnsi="Garamond"/>
                <w:i/>
              </w:rPr>
              <w:t xml:space="preserve">Регламента финансовых расчетов на оптовом рынке электроэнергии </w:t>
            </w:r>
            <w:r>
              <w:rPr>
                <w:rFonts w:ascii="Garamond" w:hAnsi="Garamond"/>
              </w:rPr>
              <w:t>(Приложение № 16 к</w:t>
            </w:r>
            <w:r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рынка) </w:t>
            </w:r>
            <w:r>
              <w:rPr>
                <w:rFonts w:ascii="Garamond" w:hAnsi="Garamond"/>
              </w:rPr>
              <w:t>вне уполномоченной кредитной организации, то ЦФР в отношении такого участника оптового рынка не публикует указанное выше уведомление.</w:t>
            </w:r>
          </w:p>
        </w:tc>
        <w:tc>
          <w:tcPr>
            <w:tcW w:w="6684" w:type="dxa"/>
            <w:shd w:val="clear" w:color="auto" w:fill="auto"/>
          </w:tcPr>
          <w:p w:rsidR="0086218A" w:rsidRDefault="007745A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              Порядок определения нарушения сроков оплаты обязательств на оптовом рынке в дату платежа </w:t>
            </w:r>
            <w:r>
              <w:rPr>
                <w:rFonts w:ascii="Garamond" w:hAnsi="Garamond"/>
                <w:b/>
                <w:iCs/>
                <w:spacing w:val="-3"/>
                <w:position w:val="-8"/>
              </w:rPr>
              <w:object w:dxaOrig="279" w:dyaOrig="220">
                <v:shape id="_x0000_i1032" type="#_x0000_t75" style="width:24.2pt;height:14.4pt" o:ole="">
                  <v:imagedata r:id="rId8" o:title=""/>
                </v:shape>
                <o:OLEObject Type="Embed" ProgID="Equation.3" ShapeID="_x0000_i1032" DrawAspect="Content" ObjectID="_1667397303" r:id="rId20"/>
              </w:objec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на следующий рабочий день после каждой даты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33" type="#_x0000_t75" style="width:24.2pt;height:14.4pt" o:ole="">
                  <v:imagedata r:id="rId10" o:title=""/>
                </v:shape>
                <o:OLEObject Type="Embed" ProgID="Equation.3" ShapeID="_x0000_i1033" DrawAspect="Content" ObjectID="_1667397304" r:id="rId21"/>
              </w:object>
            </w:r>
            <w:r>
              <w:rPr>
                <w:rFonts w:ascii="Garamond" w:hAnsi="Garamond"/>
              </w:rPr>
              <w:t xml:space="preserve"> (14, 21, 25, 28-е число месяца) либо на второй рабочий день после даты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34" type="#_x0000_t75" style="width:24.2pt;height:14.4pt" o:ole="">
                  <v:imagedata r:id="rId12" o:title=""/>
                </v:shape>
                <o:OLEObject Type="Embed" ProgID="Equation.3" ShapeID="_x0000_i1034" DrawAspect="Content" ObjectID="_1667397305" r:id="rId22"/>
              </w:object>
            </w:r>
            <w:r>
              <w:rPr>
                <w:rFonts w:ascii="Garamond" w:hAnsi="Garamond"/>
              </w:rPr>
              <w:t xml:space="preserve"> (14, 21, 25, 28-е число месяца), если дата платежа приходится на нерабочий день, осуществляет мониторинг нарушения покупателем сроков оплаты обязательств на оптовом рынке в дату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35" type="#_x0000_t75" style="width:24.2pt;height:14.4pt" o:ole="">
                  <v:imagedata r:id="rId14" o:title=""/>
                </v:shape>
                <o:OLEObject Type="Embed" ProgID="Equation.3" ShapeID="_x0000_i1035" DrawAspect="Content" ObjectID="_1667397306" r:id="rId23"/>
              </w:object>
            </w:r>
            <w:r>
              <w:rPr>
                <w:rFonts w:ascii="Garamond" w:hAnsi="Garamond"/>
              </w:rPr>
              <w:t xml:space="preserve">(14, 21, 25, 28-е число месяца). 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ЦФР на второй рабочий день после каждой даты платежа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36" type="#_x0000_t75" style="width:24.2pt;height:14.4pt" o:ole="">
                  <v:imagedata r:id="rId10" o:title=""/>
                </v:shape>
                <o:OLEObject Type="Embed" ProgID="Equation.3" ShapeID="_x0000_i1036" DrawAspect="Content" ObjectID="_1667397307" r:id="rId24"/>
              </w:object>
            </w:r>
            <w:r>
              <w:rPr>
                <w:rFonts w:ascii="Garamond" w:hAnsi="Garamond"/>
              </w:rPr>
              <w:t xml:space="preserve"> (14, 21, 25, 28-е число месяца), если в указанную дату платежа наступили обстоятельства, предусмотренные в пп. 2.5.2, 2.5.3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), осуществляет мониторинг нарушения покупателем сроков оплаты обязательств на </w:t>
            </w:r>
            <w:r>
              <w:rPr>
                <w:rFonts w:ascii="Garamond" w:hAnsi="Garamond"/>
              </w:rPr>
              <w:lastRenderedPageBreak/>
              <w:t xml:space="preserve">оптовом рынке по итогам следующего рабочего дня после даты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37" type="#_x0000_t75" style="width:24.2pt;height:14.4pt" o:ole="">
                  <v:imagedata r:id="rId14" o:title=""/>
                </v:shape>
                <o:OLEObject Type="Embed" ProgID="Equation.3" ShapeID="_x0000_i1037" DrawAspect="Content" ObjectID="_1667397308" r:id="rId25"/>
              </w:object>
            </w:r>
            <w:r>
              <w:rPr>
                <w:rFonts w:ascii="Garamond" w:hAnsi="Garamond"/>
              </w:rPr>
              <w:t>(14, 21, 25, 28-е число месяца).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месяце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 мониторинг осуществляется в отношении участников оптового рынка, указанных в Перечне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неценовой (неценовых) зоны (зон) оптового рынка, подлежащих мониторингу своевременного исполнения/неисполнения обязательств на оптовом рынке по состоянию на 1-е число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 (приложение 2 к настоящему Положению).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Для целей настоящего Положения под «нарушением покупателем сроков оплаты обязательств на оптовом рынке в дату платежа </w:t>
            </w:r>
            <w:r>
              <w:rPr>
                <w:rFonts w:ascii="Garamond" w:hAnsi="Garamond"/>
                <w:position w:val="-8"/>
              </w:rPr>
              <w:object w:dxaOrig="279" w:dyaOrig="220">
                <v:shape id="_x0000_i1038" type="#_x0000_t75" style="width:24.2pt;height:14.4pt" o:ole="">
                  <v:imagedata r:id="rId18" o:title=""/>
                </v:shape>
                <o:OLEObject Type="Embed" ProgID="Equation.3" ShapeID="_x0000_i1038" DrawAspect="Content" ObjectID="_1667397309" r:id="rId26"/>
              </w:object>
            </w:r>
            <w:r>
              <w:rPr>
                <w:rFonts w:ascii="Garamond" w:hAnsi="Garamond"/>
              </w:rPr>
              <w:t xml:space="preserve">(14, 21, 25, 28-е число месяца)» понимается неисполнение (ненадлежащее исполнение) обязательств по оплате по договорам, указанным в пункте 2.3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), за исключением обязательств по оплате неустойки за просрочку платежа по оплате обязательств, возникших за расчетный период до 1 июля 2013 года.</w:t>
            </w:r>
          </w:p>
          <w:p w:rsidR="0086218A" w:rsidRDefault="007745A6">
            <w:pPr>
              <w:jc w:val="both"/>
              <w:rPr>
                <w:rFonts w:ascii="Garamond" w:hAnsi="Garamond"/>
                <w:highlight w:val="yellow"/>
              </w:rPr>
            </w:pPr>
            <w:r>
              <w:t xml:space="preserve">         </w:t>
            </w:r>
            <w:r>
              <w:rPr>
                <w:rFonts w:ascii="Garamond" w:hAnsi="Garamond"/>
                <w:highlight w:val="yellow"/>
              </w:rPr>
              <w:t xml:space="preserve">При этом в общей сумме обязательств, подлежащих оплате в дату платежа </w:t>
            </w:r>
            <w:r>
              <w:rPr>
                <w:rFonts w:ascii="Garamond" w:hAnsi="Garamond"/>
                <w:noProof/>
                <w:highlight w:val="yellow"/>
                <w:lang w:eastAsia="ru-RU"/>
              </w:rPr>
              <w:drawing>
                <wp:inline distT="0" distB="0" distL="0" distR="0">
                  <wp:extent cx="314325" cy="180975"/>
                  <wp:effectExtent l="0" t="0" r="0" b="9525"/>
                  <wp:docPr id="15" name="Рисунок 1" descr="cid:image002.png@01D6A87F.C8DA4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2.png@01D6A87F.C8DA48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highlight w:val="yellow"/>
              </w:rPr>
              <w:t xml:space="preserve">(14, 21, 25, 28-е число месяца), не учитываются обязательства по оплате, которые ЦФР не включает в Сводный реестр платежей участников оптового рынка, в соответствии с </w:t>
            </w:r>
            <w:r w:rsidRPr="00552920">
              <w:rPr>
                <w:rFonts w:ascii="Garamond" w:hAnsi="Garamond"/>
                <w:i/>
                <w:highlight w:val="yellow"/>
              </w:rPr>
              <w:t>Регламентом финансовых расчетов на оптовом рынке электроэнергии</w:t>
            </w:r>
            <w:r>
              <w:rPr>
                <w:rFonts w:ascii="Garamond" w:hAnsi="Garamond"/>
                <w:highlight w:val="yellow"/>
              </w:rPr>
              <w:t xml:space="preserve"> (Приложение № 16 к </w:t>
            </w:r>
            <w:r w:rsidRPr="00552920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highlight w:val="yellow"/>
              </w:rPr>
              <w:t>)</w:t>
            </w:r>
            <w:r w:rsidR="00552920">
              <w:rPr>
                <w:rFonts w:ascii="Garamond" w:hAnsi="Garamond"/>
                <w:highlight w:val="yellow"/>
              </w:rPr>
              <w:t>.</w:t>
            </w:r>
          </w:p>
          <w:p w:rsidR="0086218A" w:rsidRDefault="007745A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 xml:space="preserve">         При определении неисполненных (ненадлежащ</w:t>
            </w:r>
            <w:r w:rsidR="00552920">
              <w:rPr>
                <w:rFonts w:ascii="Garamond" w:hAnsi="Garamond"/>
                <w:highlight w:val="yellow"/>
              </w:rPr>
              <w:t>им образом</w:t>
            </w:r>
            <w:r>
              <w:rPr>
                <w:rFonts w:ascii="Garamond" w:hAnsi="Garamond"/>
                <w:highlight w:val="yellow"/>
              </w:rPr>
              <w:t xml:space="preserve"> исполненных) обязательств по оплате</w:t>
            </w:r>
            <w:r>
              <w:rPr>
                <w:rFonts w:ascii="Garamond" w:hAnsi="Garamond"/>
              </w:rPr>
              <w:t xml:space="preserve"> </w:t>
            </w:r>
            <w:r w:rsidRPr="007745A6">
              <w:rPr>
                <w:rFonts w:ascii="Garamond" w:hAnsi="Garamond"/>
                <w:highlight w:val="yellow"/>
              </w:rPr>
              <w:t>н</w:t>
            </w:r>
            <w:r>
              <w:rPr>
                <w:rFonts w:ascii="Garamond" w:hAnsi="Garamond"/>
              </w:rPr>
              <w:t xml:space="preserve">е учитываются неисполненные обязательства контрагента в случае, если при проведении платежей в отчете, содержащем информацию об остатках на торговых счетах, направленном уполномоченной кредитной организацией в ЦФР в соответствии с приложением 54 к </w:t>
            </w:r>
            <w:r w:rsidRPr="007745A6">
              <w:rPr>
                <w:rFonts w:ascii="Garamond" w:hAnsi="Garamond"/>
                <w:i/>
              </w:rPr>
              <w:t>Регламенту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 w:rsidRPr="007745A6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), отсутствует информация о торговом счете получателя денежных средств. 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ЦФР в течение 2 (двух) рабочих дней после наступления каждой даты платежа (14, 21, 25, 28-е число месяца) формирует уведомления покупателям по формам согласно приложениям 1а и 1б к настоящему Положению и размещает их для покупателей в разделе с ограниченным в соответствии с Правилами ЭДО СЭД КО доступом на официальном интернет-сайте КО. </w:t>
            </w:r>
          </w:p>
          <w:p w:rsidR="0086218A" w:rsidRDefault="007745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 случае отсутствия у покупателя обязательств к исполнению на дату платежа ЦФР в отношении такого участника оптового рынка не публикует указанное выше уведомление, при этом считается, что такой покупатель не имеет нарушения срока оплаты обязательств на оптовом рынке в соответствующую дату платежа.</w:t>
            </w:r>
          </w:p>
          <w:p w:rsidR="0086218A" w:rsidRDefault="007745A6" w:rsidP="00731BFF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случае если покупатель является участником-банкротом, в отношении которого судом принято решение о признании его банкротом и об открытии конкурсного производства, и расчеты по обязательствам осуществляются в соответствии с разделом 21 </w:t>
            </w:r>
            <w:r>
              <w:rPr>
                <w:rFonts w:ascii="Garamond" w:hAnsi="Garamond"/>
                <w:i/>
              </w:rPr>
              <w:t xml:space="preserve">Регламента финансовых расчетов на оптовом рынке электроэнергии </w:t>
            </w:r>
            <w:r>
              <w:rPr>
                <w:rFonts w:ascii="Garamond" w:hAnsi="Garamond"/>
              </w:rPr>
              <w:t>(Приложение № 16 к</w:t>
            </w:r>
            <w:r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рынка) </w:t>
            </w:r>
            <w:r>
              <w:rPr>
                <w:rFonts w:ascii="Garamond" w:hAnsi="Garamond"/>
              </w:rPr>
              <w:t>вне уполномоченной кредитной организации, то ЦФР в отношении такого участника оптового рынка не публикует указанное выше уведомление.</w:t>
            </w:r>
          </w:p>
        </w:tc>
      </w:tr>
    </w:tbl>
    <w:p w:rsidR="0086218A" w:rsidRDefault="0086218A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745A6" w:rsidRDefault="007745A6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br w:type="page"/>
      </w:r>
    </w:p>
    <w:p w:rsidR="0086218A" w:rsidRPr="007745A6" w:rsidRDefault="007745A6" w:rsidP="007745A6">
      <w:pPr>
        <w:rPr>
          <w:rFonts w:ascii="Garamond" w:hAnsi="Garamond"/>
          <w:b/>
          <w:sz w:val="26"/>
          <w:szCs w:val="26"/>
        </w:rPr>
      </w:pPr>
      <w:r w:rsidRPr="007745A6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86218A" w:rsidRPr="002E7087" w:rsidRDefault="007745A6">
      <w:pPr>
        <w:widowControl w:val="0"/>
        <w:spacing w:after="0"/>
        <w:rPr>
          <w:rFonts w:ascii="Garamond" w:hAnsi="Garamond"/>
          <w:b/>
          <w:sz w:val="24"/>
        </w:rPr>
      </w:pPr>
      <w:r w:rsidRPr="002E7087">
        <w:rPr>
          <w:rFonts w:ascii="Garamond" w:hAnsi="Garamond"/>
          <w:b/>
          <w:sz w:val="24"/>
        </w:rPr>
        <w:t>Действующая редакция</w:t>
      </w:r>
    </w:p>
    <w:p w:rsidR="0086218A" w:rsidRDefault="007745A6">
      <w:pPr>
        <w:spacing w:before="120" w:after="120"/>
        <w:jc w:val="right"/>
        <w:rPr>
          <w:b/>
        </w:rPr>
      </w:pPr>
      <w:r>
        <w:rPr>
          <w:b/>
        </w:rPr>
        <w:t>Приложение 25</w:t>
      </w:r>
    </w:p>
    <w:p w:rsidR="0086218A" w:rsidRDefault="0086218A">
      <w:pPr>
        <w:widowControl w:val="0"/>
        <w:spacing w:after="0"/>
        <w:rPr>
          <w:rFonts w:ascii="Garamond" w:hAnsi="Garamond"/>
          <w:b/>
          <w:sz w:val="24"/>
          <w:highlight w:val="yellow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6"/>
        <w:gridCol w:w="1559"/>
        <w:gridCol w:w="1134"/>
        <w:gridCol w:w="1134"/>
        <w:gridCol w:w="992"/>
        <w:gridCol w:w="1156"/>
        <w:gridCol w:w="980"/>
        <w:gridCol w:w="1044"/>
        <w:gridCol w:w="709"/>
        <w:gridCol w:w="1134"/>
        <w:gridCol w:w="1356"/>
      </w:tblGrid>
      <w:tr w:rsidR="0086218A">
        <w:trPr>
          <w:trHeight w:val="300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rFonts w:cs="Arial CYR"/>
                <w:b/>
                <w:bCs/>
                <w:color w:val="000000"/>
                <w:lang w:eastAsia="ru-RU"/>
              </w:rPr>
              <w:t>Отчет по обязательствам на дату платежа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lang w:eastAsia="ru-RU"/>
              </w:rPr>
            </w:pPr>
          </w:p>
        </w:tc>
      </w:tr>
      <w:tr w:rsidR="0086218A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color w:val="000000"/>
                <w:sz w:val="20"/>
                <w:lang w:eastAsia="ru-RU"/>
              </w:rPr>
            </w:pPr>
            <w:r>
              <w:rPr>
                <w:rFonts w:cs="Arial CYR"/>
                <w:color w:val="000000"/>
                <w:sz w:val="20"/>
                <w:lang w:eastAsia="ru-RU"/>
              </w:rPr>
              <w:t>Дата формирования отчета: дд.мм.гггг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</w:tr>
      <w:tr w:rsidR="0086218A">
        <w:trPr>
          <w:gridAfter w:val="11"/>
          <w:wAfter w:w="12474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Дата платежа: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lang w:eastAsia="ru-RU"/>
              </w:rPr>
              <w:t> дд.мм.гггг</w:t>
            </w:r>
          </w:p>
        </w:tc>
      </w:tr>
      <w:tr w:rsidR="0086218A">
        <w:trPr>
          <w:gridAfter w:val="11"/>
          <w:wAfter w:w="12474" w:type="dxa"/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Код участника: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86218A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86218A">
        <w:trPr>
          <w:gridAfter w:val="11"/>
          <w:wAfter w:w="12474" w:type="dxa"/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Наименование участника: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86218A">
        <w:trPr>
          <w:gridAfter w:val="11"/>
          <w:wAfter w:w="12474" w:type="dxa"/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Торговый счет: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86218A">
        <w:trPr>
          <w:gridAfter w:val="11"/>
          <w:wAfter w:w="12474" w:type="dxa"/>
          <w:trHeight w:val="3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b/>
                <w:bCs/>
                <w:color w:val="FFFFFF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18A" w:rsidRDefault="0086218A">
            <w:pPr>
              <w:rPr>
                <w:b/>
                <w:bCs/>
                <w:color w:val="FFFFFF"/>
                <w:sz w:val="20"/>
                <w:lang w:eastAsia="ru-RU"/>
              </w:rPr>
            </w:pPr>
          </w:p>
        </w:tc>
      </w:tr>
      <w:tr w:rsidR="0086218A">
        <w:trPr>
          <w:trHeight w:val="10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Сектор ОРЭМ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Номер договора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Дата договора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Тип обязательства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Плательщик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 xml:space="preserve">Получатель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Период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 xml:space="preserve">Сумма обязательства без НДС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НДС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 xml:space="preserve">Сумма обязательства </w:t>
            </w:r>
            <w:r>
              <w:rPr>
                <w:rFonts w:cs="Arial"/>
                <w:b/>
                <w:bCs/>
                <w:color w:val="000000"/>
                <w:sz w:val="20"/>
                <w:highlight w:val="yellow"/>
                <w:lang w:eastAsia="ru-RU"/>
              </w:rPr>
              <w:t>к оплате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Примечание</w:t>
            </w:r>
          </w:p>
        </w:tc>
      </w:tr>
      <w:tr w:rsidR="0086218A">
        <w:trPr>
          <w:trHeight w:val="47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Код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Код участника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highlight w:val="yellow"/>
                <w:lang w:eastAsia="ru-RU"/>
              </w:rPr>
            </w:pPr>
          </w:p>
        </w:tc>
      </w:tr>
      <w:tr w:rsidR="0086218A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rFonts w:cs="Arial"/>
                <w:color w:val="000000"/>
                <w:sz w:val="20"/>
                <w:highlight w:val="yellow"/>
                <w:lang w:eastAsia="ru-RU"/>
              </w:rPr>
            </w:pPr>
          </w:p>
        </w:tc>
      </w:tr>
      <w:tr w:rsidR="0086218A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86218A" w:rsidRDefault="0086218A">
      <w:pPr>
        <w:tabs>
          <w:tab w:val="left" w:pos="3382"/>
        </w:tabs>
        <w:rPr>
          <w:i/>
          <w:sz w:val="20"/>
          <w:lang w:eastAsia="ru-RU"/>
        </w:rPr>
      </w:pPr>
    </w:p>
    <w:p w:rsidR="0086218A" w:rsidRDefault="007745A6">
      <w:pPr>
        <w:tabs>
          <w:tab w:val="left" w:pos="3382"/>
        </w:tabs>
      </w:pPr>
      <w:r>
        <w:rPr>
          <w:i/>
          <w:sz w:val="20"/>
          <w:lang w:eastAsia="ru-RU"/>
        </w:rPr>
        <w:t>Примечание</w:t>
      </w:r>
      <w:r>
        <w:rPr>
          <w:sz w:val="20"/>
          <w:lang w:eastAsia="ru-RU"/>
        </w:rPr>
        <w:t xml:space="preserve">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«Сумма обязательств </w:t>
      </w:r>
      <w:r>
        <w:rPr>
          <w:sz w:val="20"/>
          <w:highlight w:val="yellow"/>
          <w:lang w:eastAsia="ru-RU"/>
        </w:rPr>
        <w:t>к оплате</w:t>
      </w:r>
      <w:r>
        <w:rPr>
          <w:sz w:val="20"/>
          <w:lang w:eastAsia="ru-RU"/>
        </w:rPr>
        <w:t>» указывается без учета НДС, в иных случаях значение величины в данном столбце указывается с учетом НДС.</w:t>
      </w:r>
    </w:p>
    <w:p w:rsidR="0086218A" w:rsidRDefault="0086218A">
      <w:pPr>
        <w:tabs>
          <w:tab w:val="left" w:pos="1410"/>
        </w:tabs>
        <w:sectPr w:rsidR="0086218A">
          <w:pgSz w:w="16840" w:h="11907" w:orient="landscape" w:code="9"/>
          <w:pgMar w:top="1276" w:right="1134" w:bottom="567" w:left="1134" w:header="709" w:footer="709" w:gutter="0"/>
          <w:cols w:space="708"/>
          <w:docGrid w:linePitch="360"/>
        </w:sectPr>
      </w:pPr>
    </w:p>
    <w:p w:rsidR="0086218A" w:rsidRPr="007745A6" w:rsidRDefault="007745A6">
      <w:pPr>
        <w:widowControl w:val="0"/>
        <w:spacing w:after="0"/>
        <w:rPr>
          <w:rFonts w:ascii="Garamond" w:hAnsi="Garamond"/>
          <w:b/>
          <w:sz w:val="24"/>
        </w:rPr>
      </w:pPr>
      <w:r w:rsidRPr="007745A6">
        <w:rPr>
          <w:rFonts w:ascii="Garamond" w:hAnsi="Garamond"/>
          <w:b/>
          <w:sz w:val="24"/>
        </w:rPr>
        <w:lastRenderedPageBreak/>
        <w:t>Предлагаемая редакция</w:t>
      </w:r>
    </w:p>
    <w:p w:rsidR="0086218A" w:rsidRDefault="007745A6">
      <w:pPr>
        <w:spacing w:before="120" w:after="120"/>
        <w:jc w:val="right"/>
        <w:rPr>
          <w:b/>
        </w:rPr>
      </w:pPr>
      <w:r>
        <w:rPr>
          <w:b/>
        </w:rPr>
        <w:t>Приложение 25</w:t>
      </w: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647"/>
        <w:gridCol w:w="345"/>
        <w:gridCol w:w="647"/>
        <w:gridCol w:w="345"/>
        <w:gridCol w:w="1134"/>
        <w:gridCol w:w="993"/>
        <w:gridCol w:w="1134"/>
        <w:gridCol w:w="992"/>
        <w:gridCol w:w="992"/>
        <w:gridCol w:w="850"/>
        <w:gridCol w:w="1135"/>
        <w:gridCol w:w="1134"/>
        <w:gridCol w:w="851"/>
        <w:gridCol w:w="141"/>
        <w:gridCol w:w="851"/>
      </w:tblGrid>
      <w:tr w:rsidR="0086218A">
        <w:trPr>
          <w:trHeight w:val="300"/>
        </w:trPr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rFonts w:cs="Arial CYR"/>
                <w:b/>
                <w:bCs/>
                <w:color w:val="000000"/>
                <w:lang w:eastAsia="ru-RU"/>
              </w:rPr>
              <w:t>Отчет по обязательствам на дату платежа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6218A" w:rsidRDefault="0086218A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18A" w:rsidRDefault="0086218A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lang w:eastAsia="ru-RU"/>
              </w:rPr>
            </w:pPr>
          </w:p>
        </w:tc>
      </w:tr>
      <w:tr w:rsidR="0086218A">
        <w:trPr>
          <w:trHeight w:val="300"/>
        </w:trPr>
        <w:tc>
          <w:tcPr>
            <w:tcW w:w="28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color w:val="000000"/>
                <w:sz w:val="20"/>
                <w:lang w:eastAsia="ru-RU"/>
              </w:rPr>
            </w:pPr>
            <w:r>
              <w:rPr>
                <w:rFonts w:cs="Arial CYR"/>
                <w:color w:val="000000"/>
                <w:sz w:val="20"/>
                <w:lang w:eastAsia="ru-RU"/>
              </w:rPr>
              <w:t>Дата формирования отчета: дд.мм.гггг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</w:tr>
      <w:tr w:rsidR="0086218A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218A" w:rsidRDefault="0086218A">
            <w:pPr>
              <w:jc w:val="center"/>
              <w:rPr>
                <w:sz w:val="20"/>
                <w:lang w:eastAsia="ru-RU"/>
              </w:rPr>
            </w:pPr>
          </w:p>
        </w:tc>
      </w:tr>
      <w:tr w:rsidR="0086218A">
        <w:trPr>
          <w:gridAfter w:val="16"/>
          <w:wAfter w:w="13325" w:type="dxa"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Дата платежа: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lang w:eastAsia="ru-RU"/>
              </w:rPr>
              <w:t> дд.мм.гггг</w:t>
            </w:r>
          </w:p>
        </w:tc>
      </w:tr>
      <w:tr w:rsidR="0086218A">
        <w:trPr>
          <w:gridAfter w:val="16"/>
          <w:wAfter w:w="13325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Код участника: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86218A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86218A">
        <w:trPr>
          <w:gridAfter w:val="16"/>
          <w:wAfter w:w="13325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Наименование участника: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86218A">
        <w:trPr>
          <w:gridAfter w:val="16"/>
          <w:wAfter w:w="13325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6218A" w:rsidRDefault="007745A6">
            <w:pPr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Торговый счет: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86218A">
        <w:trPr>
          <w:gridAfter w:val="12"/>
          <w:wAfter w:w="10552" w:type="dxa"/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b/>
                <w:bCs/>
                <w:color w:val="FFFFFF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18A" w:rsidRDefault="0086218A">
            <w:pPr>
              <w:rPr>
                <w:b/>
                <w:bCs/>
                <w:color w:val="FFFFFF"/>
                <w:sz w:val="20"/>
                <w:lang w:eastAsia="ru-RU"/>
              </w:rPr>
            </w:pPr>
          </w:p>
        </w:tc>
        <w:tc>
          <w:tcPr>
            <w:tcW w:w="1781" w:type="dxa"/>
            <w:gridSpan w:val="2"/>
          </w:tcPr>
          <w:p w:rsidR="0086218A" w:rsidRDefault="0086218A">
            <w:pPr>
              <w:rPr>
                <w:b/>
                <w:bCs/>
                <w:color w:val="FFFFFF"/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6218A" w:rsidRDefault="0086218A">
            <w:pPr>
              <w:rPr>
                <w:b/>
                <w:bCs/>
                <w:color w:val="FFFFFF"/>
                <w:sz w:val="20"/>
                <w:lang w:eastAsia="ru-RU"/>
              </w:rPr>
            </w:pPr>
          </w:p>
        </w:tc>
      </w:tr>
      <w:tr w:rsidR="0086218A">
        <w:trPr>
          <w:gridAfter w:val="2"/>
          <w:wAfter w:w="992" w:type="dxa"/>
          <w:trHeight w:val="10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Сектор ОРЭМ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Дата договора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Тип обязательства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Плательщик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 xml:space="preserve">Получатель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 xml:space="preserve">Сумма обязательства без НДС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НДС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7745A6">
              <w:rPr>
                <w:rFonts w:cs="Arial"/>
                <w:b/>
                <w:bCs/>
                <w:color w:val="000000"/>
                <w:sz w:val="20"/>
                <w:lang w:eastAsia="ru-RU"/>
              </w:rPr>
              <w:t>Сумма обязательства</w:t>
            </w: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highlight w:val="yellow"/>
                <w:lang w:eastAsia="ru-RU"/>
              </w:rPr>
              <w:t>на дату платежа</w:t>
            </w: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:rsidR="0086218A" w:rsidRDefault="0086218A">
            <w:pPr>
              <w:jc w:val="center"/>
              <w:rPr>
                <w:rFonts w:cs="Arial"/>
                <w:b/>
                <w:bCs/>
                <w:color w:val="000000"/>
                <w:sz w:val="20"/>
                <w:highlight w:val="yellow"/>
                <w:lang w:eastAsia="ru-RU"/>
              </w:rPr>
            </w:pPr>
          </w:p>
          <w:p w:rsidR="0086218A" w:rsidRDefault="007745A6">
            <w:pPr>
              <w:jc w:val="center"/>
              <w:rPr>
                <w:rFonts w:cs="Arial"/>
                <w:b/>
                <w:bCs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highlight w:val="yellow"/>
                <w:lang w:eastAsia="ru-RU"/>
              </w:rPr>
              <w:t>В т.ч. сумма заблокированного обязательства</w:t>
            </w:r>
            <w:r w:rsidR="00552920">
              <w:rPr>
                <w:rFonts w:cs="Arial"/>
                <w:b/>
                <w:bCs/>
                <w:color w:val="000000"/>
                <w:sz w:val="20"/>
                <w:highlight w:val="yellow"/>
                <w:lang w:eastAsia="ru-RU"/>
              </w:rPr>
              <w:t> </w:t>
            </w:r>
            <w:r w:rsidRPr="007745A6">
              <w:rPr>
                <w:rFonts w:cs="Arial"/>
                <w:b/>
                <w:bCs/>
                <w:color w:val="000000"/>
                <w:sz w:val="20"/>
                <w:highlight w:val="yellow"/>
                <w:lang w:eastAsia="ru-RU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Примечание</w:t>
            </w:r>
          </w:p>
        </w:tc>
      </w:tr>
      <w:tr w:rsidR="0086218A">
        <w:trPr>
          <w:gridAfter w:val="2"/>
          <w:wAfter w:w="992" w:type="dxa"/>
          <w:trHeight w:val="5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Код участника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218A" w:rsidRDefault="007745A6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Код участника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A" w:rsidRDefault="0086218A">
            <w:pPr>
              <w:rPr>
                <w:b/>
                <w:bCs/>
                <w:color w:val="000000"/>
                <w:sz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8A" w:rsidRDefault="0086218A">
            <w:pPr>
              <w:rPr>
                <w:b/>
                <w:bCs/>
                <w:color w:val="000000"/>
                <w:sz w:val="20"/>
                <w:highlight w:val="yellow"/>
                <w:lang w:eastAsia="ru-RU"/>
              </w:rPr>
            </w:pPr>
          </w:p>
        </w:tc>
      </w:tr>
      <w:tr w:rsidR="0086218A">
        <w:trPr>
          <w:gridAfter w:val="2"/>
          <w:wAfter w:w="992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7745A6">
            <w:pPr>
              <w:rPr>
                <w:rFonts w:cs="Arial"/>
                <w:color w:val="000000"/>
                <w:sz w:val="20"/>
                <w:lang w:eastAsia="ru-RU"/>
              </w:rPr>
            </w:pPr>
            <w:r>
              <w:rPr>
                <w:rFonts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A" w:rsidRDefault="0086218A">
            <w:pPr>
              <w:jc w:val="center"/>
              <w:rPr>
                <w:rFonts w:cs="Arial"/>
                <w:color w:val="000000"/>
                <w:sz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8A" w:rsidRDefault="0086218A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86218A">
        <w:trPr>
          <w:gridAfter w:val="2"/>
          <w:wAfter w:w="992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18A" w:rsidRDefault="0086218A">
            <w:pPr>
              <w:rPr>
                <w:rFonts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A" w:rsidRDefault="0086218A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8A" w:rsidRDefault="0086218A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86218A" w:rsidRDefault="0086218A">
      <w:pPr>
        <w:tabs>
          <w:tab w:val="left" w:pos="3382"/>
        </w:tabs>
        <w:rPr>
          <w:i/>
          <w:sz w:val="20"/>
          <w:lang w:eastAsia="ru-RU"/>
        </w:rPr>
      </w:pPr>
    </w:p>
    <w:p w:rsidR="0086218A" w:rsidRDefault="007745A6">
      <w:pPr>
        <w:tabs>
          <w:tab w:val="left" w:pos="3382"/>
        </w:tabs>
        <w:rPr>
          <w:sz w:val="20"/>
          <w:lang w:eastAsia="ru-RU"/>
        </w:rPr>
      </w:pPr>
      <w:r>
        <w:rPr>
          <w:i/>
          <w:sz w:val="20"/>
          <w:lang w:eastAsia="ru-RU"/>
        </w:rPr>
        <w:t>Примечание</w:t>
      </w:r>
      <w:r>
        <w:rPr>
          <w:sz w:val="20"/>
          <w:lang w:eastAsia="ru-RU"/>
        </w:rPr>
        <w:t xml:space="preserve">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«Сумма обязательств </w:t>
      </w:r>
      <w:r>
        <w:rPr>
          <w:sz w:val="20"/>
          <w:highlight w:val="yellow"/>
          <w:lang w:eastAsia="ru-RU"/>
        </w:rPr>
        <w:t>на дату платежа</w:t>
      </w:r>
      <w:r>
        <w:rPr>
          <w:sz w:val="20"/>
          <w:lang w:eastAsia="ru-RU"/>
        </w:rPr>
        <w:t>» указывается без учета НДС, в иных случаях значение величины в данном столбце указывается с учетом НДС.</w:t>
      </w:r>
    </w:p>
    <w:p w:rsidR="0086218A" w:rsidRDefault="007745A6">
      <w:pPr>
        <w:tabs>
          <w:tab w:val="left" w:pos="3382"/>
        </w:tabs>
        <w:rPr>
          <w:sz w:val="20"/>
          <w:lang w:eastAsia="ru-RU"/>
        </w:rPr>
      </w:pPr>
      <w:r w:rsidRPr="007745A6">
        <w:rPr>
          <w:sz w:val="20"/>
          <w:highlight w:val="yellow"/>
          <w:lang w:eastAsia="ru-RU"/>
        </w:rPr>
        <w:lastRenderedPageBreak/>
        <w:t>* У</w:t>
      </w:r>
      <w:r w:rsidRPr="007745A6">
        <w:rPr>
          <w:sz w:val="20"/>
          <w:szCs w:val="20"/>
          <w:highlight w:val="yellow"/>
          <w:lang w:eastAsia="ru-RU"/>
        </w:rPr>
        <w:t>казывается сумма обязательства на дату платежа, которую ЦФР не включает в Сводный реестр платежей участников оптового рынка, в соответствии с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:rsidR="0086218A" w:rsidRDefault="0086218A">
      <w:pPr>
        <w:pStyle w:val="a3"/>
        <w:tabs>
          <w:tab w:val="left" w:pos="3382"/>
        </w:tabs>
        <w:rPr>
          <w:sz w:val="20"/>
        </w:rPr>
      </w:pPr>
    </w:p>
    <w:p w:rsidR="0086218A" w:rsidRPr="007745A6" w:rsidRDefault="007745A6">
      <w:pPr>
        <w:rPr>
          <w:rFonts w:ascii="Garamond" w:hAnsi="Garamond"/>
          <w:b/>
          <w:sz w:val="26"/>
          <w:szCs w:val="26"/>
        </w:rPr>
      </w:pPr>
      <w:r w:rsidRPr="007745A6">
        <w:rPr>
          <w:rFonts w:ascii="Garamond" w:hAnsi="Garamond"/>
          <w:b/>
          <w:sz w:val="26"/>
          <w:szCs w:val="26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:rsidR="0086218A" w:rsidRPr="007745A6" w:rsidRDefault="007745A6">
      <w:pPr>
        <w:rPr>
          <w:rFonts w:ascii="Garamond" w:hAnsi="Garamond"/>
          <w:b/>
          <w:sz w:val="24"/>
          <w:szCs w:val="24"/>
        </w:rPr>
      </w:pPr>
      <w:r w:rsidRPr="007745A6">
        <w:rPr>
          <w:rFonts w:ascii="Garamond" w:hAnsi="Garamond"/>
          <w:b/>
          <w:sz w:val="24"/>
          <w:szCs w:val="24"/>
        </w:rPr>
        <w:t>Действующая редакция приложения 2 к Правилам ЭДО СЭД КО:</w:t>
      </w:r>
    </w:p>
    <w:tbl>
      <w:tblPr>
        <w:tblW w:w="15304" w:type="dxa"/>
        <w:jc w:val="center"/>
        <w:tblLayout w:type="fixed"/>
        <w:tblLook w:val="00A0" w:firstRow="1" w:lastRow="0" w:firstColumn="1" w:lastColumn="0" w:noHBand="0" w:noVBand="0"/>
      </w:tblPr>
      <w:tblGrid>
        <w:gridCol w:w="1413"/>
        <w:gridCol w:w="2693"/>
        <w:gridCol w:w="1276"/>
        <w:gridCol w:w="709"/>
        <w:gridCol w:w="700"/>
        <w:gridCol w:w="752"/>
        <w:gridCol w:w="1275"/>
        <w:gridCol w:w="851"/>
        <w:gridCol w:w="958"/>
        <w:gridCol w:w="1134"/>
        <w:gridCol w:w="1559"/>
        <w:gridCol w:w="992"/>
        <w:gridCol w:w="992"/>
      </w:tblGrid>
      <w:tr w:rsidR="0086218A">
        <w:trPr>
          <w:trHeight w:val="135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green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</w:tc>
      </w:tr>
      <w:tr w:rsidR="0086218A">
        <w:trPr>
          <w:trHeight w:val="6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CFR_REPORT_COMPLEX_USLUGI_XLS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Отчет о стоимости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комплексной услуги по расчету требований и обязательств участников оптового рынка, оказанной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гарантирующему поставщику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организацией коммерческой инфраструктуры оптового рынка (АО «ЦФР»)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11.2.7, приложение 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xlsm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8621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218A">
        <w:trPr>
          <w:trHeight w:val="6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CFR_REPORT_COMPLEX_USLUGI_XML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Отчет о стоимости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комплексной услуги по расчету требований и обязательств участников оптового рынка, оказанной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гарантирующему поставщику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организацией коммерческой инфраструктуры оптового рынка (АО «ЦФР»)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11.2.7, приложение 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8621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6218A" w:rsidRDefault="0086218A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en-US"/>
        </w:rPr>
      </w:pPr>
    </w:p>
    <w:p w:rsidR="0086218A" w:rsidRDefault="0086218A">
      <w:pPr>
        <w:rPr>
          <w:rFonts w:eastAsia="SimSun"/>
          <w:b/>
          <w:iCs/>
        </w:rPr>
      </w:pPr>
    </w:p>
    <w:p w:rsidR="0086218A" w:rsidRDefault="0086218A">
      <w:pPr>
        <w:rPr>
          <w:rFonts w:eastAsia="SimSun"/>
          <w:b/>
          <w:iCs/>
        </w:rPr>
      </w:pPr>
    </w:p>
    <w:p w:rsidR="0086218A" w:rsidRPr="007745A6" w:rsidRDefault="007745A6">
      <w:pPr>
        <w:rPr>
          <w:rFonts w:ascii="Garamond" w:eastAsia="SimSun" w:hAnsi="Garamond"/>
          <w:b/>
          <w:i/>
          <w:sz w:val="24"/>
          <w:szCs w:val="24"/>
        </w:rPr>
      </w:pPr>
      <w:r w:rsidRPr="007745A6">
        <w:rPr>
          <w:rFonts w:ascii="Garamond" w:eastAsia="SimSun" w:hAnsi="Garamond"/>
          <w:b/>
          <w:iCs/>
          <w:sz w:val="24"/>
          <w:szCs w:val="24"/>
        </w:rPr>
        <w:lastRenderedPageBreak/>
        <w:t xml:space="preserve">Предлагаемая редакция </w:t>
      </w:r>
      <w:r w:rsidRPr="007745A6">
        <w:rPr>
          <w:rFonts w:ascii="Garamond" w:eastAsia="SimSun" w:hAnsi="Garamond"/>
          <w:b/>
          <w:i/>
          <w:sz w:val="24"/>
          <w:szCs w:val="24"/>
        </w:rPr>
        <w:t>приложения 2 к Правилам ЭДО СЭД КО:</w:t>
      </w:r>
    </w:p>
    <w:tbl>
      <w:tblPr>
        <w:tblW w:w="15304" w:type="dxa"/>
        <w:jc w:val="center"/>
        <w:tblLayout w:type="fixed"/>
        <w:tblLook w:val="00A0" w:firstRow="1" w:lastRow="0" w:firstColumn="1" w:lastColumn="0" w:noHBand="0" w:noVBand="0"/>
      </w:tblPr>
      <w:tblGrid>
        <w:gridCol w:w="1413"/>
        <w:gridCol w:w="2693"/>
        <w:gridCol w:w="1276"/>
        <w:gridCol w:w="709"/>
        <w:gridCol w:w="700"/>
        <w:gridCol w:w="752"/>
        <w:gridCol w:w="1275"/>
        <w:gridCol w:w="851"/>
        <w:gridCol w:w="958"/>
        <w:gridCol w:w="1134"/>
        <w:gridCol w:w="1559"/>
        <w:gridCol w:w="992"/>
        <w:gridCol w:w="992"/>
      </w:tblGrid>
      <w:tr w:rsidR="0086218A">
        <w:trPr>
          <w:trHeight w:val="135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green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86218A" w:rsidRDefault="007745A6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</w:tc>
      </w:tr>
      <w:tr w:rsidR="0086218A">
        <w:trPr>
          <w:trHeight w:val="6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CFR_REPORT_COMPLEX_USLUGI_XLS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Стоимость </w:t>
            </w:r>
            <w:r>
              <w:rPr>
                <w:rFonts w:ascii="Arial" w:hAnsi="Arial" w:cs="Arial"/>
                <w:sz w:val="18"/>
                <w:szCs w:val="18"/>
              </w:rPr>
              <w:t>комплексной услуги по расчету требований и обязательств участников оптового рынка, оказанной организацией коммерческой инфраструктуры оптового рынка (АО «ЦФР»)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11.2.7, приложение 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xlsm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8621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218A">
        <w:trPr>
          <w:trHeight w:val="6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CFR_REPORT_COMPLEX_USLUGI_XML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Стоимость </w:t>
            </w:r>
            <w:r>
              <w:rPr>
                <w:rFonts w:ascii="Arial" w:hAnsi="Arial" w:cs="Arial"/>
                <w:sz w:val="18"/>
                <w:szCs w:val="18"/>
              </w:rPr>
              <w:t>комплексной услуги по расчету требований и обязательств участников оптового рынка, оказанной организацией коммерческой инфраструктуры оптового рынка (АО «ЦФР»)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11.2.7, приложение 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774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8A" w:rsidRDefault="008621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6218A" w:rsidRDefault="0086218A">
      <w:pPr>
        <w:rPr>
          <w:b/>
          <w:sz w:val="26"/>
          <w:szCs w:val="26"/>
        </w:rPr>
      </w:pPr>
    </w:p>
    <w:p w:rsidR="0086218A" w:rsidRDefault="0086218A">
      <w:pPr>
        <w:tabs>
          <w:tab w:val="left" w:pos="3382"/>
        </w:tabs>
        <w:rPr>
          <w:rFonts w:ascii="Garamond" w:hAnsi="Garamond"/>
        </w:rPr>
      </w:pPr>
    </w:p>
    <w:sectPr w:rsidR="0086218A">
      <w:footerReference w:type="default" r:id="rId29"/>
      <w:pgSz w:w="16838" w:h="11906" w:orient="landscape"/>
      <w:pgMar w:top="1135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8A" w:rsidRDefault="007745A6">
      <w:pPr>
        <w:spacing w:after="0" w:line="240" w:lineRule="auto"/>
      </w:pPr>
      <w:r>
        <w:separator/>
      </w:r>
    </w:p>
  </w:endnote>
  <w:endnote w:type="continuationSeparator" w:id="0">
    <w:p w:rsidR="0086218A" w:rsidRDefault="0077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8A" w:rsidRDefault="007745A6">
    <w:pPr>
      <w:pStyle w:val="af8"/>
      <w:jc w:val="right"/>
      <w:rPr>
        <w:rFonts w:ascii="Garamond" w:hAnsi="Garamond"/>
      </w:rPr>
    </w:pPr>
    <w:r>
      <w:rPr>
        <w:rFonts w:ascii="Garamond" w:hAnsi="Garamond"/>
      </w:rPr>
      <w:fldChar w:fldCharType="begin"/>
    </w:r>
    <w:r>
      <w:rPr>
        <w:rFonts w:ascii="Garamond" w:hAnsi="Garamond"/>
      </w:rPr>
      <w:instrText>PAGE   \* MERGEFORMAT</w:instrText>
    </w:r>
    <w:r>
      <w:rPr>
        <w:rFonts w:ascii="Garamond" w:hAnsi="Garamond"/>
      </w:rPr>
      <w:fldChar w:fldCharType="separate"/>
    </w:r>
    <w:r w:rsidR="002C4B28">
      <w:rPr>
        <w:rFonts w:ascii="Garamond" w:hAnsi="Garamond"/>
        <w:noProof/>
      </w:rPr>
      <w:t>7</w:t>
    </w:r>
    <w:r>
      <w:rPr>
        <w:rFonts w:ascii="Garamond" w:hAnsi="Garamond"/>
      </w:rPr>
      <w:fldChar w:fldCharType="end"/>
    </w:r>
  </w:p>
  <w:p w:rsidR="0086218A" w:rsidRDefault="0086218A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8A" w:rsidRDefault="007745A6">
      <w:pPr>
        <w:spacing w:after="0" w:line="240" w:lineRule="auto"/>
      </w:pPr>
      <w:r>
        <w:separator/>
      </w:r>
    </w:p>
  </w:footnote>
  <w:footnote w:type="continuationSeparator" w:id="0">
    <w:p w:rsidR="0086218A" w:rsidRDefault="0077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4143"/>
    <w:multiLevelType w:val="hybridMultilevel"/>
    <w:tmpl w:val="627824FE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244321"/>
    <w:multiLevelType w:val="hybridMultilevel"/>
    <w:tmpl w:val="51BABFFC"/>
    <w:lvl w:ilvl="0" w:tplc="0B843E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BF2"/>
    <w:multiLevelType w:val="hybridMultilevel"/>
    <w:tmpl w:val="905453CA"/>
    <w:lvl w:ilvl="0" w:tplc="041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" w15:restartNumberingAfterBreak="0">
    <w:nsid w:val="13654364"/>
    <w:multiLevelType w:val="hybridMultilevel"/>
    <w:tmpl w:val="34668420"/>
    <w:lvl w:ilvl="0" w:tplc="CC30D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111A5"/>
    <w:multiLevelType w:val="hybridMultilevel"/>
    <w:tmpl w:val="57F007DA"/>
    <w:lvl w:ilvl="0" w:tplc="544AF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B28D6"/>
    <w:multiLevelType w:val="hybridMultilevel"/>
    <w:tmpl w:val="CDF6E052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91A9A"/>
    <w:multiLevelType w:val="hybridMultilevel"/>
    <w:tmpl w:val="5C500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AB1BF0"/>
    <w:multiLevelType w:val="hybridMultilevel"/>
    <w:tmpl w:val="CDF6E052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354A8"/>
    <w:multiLevelType w:val="hybridMultilevel"/>
    <w:tmpl w:val="CF963B92"/>
    <w:lvl w:ilvl="0" w:tplc="96DAB0A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6D2646"/>
    <w:multiLevelType w:val="hybridMultilevel"/>
    <w:tmpl w:val="C28AC1AA"/>
    <w:lvl w:ilvl="0" w:tplc="9E14E82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7F2D38"/>
    <w:multiLevelType w:val="hybridMultilevel"/>
    <w:tmpl w:val="DCBA82A4"/>
    <w:lvl w:ilvl="0" w:tplc="041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4438E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C4F5B05"/>
    <w:multiLevelType w:val="multilevel"/>
    <w:tmpl w:val="1846A0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617292"/>
    <w:multiLevelType w:val="hybridMultilevel"/>
    <w:tmpl w:val="2A960314"/>
    <w:lvl w:ilvl="0" w:tplc="6D969BF0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7" w15:restartNumberingAfterBreak="0">
    <w:nsid w:val="49F86E57"/>
    <w:multiLevelType w:val="hybridMultilevel"/>
    <w:tmpl w:val="91FA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E12CD"/>
    <w:multiLevelType w:val="hybridMultilevel"/>
    <w:tmpl w:val="13003502"/>
    <w:lvl w:ilvl="0" w:tplc="96DAB0A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52BEB"/>
    <w:multiLevelType w:val="hybridMultilevel"/>
    <w:tmpl w:val="1C707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964206"/>
    <w:multiLevelType w:val="multilevel"/>
    <w:tmpl w:val="C52A6A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58C551DC"/>
    <w:multiLevelType w:val="hybridMultilevel"/>
    <w:tmpl w:val="E81AC3C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55B06"/>
    <w:multiLevelType w:val="hybridMultilevel"/>
    <w:tmpl w:val="5BF2EBC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B39"/>
    <w:multiLevelType w:val="hybridMultilevel"/>
    <w:tmpl w:val="5540D78C"/>
    <w:lvl w:ilvl="0" w:tplc="04190005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67700"/>
    <w:multiLevelType w:val="hybridMultilevel"/>
    <w:tmpl w:val="1704392A"/>
    <w:lvl w:ilvl="0" w:tplc="BA5CD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u w:val="none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13CD8"/>
    <w:multiLevelType w:val="hybridMultilevel"/>
    <w:tmpl w:val="C9AA38AE"/>
    <w:lvl w:ilvl="0" w:tplc="6D969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9C4344"/>
    <w:multiLevelType w:val="hybridMultilevel"/>
    <w:tmpl w:val="EA1CB2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</w:num>
  <w:num w:numId="6">
    <w:abstractNumId w:val="0"/>
  </w:num>
  <w:num w:numId="7">
    <w:abstractNumId w:val="25"/>
  </w:num>
  <w:num w:numId="8">
    <w:abstractNumId w:val="30"/>
  </w:num>
  <w:num w:numId="9">
    <w:abstractNumId w:val="9"/>
  </w:num>
  <w:num w:numId="10">
    <w:abstractNumId w:val="24"/>
  </w:num>
  <w:num w:numId="11">
    <w:abstractNumId w:val="18"/>
  </w:num>
  <w:num w:numId="12">
    <w:abstractNumId w:val="11"/>
  </w:num>
  <w:num w:numId="13">
    <w:abstractNumId w:val="13"/>
  </w:num>
  <w:num w:numId="14">
    <w:abstractNumId w:val="20"/>
  </w:num>
  <w:num w:numId="15">
    <w:abstractNumId w:val="4"/>
  </w:num>
  <w:num w:numId="16">
    <w:abstractNumId w:val="5"/>
  </w:num>
  <w:num w:numId="17">
    <w:abstractNumId w:val="17"/>
  </w:num>
  <w:num w:numId="18">
    <w:abstractNumId w:val="16"/>
  </w:num>
  <w:num w:numId="19">
    <w:abstractNumId w:val="19"/>
  </w:num>
  <w:num w:numId="20">
    <w:abstractNumId w:val="10"/>
  </w:num>
  <w:num w:numId="21">
    <w:abstractNumId w:val="3"/>
  </w:num>
  <w:num w:numId="22">
    <w:abstractNumId w:val="2"/>
  </w:num>
  <w:num w:numId="23">
    <w:abstractNumId w:val="8"/>
  </w:num>
  <w:num w:numId="2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7"/>
  </w:num>
  <w:num w:numId="27">
    <w:abstractNumId w:val="7"/>
  </w:num>
  <w:num w:numId="2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9"/>
  </w:num>
  <w:num w:numId="30">
    <w:abstractNumId w:val="26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8A"/>
    <w:rsid w:val="002C4B28"/>
    <w:rsid w:val="002E7087"/>
    <w:rsid w:val="00552920"/>
    <w:rsid w:val="00731BFF"/>
    <w:rsid w:val="007745A6"/>
    <w:rsid w:val="008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3A80E72A-D082-4625-8D52-E611C5E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,Заголовок параграфа (1.) Знак Знак"/>
    <w:basedOn w:val="a"/>
    <w:link w:val="10"/>
    <w:autoRedefine/>
    <w:qFormat/>
    <w:pPr>
      <w:keepNext/>
      <w:spacing w:after="0" w:line="240" w:lineRule="auto"/>
      <w:ind w:left="-3"/>
      <w:jc w:val="both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aliases w:val="H4,H41,Sub-Minor,Level 2 - a"/>
    <w:basedOn w:val="a"/>
    <w:next w:val="a"/>
    <w:link w:val="40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Заголовок параграфа (1.) Знак Знак Знак"/>
    <w:link w:val="1"/>
    <w:rPr>
      <w:rFonts w:ascii="Garamond" w:eastAsia="Times New Roman" w:hAnsi="Garamond" w:cs="Garamond"/>
      <w:b/>
      <w:caps/>
      <w:color w:val="000000"/>
      <w:kern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5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a6">
    <w:name w:val="Обычный текст"/>
    <w:basedOn w:val="a"/>
    <w:link w:val="a7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7">
    <w:name w:val="Обычный текст Знак"/>
    <w:link w:val="a6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styleId="a8">
    <w:name w:val="annotation reference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customStyle="1" w:styleId="31">
    <w:name w:val="Основной текст с отступом 31"/>
    <w:basedOn w:val="a"/>
    <w:uiPriority w:val="99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f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41">
    <w:name w:val="Основной текст Знак4"/>
    <w:aliases w:val="body text Знак3"/>
    <w:rPr>
      <w:sz w:val="22"/>
      <w:lang w:val="en-GB" w:eastAsia="en-US" w:bidi="ar-SA"/>
    </w:rPr>
  </w:style>
  <w:style w:type="character" w:styleId="af0">
    <w:name w:val="Hyperlink"/>
    <w:uiPriority w:val="99"/>
    <w:rPr>
      <w:color w:val="0000FF"/>
      <w:u w:val="single"/>
    </w:rPr>
  </w:style>
  <w:style w:type="table" w:styleId="af1">
    <w:name w:val="Table Grid"/>
    <w:basedOn w:val="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H4 Знак,H41 Знак,Sub-Minor Знак,Level 2 - a Знак"/>
    <w:link w:val="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2">
    <w:name w:val="footnote text"/>
    <w:basedOn w:val="a"/>
    <w:link w:val="12"/>
    <w:uiPriority w:val="99"/>
    <w:semiHidden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f3">
    <w:name w:val="Текст сноски Знак"/>
    <w:uiPriority w:val="99"/>
    <w:semiHidden/>
    <w:rPr>
      <w:lang w:eastAsia="en-US"/>
    </w:rPr>
  </w:style>
  <w:style w:type="character" w:customStyle="1" w:styleId="12">
    <w:name w:val="Текст сноски Знак1"/>
    <w:link w:val="af2"/>
    <w:uiPriority w:val="99"/>
    <w:semiHidden/>
    <w:locked/>
    <w:rPr>
      <w:rFonts w:ascii="Garamond" w:eastAsia="Times New Roman" w:hAnsi="Garamond"/>
      <w:lang w:val="en-GB" w:eastAsia="en-US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header"/>
    <w:basedOn w:val="a"/>
    <w:link w:val="af6"/>
    <w:pPr>
      <w:tabs>
        <w:tab w:val="center" w:pos="4320"/>
        <w:tab w:val="right" w:pos="8640"/>
      </w:tabs>
      <w:spacing w:before="180" w:after="60" w:line="240" w:lineRule="auto"/>
    </w:pPr>
    <w:rPr>
      <w:rFonts w:ascii="Garamond" w:eastAsia="Times New Roman" w:hAnsi="Garamond"/>
      <w:szCs w:val="20"/>
      <w:lang w:val="en-GB"/>
    </w:rPr>
  </w:style>
  <w:style w:type="character" w:customStyle="1" w:styleId="af6">
    <w:name w:val="Верхний колонтитул Знак"/>
    <w:link w:val="af5"/>
    <w:rPr>
      <w:rFonts w:ascii="Garamond" w:eastAsia="Times New Roman" w:hAnsi="Garamond"/>
      <w:sz w:val="22"/>
      <w:lang w:val="en-GB" w:eastAsia="en-US"/>
    </w:rPr>
  </w:style>
  <w:style w:type="paragraph" w:customStyle="1" w:styleId="13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10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0">
    <w:name w:val="Заголовок 3 Знак1"/>
    <w:aliases w:val="H3 Знак1,Заголовок подпукта (1.1.1) Знак1,Level 1 - 1 Знак1,o Знак1"/>
    <w:locked/>
    <w:rPr>
      <w:rFonts w:ascii="Garamond" w:hAnsi="Garamond"/>
      <w:b/>
      <w:color w:val="000000"/>
      <w:sz w:val="22"/>
      <w:szCs w:val="22"/>
      <w:lang w:val="ru-RU" w:eastAsia="en-US" w:bidi="ar-SA"/>
    </w:rPr>
  </w:style>
  <w:style w:type="paragraph" w:customStyle="1" w:styleId="af7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rPr>
      <w:sz w:val="22"/>
      <w:szCs w:val="22"/>
      <w:lang w:eastAsia="en-US"/>
    </w:rPr>
  </w:style>
  <w:style w:type="paragraph" w:customStyle="1" w:styleId="subclauseindent">
    <w:name w:val="subclauseindent"/>
    <w:basedOn w:val="a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1.bin"/><Relationship Id="rId28" Type="http://schemas.openxmlformats.org/officeDocument/2006/relationships/image" Target="cid:image002.png@01D6A87F.C8DA48F0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4562-188D-4F77-942B-9827D4A7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Links>
    <vt:vector size="6" baseType="variant">
      <vt:variant>
        <vt:i4>3211350</vt:i4>
      </vt:variant>
      <vt:variant>
        <vt:i4>20712</vt:i4>
      </vt:variant>
      <vt:variant>
        <vt:i4>1039</vt:i4>
      </vt:variant>
      <vt:variant>
        <vt:i4>1</vt:i4>
      </vt:variant>
      <vt:variant>
        <vt:lpwstr>cid:image002.png@01D6A87F.C8DA48F0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Маргарита Вячеславовна</dc:creator>
  <cp:keywords/>
  <dc:description/>
  <cp:lastModifiedBy>Федяева Адиля Никитична</cp:lastModifiedBy>
  <cp:revision>6</cp:revision>
  <cp:lastPrinted>2020-02-04T10:21:00Z</cp:lastPrinted>
  <dcterms:created xsi:type="dcterms:W3CDTF">2020-11-10T11:05:00Z</dcterms:created>
  <dcterms:modified xsi:type="dcterms:W3CDTF">2020-11-20T14:08:00Z</dcterms:modified>
</cp:coreProperties>
</file>