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469" w:rsidRDefault="00720E40">
      <w:pPr>
        <w:ind w:left="57"/>
        <w:contextualSpacing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aps/>
          <w:sz w:val="24"/>
          <w:szCs w:val="24"/>
          <w:lang w:val="ru-RU"/>
        </w:rPr>
        <w:t>Приложение</w:t>
      </w:r>
      <w:r>
        <w:rPr>
          <w:rFonts w:ascii="Times New Roman" w:hAnsi="Times New Roman"/>
          <w:sz w:val="24"/>
          <w:szCs w:val="24"/>
          <w:lang w:val="ru-RU"/>
        </w:rPr>
        <w:t xml:space="preserve"> № 1</w:t>
      </w:r>
    </w:p>
    <w:p w:rsidR="00390469" w:rsidRDefault="00720E40">
      <w:pPr>
        <w:ind w:left="57"/>
        <w:contextualSpacing/>
        <w:jc w:val="right"/>
        <w:rPr>
          <w:rFonts w:ascii="Times New Roman" w:hAnsi="Times New Roman"/>
          <w:szCs w:val="22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 Протоколу № 11/2020 заседания Наблюдательного совета </w:t>
      </w:r>
    </w:p>
    <w:p w:rsidR="00390469" w:rsidRDefault="00720E40">
      <w:pPr>
        <w:spacing w:before="0" w:after="0"/>
        <w:ind w:left="57"/>
        <w:contextualSpacing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Ассоциации «НП Совет рынка» от 01 мая 2020 года.</w:t>
      </w:r>
    </w:p>
    <w:p w:rsidR="00390469" w:rsidRDefault="00390469">
      <w:pPr>
        <w:keepNext/>
        <w:tabs>
          <w:tab w:val="left" w:pos="5529"/>
        </w:tabs>
        <w:spacing w:before="0" w:after="0"/>
        <w:jc w:val="both"/>
        <w:rPr>
          <w:b/>
          <w:iCs/>
          <w:sz w:val="28"/>
          <w:szCs w:val="28"/>
          <w:lang w:val="ru-RU"/>
        </w:rPr>
      </w:pPr>
    </w:p>
    <w:p w:rsidR="00390469" w:rsidRDefault="00720E40">
      <w:pPr>
        <w:keepNext/>
        <w:tabs>
          <w:tab w:val="left" w:pos="5529"/>
        </w:tabs>
        <w:spacing w:before="0" w:after="0"/>
        <w:ind w:left="-142" w:right="-284"/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>Вопрос 1. Об утверждении особенностей торговли на оптовом рынке и проведения расчетов в период действия особых мер, связанных с COVID-19</w:t>
      </w:r>
    </w:p>
    <w:p w:rsidR="00390469" w:rsidRDefault="00390469">
      <w:pPr>
        <w:keepNext/>
        <w:tabs>
          <w:tab w:val="left" w:pos="5529"/>
        </w:tabs>
        <w:spacing w:before="0" w:after="0"/>
        <w:jc w:val="right"/>
        <w:rPr>
          <w:b/>
          <w:iCs/>
          <w:sz w:val="28"/>
          <w:szCs w:val="28"/>
          <w:lang w:val="ru-RU"/>
        </w:rPr>
      </w:pPr>
    </w:p>
    <w:p w:rsidR="00390469" w:rsidRDefault="00720E40">
      <w:pPr>
        <w:keepNext/>
        <w:tabs>
          <w:tab w:val="left" w:pos="5529"/>
        </w:tabs>
        <w:spacing w:before="0" w:after="0"/>
        <w:jc w:val="right"/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>Приложение № 1</w:t>
      </w:r>
    </w:p>
    <w:p w:rsidR="00390469" w:rsidRDefault="00390469">
      <w:pPr>
        <w:keepNext/>
        <w:tabs>
          <w:tab w:val="left" w:pos="5529"/>
        </w:tabs>
        <w:spacing w:before="0" w:after="0"/>
        <w:ind w:left="10348"/>
        <w:jc w:val="center"/>
        <w:rPr>
          <w:lang w:val="ru-RU"/>
        </w:rPr>
      </w:pPr>
    </w:p>
    <w:p w:rsidR="00390469" w:rsidRDefault="00720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sz w:val="24"/>
          <w:szCs w:val="24"/>
          <w:lang w:val="ru-RU"/>
        </w:rPr>
      </w:pPr>
      <w:r>
        <w:rPr>
          <w:rFonts w:cs="Garamond"/>
          <w:b/>
          <w:bCs/>
          <w:sz w:val="24"/>
          <w:szCs w:val="24"/>
          <w:lang w:val="ru-RU" w:eastAsia="ru-RU"/>
        </w:rPr>
        <w:t xml:space="preserve">Инициатор: </w:t>
      </w:r>
      <w:r>
        <w:rPr>
          <w:rFonts w:cs="Garamond"/>
          <w:bCs/>
          <w:sz w:val="24"/>
          <w:szCs w:val="24"/>
          <w:lang w:val="ru-RU" w:eastAsia="ru-RU"/>
        </w:rPr>
        <w:t>Ассоциация «НП Совет рынка».</w:t>
      </w:r>
    </w:p>
    <w:p w:rsidR="00390469" w:rsidRDefault="00720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cs="Garamond"/>
          <w:bCs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/>
        </w:rPr>
        <w:t xml:space="preserve">Обоснование: </w:t>
      </w:r>
      <w:r>
        <w:rPr>
          <w:sz w:val="24"/>
          <w:szCs w:val="24"/>
          <w:lang w:val="ru-RU"/>
        </w:rPr>
        <w:t>п</w:t>
      </w:r>
      <w:r>
        <w:rPr>
          <w:rFonts w:cs="Garamond"/>
          <w:bCs/>
          <w:sz w:val="24"/>
          <w:szCs w:val="24"/>
          <w:lang w:val="ru-RU" w:eastAsia="ru-RU"/>
        </w:rPr>
        <w:t xml:space="preserve">редлагается дополнить положения Временного регламента обеспечения торговли электрической энергией и мощностью на оптовом рынке в связи с применением мер, направленных на нераспространение новой </w:t>
      </w:r>
      <w:proofErr w:type="spellStart"/>
      <w:r>
        <w:rPr>
          <w:rFonts w:cs="Garamond"/>
          <w:bCs/>
          <w:sz w:val="24"/>
          <w:szCs w:val="24"/>
          <w:lang w:val="ru-RU" w:eastAsia="ru-RU"/>
        </w:rPr>
        <w:t>коронавирусной</w:t>
      </w:r>
      <w:proofErr w:type="spellEnd"/>
      <w:r>
        <w:rPr>
          <w:rFonts w:cs="Garamond"/>
          <w:bCs/>
          <w:sz w:val="24"/>
          <w:szCs w:val="24"/>
          <w:lang w:val="ru-RU" w:eastAsia="ru-RU"/>
        </w:rPr>
        <w:t xml:space="preserve"> инфекции (COVID-19) (Приложение № 20.2 к Договору о присоединении к торговой системе оптового рынка), положениями, регулирующими особенности предоставления финансовых гарантий и расчета и оплаты неустоек (пеней), а также положениями, устанавливающими особенности отнесения ремонтов генерирующего оборудования к согласованным плановым ремонтным снижениям мощности при подтверждении готовности к выработке электрической энергии.</w:t>
      </w:r>
    </w:p>
    <w:p w:rsidR="00390469" w:rsidRDefault="00720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cs="Garamond"/>
          <w:bCs/>
          <w:sz w:val="24"/>
          <w:szCs w:val="24"/>
          <w:lang w:val="ru-RU" w:eastAsia="ru-RU"/>
        </w:rPr>
      </w:pPr>
      <w:r>
        <w:rPr>
          <w:rFonts w:cs="Garamond"/>
          <w:b/>
          <w:bCs/>
          <w:sz w:val="24"/>
          <w:szCs w:val="24"/>
          <w:lang w:val="ru-RU" w:eastAsia="ru-RU"/>
        </w:rPr>
        <w:t xml:space="preserve">Дата вступления в силу: </w:t>
      </w:r>
      <w:r>
        <w:rPr>
          <w:rFonts w:cs="Garamond"/>
          <w:bCs/>
          <w:sz w:val="24"/>
          <w:szCs w:val="24"/>
          <w:lang w:val="ru-RU" w:eastAsia="ru-RU"/>
        </w:rPr>
        <w:t>с</w:t>
      </w:r>
      <w:r>
        <w:rPr>
          <w:rFonts w:cs="Garamond"/>
          <w:b/>
          <w:bCs/>
          <w:sz w:val="24"/>
          <w:szCs w:val="24"/>
          <w:lang w:val="ru-RU" w:eastAsia="ru-RU"/>
        </w:rPr>
        <w:t xml:space="preserve"> </w:t>
      </w:r>
      <w:r>
        <w:rPr>
          <w:rFonts w:cs="Garamond"/>
          <w:bCs/>
          <w:sz w:val="24"/>
          <w:szCs w:val="24"/>
          <w:lang w:val="ru-RU" w:eastAsia="ru-RU"/>
        </w:rPr>
        <w:t>1 мая 2020 года и распространяют свое действие на отношения сторон по Договору о присоединении к торговой системе оптового рынка, возникшие с 1 апреля 2020 года.</w:t>
      </w:r>
    </w:p>
    <w:p w:rsidR="00390469" w:rsidRDefault="00390469">
      <w:pPr>
        <w:spacing w:before="0" w:after="0"/>
        <w:jc w:val="center"/>
        <w:rPr>
          <w:b/>
          <w:szCs w:val="22"/>
          <w:lang w:val="ru-RU"/>
        </w:rPr>
      </w:pPr>
    </w:p>
    <w:p w:rsidR="00390469" w:rsidRDefault="00720E40">
      <w:pPr>
        <w:spacing w:before="0" w:after="0"/>
        <w:rPr>
          <w:rFonts w:cs="Garamond"/>
          <w:b/>
          <w:bCs/>
          <w:sz w:val="26"/>
          <w:szCs w:val="26"/>
          <w:lang w:val="ru-RU"/>
        </w:rPr>
      </w:pPr>
      <w:r>
        <w:rPr>
          <w:rFonts w:cs="Garamond"/>
          <w:b/>
          <w:bCs/>
          <w:sz w:val="26"/>
          <w:szCs w:val="26"/>
          <w:lang w:val="ru-RU"/>
        </w:rPr>
        <w:t xml:space="preserve">Предложения по изменениям и дополнениям во ВРЕМЕННЫЙ </w:t>
      </w:r>
      <w:r>
        <w:rPr>
          <w:b/>
          <w:sz w:val="26"/>
          <w:szCs w:val="26"/>
          <w:lang w:val="ru-RU"/>
        </w:rPr>
        <w:t xml:space="preserve">РЕГЛАМЕНТ </w:t>
      </w:r>
      <w:r>
        <w:rPr>
          <w:rFonts w:cs="Garamond"/>
          <w:b/>
          <w:bCs/>
          <w:sz w:val="26"/>
          <w:szCs w:val="26"/>
          <w:lang w:val="ru-RU"/>
        </w:rPr>
        <w:t>ОБЕСПЕЧЕНИЯ ТОРГОВЛИ ЭЛЕКТРИЧЕСКОЙ ЭНЕРГИЕЙ И МОЩНОСТЬЮ НА ОПТОВОМ РЫНКЕ В СВЯЗИ С ПРИМЕНЕНИЕМ МЕР, НАПРАВЛЕННЫХ НА НЕРАСПРОСТРАНЕНИЕ НОВОЙ КОРОНАВИРУСНОЙ ИНФЕКЦИИ (COVID-19) (Приложение № 20.2 к Договору о присоединении к торговой системе оптового рынка)</w:t>
      </w:r>
    </w:p>
    <w:p w:rsidR="00390469" w:rsidRDefault="00390469">
      <w:pPr>
        <w:pStyle w:val="1"/>
        <w:spacing w:before="0" w:after="0"/>
        <w:ind w:left="0"/>
        <w:rPr>
          <w:caps w:val="0"/>
          <w:lang w:val="ru-RU"/>
        </w:rPr>
      </w:pPr>
    </w:p>
    <w:p w:rsidR="00390469" w:rsidRDefault="00720E40">
      <w:pPr>
        <w:pStyle w:val="1"/>
        <w:ind w:left="0"/>
        <w:rPr>
          <w:caps w:val="0"/>
          <w:lang w:val="ru-RU"/>
        </w:rPr>
      </w:pPr>
      <w:r>
        <w:rPr>
          <w:caps w:val="0"/>
          <w:lang w:val="ru-RU"/>
        </w:rPr>
        <w:t>1. Пункт 2.2.3 дополнить абзацами вторым и третьим следующего содержания:</w:t>
      </w:r>
    </w:p>
    <w:p w:rsidR="00390469" w:rsidRDefault="00720E40">
      <w:pPr>
        <w:spacing w:before="120" w:after="120"/>
        <w:ind w:firstLine="709"/>
        <w:jc w:val="both"/>
        <w:rPr>
          <w:lang w:val="ru-RU"/>
        </w:rPr>
      </w:pPr>
      <w:r>
        <w:rPr>
          <w:lang w:val="ru-RU"/>
        </w:rPr>
        <w:t xml:space="preserve">В случае отсутствия по состоянию на 1 мая 2020 года вступившего в силу нормативного правового акта Правительства Российской Федерации, уточняющего порядок определения рабочих дней в период действия мер по недопущению распространения новой </w:t>
      </w:r>
      <w:proofErr w:type="spellStart"/>
      <w:r>
        <w:rPr>
          <w:lang w:val="ru-RU"/>
        </w:rPr>
        <w:t>коронавирусной</w:t>
      </w:r>
      <w:proofErr w:type="spellEnd"/>
      <w:r>
        <w:rPr>
          <w:lang w:val="ru-RU"/>
        </w:rPr>
        <w:t xml:space="preserve"> инфекции, в целях определения планового объема потребления мощности на собственные и хозяйственные нужды электростанций, отнесенного к ГТП генерации, применяемого для расчета плановых объемов поставки мощности для расчета средневзвешенных нерегулируемых цен на мощность на оптовом рынке за апрель 2020 года</w:t>
      </w:r>
      <w:r>
        <w:rPr>
          <w:szCs w:val="22"/>
          <w:lang w:val="ru-RU"/>
        </w:rPr>
        <w:t xml:space="preserve">, под рабочими днями понимаются дни с понедельника по пятницу, </w:t>
      </w:r>
      <w:r>
        <w:rPr>
          <w:lang w:val="ru-RU"/>
        </w:rPr>
        <w:t>начиная с 20 апреля 2020 года.</w:t>
      </w:r>
    </w:p>
    <w:p w:rsidR="00390469" w:rsidRDefault="00720E40">
      <w:pPr>
        <w:spacing w:before="120" w:after="120"/>
        <w:ind w:firstLine="709"/>
        <w:jc w:val="both"/>
        <w:rPr>
          <w:lang w:val="ru-RU"/>
        </w:rPr>
      </w:pPr>
      <w:r>
        <w:rPr>
          <w:lang w:val="ru-RU"/>
        </w:rPr>
        <w:t xml:space="preserve">В случае отсутствия по состоянию на 5 мая 2020 года вступившего в силу нормативного правового акта Правительства Российской Федерации, уточняющего порядок определения рабочих дней в период действия мер по недопущению распространения новой </w:t>
      </w:r>
      <w:proofErr w:type="spellStart"/>
      <w:r>
        <w:rPr>
          <w:lang w:val="ru-RU"/>
        </w:rPr>
        <w:t>коронавирусной</w:t>
      </w:r>
      <w:proofErr w:type="spellEnd"/>
      <w:r>
        <w:rPr>
          <w:lang w:val="ru-RU"/>
        </w:rPr>
        <w:t xml:space="preserve"> инфекции, в целях определения собственного максимума потребления мощности для расчета авансовых обязательств по покупке мощности за май 2020 года</w:t>
      </w:r>
      <w:r>
        <w:rPr>
          <w:szCs w:val="22"/>
          <w:lang w:val="ru-RU"/>
        </w:rPr>
        <w:t xml:space="preserve"> под рабочими днями понимаются дни с понедельника по пятницу,</w:t>
      </w:r>
      <w:r>
        <w:rPr>
          <w:lang w:val="ru-RU"/>
        </w:rPr>
        <w:t xml:space="preserve"> начиная с 20 апреля 2020 года.</w:t>
      </w:r>
    </w:p>
    <w:p w:rsidR="00390469" w:rsidRDefault="00390469">
      <w:pPr>
        <w:spacing w:before="120" w:after="120"/>
        <w:ind w:firstLine="709"/>
        <w:jc w:val="both"/>
        <w:rPr>
          <w:lang w:val="ru-RU"/>
        </w:rPr>
      </w:pPr>
    </w:p>
    <w:p w:rsidR="00390469" w:rsidRDefault="00720E40">
      <w:pPr>
        <w:pStyle w:val="1"/>
        <w:ind w:left="0"/>
        <w:rPr>
          <w:lang w:val="ru-RU"/>
        </w:rPr>
      </w:pPr>
      <w:r>
        <w:rPr>
          <w:lang w:val="ru-RU"/>
        </w:rPr>
        <w:t>2. Д</w:t>
      </w:r>
      <w:r>
        <w:rPr>
          <w:caps w:val="0"/>
          <w:lang w:val="ru-RU"/>
        </w:rPr>
        <w:t>ополнить регламент новым разделом 6 с изменением нумерации следующих разделов</w:t>
      </w:r>
      <w:r w:rsidR="00843ADB">
        <w:rPr>
          <w:caps w:val="0"/>
          <w:lang w:val="ru-RU"/>
        </w:rPr>
        <w:t>,</w:t>
      </w:r>
      <w:r>
        <w:rPr>
          <w:caps w:val="0"/>
          <w:lang w:val="ru-RU"/>
        </w:rPr>
        <w:t xml:space="preserve"> пунктов</w:t>
      </w:r>
      <w:r w:rsidR="00843ADB">
        <w:rPr>
          <w:caps w:val="0"/>
          <w:lang w:val="ru-RU"/>
        </w:rPr>
        <w:t xml:space="preserve"> и ссылок (при необходимости)</w:t>
      </w:r>
      <w:r>
        <w:rPr>
          <w:caps w:val="0"/>
          <w:lang w:val="ru-RU"/>
        </w:rPr>
        <w:t>:</w:t>
      </w:r>
    </w:p>
    <w:p w:rsidR="00390469" w:rsidRDefault="00720E40">
      <w:pPr>
        <w:pStyle w:val="1"/>
        <w:ind w:left="720"/>
        <w:rPr>
          <w:lang w:val="ru-RU"/>
        </w:rPr>
      </w:pPr>
      <w:r>
        <w:rPr>
          <w:lang w:val="ru-RU"/>
        </w:rPr>
        <w:t>6. особенности предостаВления финансовых гарантий</w:t>
      </w:r>
    </w:p>
    <w:p w:rsidR="00390469" w:rsidRDefault="00720E40">
      <w:pPr>
        <w:autoSpaceDE w:val="0"/>
        <w:autoSpaceDN w:val="0"/>
        <w:adjustRightInd w:val="0"/>
        <w:spacing w:before="120" w:after="120"/>
        <w:ind w:firstLine="567"/>
        <w:jc w:val="both"/>
        <w:rPr>
          <w:szCs w:val="22"/>
          <w:lang w:val="ru-RU"/>
        </w:rPr>
      </w:pPr>
      <w:r>
        <w:rPr>
          <w:szCs w:val="22"/>
          <w:lang w:val="ru-RU"/>
        </w:rPr>
        <w:t xml:space="preserve">ЦФР не позднее 27-го числа месяца </w:t>
      </w:r>
      <w:r>
        <w:rPr>
          <w:i/>
          <w:szCs w:val="22"/>
        </w:rPr>
        <w:t>m</w:t>
      </w:r>
      <w:r>
        <w:rPr>
          <w:szCs w:val="22"/>
          <w:lang w:val="ru-RU"/>
        </w:rPr>
        <w:t xml:space="preserve">–2 либо на следующий рабочий день, если 27-е число месяца </w:t>
      </w:r>
      <w:r>
        <w:rPr>
          <w:i/>
          <w:szCs w:val="22"/>
        </w:rPr>
        <w:t>m</w:t>
      </w:r>
      <w:r>
        <w:rPr>
          <w:szCs w:val="22"/>
          <w:lang w:val="ru-RU"/>
        </w:rPr>
        <w:t xml:space="preserve">–2 приходится на нерабочий день, на основании Перечня участников оптового рынка </w:t>
      </w:r>
      <w:r>
        <w:rPr>
          <w:szCs w:val="22"/>
          <w:lang w:val="ru-RU"/>
        </w:rPr>
        <w:lastRenderedPageBreak/>
        <w:t xml:space="preserve">электрической энергии (мощности), ГТП потребления которых находятся на территории ценовой (ценовых) зоны (зон) оптового рынка и (или) неценовой (неценовых) зоны (зон) оптового рынка, подлежащих мониторингу своевременного исполнения/неисполнения обязательств на оптовом рынке по состоянию на 1-е число месяца </w:t>
      </w:r>
      <w:r>
        <w:rPr>
          <w:i/>
          <w:szCs w:val="22"/>
        </w:rPr>
        <w:t>m</w:t>
      </w:r>
      <w:r>
        <w:rPr>
          <w:szCs w:val="22"/>
          <w:lang w:val="ru-RU"/>
        </w:rPr>
        <w:t xml:space="preserve">–2 (приложение 2 к </w:t>
      </w:r>
      <w:r w:rsidRPr="00F630D0">
        <w:rPr>
          <w:i/>
          <w:szCs w:val="22"/>
          <w:lang w:val="ru-RU"/>
        </w:rPr>
        <w:t>Положению о порядке предоставления финансовых гарантий на оптовом рынке</w:t>
      </w:r>
      <w:r>
        <w:rPr>
          <w:szCs w:val="22"/>
          <w:lang w:val="ru-RU"/>
        </w:rPr>
        <w:t xml:space="preserve"> (Приложение № 26 к </w:t>
      </w:r>
      <w:r>
        <w:rPr>
          <w:i/>
          <w:szCs w:val="22"/>
          <w:lang w:val="ru-RU"/>
        </w:rPr>
        <w:t>Договору о присоединении к торговой системе оптового рынка</w:t>
      </w:r>
      <w:r>
        <w:rPr>
          <w:szCs w:val="22"/>
          <w:lang w:val="ru-RU"/>
        </w:rPr>
        <w:t>)</w:t>
      </w:r>
      <w:r w:rsidR="00216DB0" w:rsidRPr="002F0991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формирует реестр покупателей, обязанных / не обязанных предоставлять финансовые гарантии.</w:t>
      </w:r>
    </w:p>
    <w:p w:rsidR="00390469" w:rsidRDefault="00720E40">
      <w:pPr>
        <w:autoSpaceDE w:val="0"/>
        <w:autoSpaceDN w:val="0"/>
        <w:adjustRightInd w:val="0"/>
        <w:spacing w:before="120" w:after="120"/>
        <w:ind w:firstLine="709"/>
        <w:jc w:val="both"/>
        <w:rPr>
          <w:szCs w:val="22"/>
          <w:lang w:val="ru-RU"/>
        </w:rPr>
      </w:pPr>
      <w:r>
        <w:rPr>
          <w:szCs w:val="22"/>
          <w:lang w:val="ru-RU"/>
        </w:rPr>
        <w:t xml:space="preserve">Покупатель обязан предоставить финансовые гарантии на месяц </w:t>
      </w:r>
      <w:r>
        <w:rPr>
          <w:i/>
          <w:szCs w:val="22"/>
          <w:lang w:val="en-US"/>
        </w:rPr>
        <w:t>m</w:t>
      </w:r>
      <w:r>
        <w:rPr>
          <w:szCs w:val="22"/>
          <w:lang w:val="ru-RU"/>
        </w:rPr>
        <w:t xml:space="preserve"> в случае, если в отношении дат платежей на оптовом рынке, относящихся к периоду с 25-го числа месяца </w:t>
      </w:r>
      <w:r>
        <w:rPr>
          <w:i/>
          <w:iCs/>
          <w:szCs w:val="22"/>
        </w:rPr>
        <w:t>m</w:t>
      </w:r>
      <w:r>
        <w:rPr>
          <w:szCs w:val="22"/>
          <w:lang w:val="ru-RU"/>
        </w:rPr>
        <w:t xml:space="preserve">–5 по 21-е число месяца </w:t>
      </w:r>
      <w:r>
        <w:rPr>
          <w:i/>
          <w:iCs/>
          <w:szCs w:val="22"/>
        </w:rPr>
        <w:t>m</w:t>
      </w:r>
      <w:r>
        <w:rPr>
          <w:szCs w:val="22"/>
          <w:lang w:val="ru-RU"/>
        </w:rPr>
        <w:t>–2 (включительно), им допущено (-ы) нарушение (-я) сроков оплаты обязательств на оптовом рынке, за исключением нарушений сроков исполнения обязательств:</w:t>
      </w:r>
    </w:p>
    <w:p w:rsidR="00390469" w:rsidRDefault="00720E40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firstLine="565"/>
        <w:jc w:val="both"/>
        <w:rPr>
          <w:szCs w:val="22"/>
          <w:lang w:val="ru-RU"/>
        </w:rPr>
      </w:pPr>
      <w:r>
        <w:rPr>
          <w:szCs w:val="22"/>
          <w:lang w:val="ru-RU"/>
        </w:rPr>
        <w:t xml:space="preserve"> в одну, несколько или все даты платежей на величину не более чем 5</w:t>
      </w:r>
      <w:r>
        <w:rPr>
          <w:szCs w:val="22"/>
          <w:lang w:val="en-US"/>
        </w:rPr>
        <w:t> </w:t>
      </w:r>
      <w:r>
        <w:rPr>
          <w:szCs w:val="22"/>
          <w:lang w:val="ru-RU"/>
        </w:rPr>
        <w:t>% (</w:t>
      </w:r>
      <w:r>
        <w:rPr>
          <w:lang w:val="ru-RU"/>
        </w:rPr>
        <w:t>в отношении дат платежей, приходящихся на период с 28 апреля 2020 года по 28 мая 2020 года, – на величину не более чем 10</w:t>
      </w:r>
      <w:r w:rsidR="00F630D0">
        <w:rPr>
          <w:lang w:val="ru-RU"/>
        </w:rPr>
        <w:t> </w:t>
      </w:r>
      <w:r>
        <w:rPr>
          <w:lang w:val="ru-RU"/>
        </w:rPr>
        <w:t>%)</w:t>
      </w:r>
      <w:r>
        <w:rPr>
          <w:szCs w:val="22"/>
          <w:lang w:val="ru-RU"/>
        </w:rPr>
        <w:t xml:space="preserve"> от общей суммы обязательств, подлежавших оплате в соответствующую дату платежа, но не более чем на 3 (три) дня, следующих за соответствующей датой платежа, в которые ЦФР проводились торговые сессии с уполномоченной кредитной организацией, при этом не учитываются дни, в которые наступили обстоятельства, указанные в </w:t>
      </w:r>
      <w:proofErr w:type="spellStart"/>
      <w:r>
        <w:rPr>
          <w:szCs w:val="22"/>
          <w:lang w:val="ru-RU"/>
        </w:rPr>
        <w:t>пп</w:t>
      </w:r>
      <w:proofErr w:type="spellEnd"/>
      <w:r>
        <w:rPr>
          <w:szCs w:val="22"/>
          <w:lang w:val="ru-RU"/>
        </w:rPr>
        <w:t xml:space="preserve">. 2.5.2, 2.5.3 </w:t>
      </w:r>
      <w:r>
        <w:rPr>
          <w:i/>
          <w:szCs w:val="22"/>
          <w:lang w:val="ru-RU"/>
        </w:rPr>
        <w:t>Регламента финансовых расчетов на оптовом рынке электроэнергии</w:t>
      </w:r>
      <w:r>
        <w:rPr>
          <w:szCs w:val="22"/>
          <w:lang w:val="ru-RU"/>
        </w:rPr>
        <w:t xml:space="preserve"> (Приложение № 16 к </w:t>
      </w:r>
      <w:r>
        <w:rPr>
          <w:i/>
          <w:szCs w:val="22"/>
          <w:lang w:val="ru-RU"/>
        </w:rPr>
        <w:t>Договору о присоединении к торговой системе оптового рынка</w:t>
      </w:r>
      <w:r>
        <w:rPr>
          <w:szCs w:val="22"/>
          <w:lang w:val="ru-RU"/>
        </w:rPr>
        <w:t>); и (или)</w:t>
      </w:r>
    </w:p>
    <w:p w:rsidR="00390469" w:rsidRDefault="00720E40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firstLine="565"/>
        <w:jc w:val="both"/>
        <w:rPr>
          <w:szCs w:val="22"/>
          <w:lang w:val="ru-RU"/>
        </w:rPr>
      </w:pPr>
      <w:r>
        <w:rPr>
          <w:szCs w:val="22"/>
          <w:lang w:val="ru-RU"/>
        </w:rPr>
        <w:t xml:space="preserve"> однократно на величину более чем 5</w:t>
      </w:r>
      <w:r>
        <w:rPr>
          <w:szCs w:val="22"/>
          <w:lang w:val="en-US"/>
        </w:rPr>
        <w:t> </w:t>
      </w:r>
      <w:r>
        <w:rPr>
          <w:szCs w:val="22"/>
          <w:lang w:val="ru-RU"/>
        </w:rPr>
        <w:t>% (</w:t>
      </w:r>
      <w:r>
        <w:rPr>
          <w:lang w:val="ru-RU"/>
        </w:rPr>
        <w:t>в отношении дат платежей, приходящихся на период с 28 апреля 2020 года по 28 мая 2020 года</w:t>
      </w:r>
      <w:r w:rsidR="00EE482E">
        <w:rPr>
          <w:lang w:val="ru-RU"/>
        </w:rPr>
        <w:t xml:space="preserve">, – </w:t>
      </w:r>
      <w:r>
        <w:rPr>
          <w:lang w:val="ru-RU"/>
        </w:rPr>
        <w:t>на величину более чем 10</w:t>
      </w:r>
      <w:r w:rsidR="00F630D0">
        <w:rPr>
          <w:lang w:val="ru-RU"/>
        </w:rPr>
        <w:t> </w:t>
      </w:r>
      <w:r>
        <w:rPr>
          <w:lang w:val="ru-RU"/>
        </w:rPr>
        <w:t>%)</w:t>
      </w:r>
      <w:r>
        <w:rPr>
          <w:szCs w:val="22"/>
          <w:lang w:val="ru-RU"/>
        </w:rPr>
        <w:t xml:space="preserve"> от общей суммы обязательств, подлежащих оплате в соответствующую дату платежа, но не более чем на 3 (три) дня, следующих за соответствующей датой платежа, в которые ЦФР проводились торговые сессии с уполномоченной кредитной организацией, при этом не учитываются дни, в которые наступили обстоятельства, указанные в </w:t>
      </w:r>
      <w:proofErr w:type="spellStart"/>
      <w:r>
        <w:rPr>
          <w:szCs w:val="22"/>
          <w:lang w:val="ru-RU"/>
        </w:rPr>
        <w:t>пп</w:t>
      </w:r>
      <w:proofErr w:type="spellEnd"/>
      <w:r>
        <w:rPr>
          <w:szCs w:val="22"/>
          <w:lang w:val="ru-RU"/>
        </w:rPr>
        <w:t xml:space="preserve">. 2.5.2, 2.5.3 </w:t>
      </w:r>
      <w:r>
        <w:rPr>
          <w:i/>
          <w:szCs w:val="22"/>
          <w:lang w:val="ru-RU"/>
        </w:rPr>
        <w:t>Регламента финансовых расчетов на оптовом рынке электроэнергии</w:t>
      </w:r>
      <w:r>
        <w:rPr>
          <w:szCs w:val="22"/>
          <w:lang w:val="ru-RU"/>
        </w:rPr>
        <w:t xml:space="preserve"> (Приложение № 16 к </w:t>
      </w:r>
      <w:r>
        <w:rPr>
          <w:i/>
          <w:szCs w:val="22"/>
          <w:lang w:val="ru-RU"/>
        </w:rPr>
        <w:t>Договору о присоединении к торговой системе оптового рынка</w:t>
      </w:r>
      <w:r>
        <w:rPr>
          <w:szCs w:val="22"/>
          <w:lang w:val="ru-RU"/>
        </w:rPr>
        <w:t>).</w:t>
      </w:r>
    </w:p>
    <w:p w:rsidR="00390469" w:rsidRDefault="00720E40">
      <w:pPr>
        <w:autoSpaceDE w:val="0"/>
        <w:autoSpaceDN w:val="0"/>
        <w:adjustRightInd w:val="0"/>
        <w:spacing w:before="120" w:after="120"/>
        <w:ind w:firstLine="709"/>
        <w:jc w:val="both"/>
        <w:rPr>
          <w:szCs w:val="22"/>
          <w:lang w:val="ru-RU"/>
        </w:rPr>
      </w:pPr>
      <w:r>
        <w:rPr>
          <w:szCs w:val="22"/>
          <w:lang w:val="ru-RU"/>
        </w:rPr>
        <w:t>Округление величины при расчете 5</w:t>
      </w:r>
      <w:r w:rsidR="00F630D0">
        <w:rPr>
          <w:szCs w:val="22"/>
          <w:lang w:val="ru-RU"/>
        </w:rPr>
        <w:t> % и 10 </w:t>
      </w:r>
      <w:r>
        <w:rPr>
          <w:szCs w:val="22"/>
          <w:lang w:val="ru-RU"/>
        </w:rPr>
        <w:t>% от общей суммы обязательств, подлежащих оплате в соответствующую дату платежа, производится методом математического округления с точностью до 2 (двух) знаков после запятой.</w:t>
      </w:r>
    </w:p>
    <w:p w:rsidR="00390469" w:rsidRDefault="00720E40">
      <w:pPr>
        <w:autoSpaceDE w:val="0"/>
        <w:autoSpaceDN w:val="0"/>
        <w:spacing w:before="120" w:after="120"/>
        <w:ind w:firstLine="709"/>
        <w:jc w:val="both"/>
        <w:rPr>
          <w:lang w:val="ru-RU"/>
        </w:rPr>
      </w:pPr>
      <w:r w:rsidRPr="00EE482E">
        <w:rPr>
          <w:lang w:val="ru-RU"/>
        </w:rPr>
        <w:t>В отношении дат платежей, приходящихся на период с 14 мая 2020 года по 28 мая 2020 года</w:t>
      </w:r>
      <w:r w:rsidR="00216DB0">
        <w:rPr>
          <w:lang w:val="ru-RU"/>
        </w:rPr>
        <w:t>,</w:t>
      </w:r>
      <w:r w:rsidRPr="00EE482E">
        <w:rPr>
          <w:lang w:val="ru-RU"/>
        </w:rPr>
        <w:t xml:space="preserve"> ЦФР при формировании уведомлений по форме приложени</w:t>
      </w:r>
      <w:r>
        <w:rPr>
          <w:lang w:val="ru-RU"/>
        </w:rPr>
        <w:t xml:space="preserve">я </w:t>
      </w:r>
      <w:r w:rsidRPr="00EE482E">
        <w:rPr>
          <w:lang w:val="ru-RU"/>
        </w:rPr>
        <w:t>1б</w:t>
      </w:r>
      <w:r>
        <w:t> </w:t>
      </w:r>
      <w:r w:rsidRPr="00EE482E">
        <w:rPr>
          <w:lang w:val="ru-RU"/>
        </w:rPr>
        <w:t xml:space="preserve">к </w:t>
      </w:r>
      <w:r w:rsidRPr="00F630D0">
        <w:rPr>
          <w:i/>
          <w:lang w:val="ru-RU"/>
        </w:rPr>
        <w:t>Положению о порядке предоставления финансовых гарантий на оптовом рынке</w:t>
      </w:r>
      <w:r w:rsidRPr="00EE482E">
        <w:rPr>
          <w:lang w:val="ru-RU"/>
        </w:rPr>
        <w:t xml:space="preserve"> (Приложение № 26 к </w:t>
      </w:r>
      <w:r w:rsidRPr="00EE482E">
        <w:rPr>
          <w:i/>
          <w:iCs/>
          <w:lang w:val="ru-RU"/>
        </w:rPr>
        <w:t>Договору о присоединении к торговой системе оптового рынка</w:t>
      </w:r>
      <w:r w:rsidRPr="00EE482E">
        <w:rPr>
          <w:lang w:val="ru-RU"/>
        </w:rPr>
        <w:t>) использует и указывает величину 10</w:t>
      </w:r>
      <w:r w:rsidR="00216DB0">
        <w:rPr>
          <w:lang w:val="ru-RU"/>
        </w:rPr>
        <w:t> </w:t>
      </w:r>
      <w:r w:rsidRPr="00EE482E">
        <w:rPr>
          <w:lang w:val="ru-RU"/>
        </w:rPr>
        <w:t>% от общей суммы обязательств (вместо 5</w:t>
      </w:r>
      <w:r w:rsidR="00216DB0">
        <w:rPr>
          <w:lang w:val="ru-RU"/>
        </w:rPr>
        <w:t> </w:t>
      </w:r>
      <w:r w:rsidRPr="00EE482E">
        <w:rPr>
          <w:lang w:val="ru-RU"/>
        </w:rPr>
        <w:t xml:space="preserve">%). </w:t>
      </w:r>
    </w:p>
    <w:p w:rsidR="00390469" w:rsidRPr="00EE482E" w:rsidRDefault="00720E40" w:rsidP="00EE482E">
      <w:pPr>
        <w:autoSpaceDE w:val="0"/>
        <w:autoSpaceDN w:val="0"/>
        <w:spacing w:before="120" w:after="120"/>
        <w:ind w:firstLine="709"/>
        <w:jc w:val="both"/>
        <w:rPr>
          <w:rFonts w:ascii="Calibri" w:hAnsi="Calibri"/>
          <w:lang w:val="ru-RU"/>
        </w:rPr>
      </w:pPr>
      <w:r w:rsidRPr="00EE482E">
        <w:rPr>
          <w:lang w:val="ru-RU"/>
        </w:rPr>
        <w:t>В отношении дат платежей, приходящихся на период с 28 апреля</w:t>
      </w:r>
      <w:r w:rsidRPr="00EE482E">
        <w:t> </w:t>
      </w:r>
      <w:r w:rsidRPr="00EE482E">
        <w:rPr>
          <w:lang w:val="ru-RU"/>
        </w:rPr>
        <w:t>2020 года по 28 мая 2020 года</w:t>
      </w:r>
      <w:r w:rsidR="00216DB0">
        <w:rPr>
          <w:lang w:val="ru-RU"/>
        </w:rPr>
        <w:t>,</w:t>
      </w:r>
      <w:r w:rsidRPr="00EE482E">
        <w:rPr>
          <w:lang w:val="ru-RU"/>
        </w:rPr>
        <w:t xml:space="preserve"> ЦФР при формировании уведомлений по форме приложени</w:t>
      </w:r>
      <w:r>
        <w:rPr>
          <w:lang w:val="ru-RU"/>
        </w:rPr>
        <w:t>я</w:t>
      </w:r>
      <w:r w:rsidRPr="00EE482E">
        <w:rPr>
          <w:lang w:val="ru-RU"/>
        </w:rPr>
        <w:t xml:space="preserve"> 4.1б к </w:t>
      </w:r>
      <w:r w:rsidRPr="00F630D0">
        <w:rPr>
          <w:i/>
          <w:lang w:val="ru-RU"/>
        </w:rPr>
        <w:t>Положению о порядке предоставления финансовых гарантий на оптовом рынке</w:t>
      </w:r>
      <w:r w:rsidRPr="00EE482E">
        <w:rPr>
          <w:lang w:val="ru-RU"/>
        </w:rPr>
        <w:t xml:space="preserve"> (Приложение № 26 к </w:t>
      </w:r>
      <w:r w:rsidRPr="00EE482E">
        <w:rPr>
          <w:i/>
          <w:iCs/>
          <w:lang w:val="ru-RU"/>
        </w:rPr>
        <w:t>Договору о присоединении к торговой системе оптового рынка</w:t>
      </w:r>
      <w:r w:rsidRPr="00EE482E">
        <w:rPr>
          <w:lang w:val="ru-RU"/>
        </w:rPr>
        <w:t>) использует и указывает величину 10</w:t>
      </w:r>
      <w:r w:rsidR="00216DB0">
        <w:rPr>
          <w:lang w:val="ru-RU"/>
        </w:rPr>
        <w:t> </w:t>
      </w:r>
      <w:r w:rsidRPr="00EE482E">
        <w:rPr>
          <w:lang w:val="ru-RU"/>
        </w:rPr>
        <w:t>% от общей суммы обязательств (вместо 5</w:t>
      </w:r>
      <w:r w:rsidR="00216DB0">
        <w:rPr>
          <w:lang w:val="ru-RU"/>
        </w:rPr>
        <w:t> </w:t>
      </w:r>
      <w:r w:rsidRPr="00EE482E">
        <w:rPr>
          <w:lang w:val="ru-RU"/>
        </w:rPr>
        <w:t xml:space="preserve">%). </w:t>
      </w:r>
    </w:p>
    <w:p w:rsidR="008E5D0A" w:rsidRDefault="008E5D0A">
      <w:pPr>
        <w:pStyle w:val="1"/>
        <w:ind w:left="0"/>
        <w:rPr>
          <w:lang w:val="ru-RU"/>
        </w:rPr>
      </w:pPr>
    </w:p>
    <w:p w:rsidR="00390469" w:rsidRDefault="00720E40">
      <w:pPr>
        <w:pStyle w:val="1"/>
        <w:ind w:left="0"/>
        <w:rPr>
          <w:caps w:val="0"/>
          <w:lang w:val="ru-RU"/>
        </w:rPr>
      </w:pPr>
      <w:r>
        <w:rPr>
          <w:lang w:val="ru-RU"/>
        </w:rPr>
        <w:t xml:space="preserve">3. В </w:t>
      </w:r>
      <w:r>
        <w:rPr>
          <w:caps w:val="0"/>
          <w:lang w:val="ru-RU"/>
        </w:rPr>
        <w:t xml:space="preserve">разделе 7 </w:t>
      </w:r>
      <w:r w:rsidR="008E5D0A" w:rsidRPr="008E5D0A">
        <w:rPr>
          <w:caps w:val="0"/>
          <w:lang w:val="ru-RU"/>
        </w:rPr>
        <w:t>(</w:t>
      </w:r>
      <w:r w:rsidR="008E5D0A">
        <w:rPr>
          <w:caps w:val="0"/>
          <w:lang w:val="ru-RU"/>
        </w:rPr>
        <w:t xml:space="preserve">по новой нумерации) </w:t>
      </w:r>
      <w:r>
        <w:rPr>
          <w:caps w:val="0"/>
          <w:lang w:val="ru-RU"/>
        </w:rPr>
        <w:t>«ОСОБЕННОСТИ ПРИМЕНЕНИЯ МЕР ОТВЕТСТВЕННОСТИ</w:t>
      </w:r>
      <w:r>
        <w:rPr>
          <w:b w:val="0"/>
          <w:bCs w:val="0"/>
          <w:caps w:val="0"/>
          <w:lang w:val="ru-RU"/>
        </w:rPr>
        <w:t>»</w:t>
      </w:r>
      <w:r>
        <w:rPr>
          <w:caps w:val="0"/>
          <w:lang w:val="ru-RU"/>
        </w:rPr>
        <w:t>:</w:t>
      </w:r>
    </w:p>
    <w:p w:rsidR="00390469" w:rsidRDefault="00720E40">
      <w:pPr>
        <w:pStyle w:val="1"/>
        <w:ind w:left="0"/>
        <w:rPr>
          <w:lang w:val="ru-RU"/>
        </w:rPr>
      </w:pPr>
      <w:r>
        <w:rPr>
          <w:caps w:val="0"/>
          <w:lang w:val="ru-RU"/>
        </w:rPr>
        <w:t xml:space="preserve">3.1. Пункт 7.1 </w:t>
      </w:r>
      <w:r w:rsidR="008E5D0A" w:rsidRPr="008E5D0A">
        <w:rPr>
          <w:caps w:val="0"/>
          <w:lang w:val="ru-RU"/>
        </w:rPr>
        <w:t>(</w:t>
      </w:r>
      <w:r w:rsidR="008E5D0A">
        <w:rPr>
          <w:caps w:val="0"/>
          <w:lang w:val="ru-RU"/>
        </w:rPr>
        <w:t xml:space="preserve">по новой нумерации) </w:t>
      </w:r>
      <w:r>
        <w:rPr>
          <w:caps w:val="0"/>
          <w:lang w:val="ru-RU"/>
        </w:rPr>
        <w:t>изложить в следующей редакции:</w:t>
      </w:r>
    </w:p>
    <w:p w:rsidR="00390469" w:rsidRDefault="00720E40">
      <w:pPr>
        <w:pStyle w:val="a3"/>
        <w:ind w:firstLine="709"/>
        <w:rPr>
          <w:rFonts w:ascii="Garamond" w:hAnsi="Garamond"/>
          <w:b/>
          <w:szCs w:val="22"/>
          <w:lang w:val="ru-RU"/>
        </w:rPr>
      </w:pPr>
      <w:r>
        <w:rPr>
          <w:rFonts w:ascii="Garamond" w:hAnsi="Garamond"/>
          <w:b/>
          <w:szCs w:val="22"/>
          <w:lang w:val="ru-RU"/>
        </w:rPr>
        <w:t xml:space="preserve">7.1. Особенности расчета и оплаты неустойки (пени) </w:t>
      </w:r>
    </w:p>
    <w:p w:rsidR="00390469" w:rsidRDefault="00720E40">
      <w:pPr>
        <w:spacing w:before="120" w:after="120"/>
        <w:ind w:firstLine="709"/>
        <w:jc w:val="both"/>
        <w:rPr>
          <w:szCs w:val="22"/>
          <w:lang w:val="ru-RU"/>
        </w:rPr>
      </w:pPr>
      <w:r>
        <w:rPr>
          <w:szCs w:val="22"/>
          <w:lang w:val="ru-RU"/>
        </w:rPr>
        <w:t xml:space="preserve">ЦФР не включает в Сводный реестр платежей, передаваемый в уполномоченную кредитную организацию, обязательства по оплате неустойки (пени) за неисполнение или ненадлежащее исполнение обязательств по оплате электрической энергии и (или) мощности, а также услуг организаций коммерческой и технологической инфраструктуры оптового рынка, оплата которых осуществляется через уполномоченную кредитную организацию, если срок исполнения таких обязательств по оплате неустойки наступил (наступает) с 25.04.2020 по 25.06.2020. </w:t>
      </w:r>
    </w:p>
    <w:p w:rsidR="00390469" w:rsidRDefault="00720E40">
      <w:pPr>
        <w:pStyle w:val="a3"/>
        <w:ind w:firstLine="709"/>
        <w:rPr>
          <w:rFonts w:ascii="Garamond" w:hAnsi="Garamond"/>
          <w:szCs w:val="22"/>
          <w:lang w:val="ru-RU"/>
        </w:rPr>
      </w:pPr>
      <w:r>
        <w:rPr>
          <w:rFonts w:ascii="Garamond" w:hAnsi="Garamond"/>
          <w:szCs w:val="22"/>
          <w:lang w:val="ru-RU"/>
        </w:rPr>
        <w:t xml:space="preserve">ЦФР включает в Сводный реестр платежей обязательства по оплате неустойки (пени), указанной в </w:t>
      </w:r>
      <w:proofErr w:type="spellStart"/>
      <w:r>
        <w:rPr>
          <w:rFonts w:ascii="Garamond" w:hAnsi="Garamond"/>
          <w:szCs w:val="22"/>
          <w:lang w:val="ru-RU"/>
        </w:rPr>
        <w:t>абз</w:t>
      </w:r>
      <w:proofErr w:type="spellEnd"/>
      <w:r>
        <w:rPr>
          <w:rFonts w:ascii="Garamond" w:hAnsi="Garamond"/>
          <w:szCs w:val="22"/>
          <w:lang w:val="ru-RU"/>
        </w:rPr>
        <w:t xml:space="preserve">. 1 настоящего пункта, с учетом особенностей оплаты неустойки (пени) в соответствии с </w:t>
      </w:r>
      <w:proofErr w:type="spellStart"/>
      <w:r>
        <w:rPr>
          <w:rFonts w:ascii="Garamond" w:hAnsi="Garamond"/>
          <w:szCs w:val="22"/>
          <w:lang w:val="ru-RU"/>
        </w:rPr>
        <w:t>пп</w:t>
      </w:r>
      <w:proofErr w:type="spellEnd"/>
      <w:r>
        <w:rPr>
          <w:rFonts w:ascii="Garamond" w:hAnsi="Garamond"/>
          <w:szCs w:val="22"/>
          <w:lang w:val="ru-RU"/>
        </w:rPr>
        <w:t xml:space="preserve">. 12.5, 12.5.3, 12.6 </w:t>
      </w:r>
      <w:r>
        <w:rPr>
          <w:rFonts w:ascii="Garamond" w:hAnsi="Garamond"/>
          <w:i/>
          <w:szCs w:val="22"/>
          <w:lang w:val="ru-RU"/>
        </w:rPr>
        <w:t>Регламента финансовых расчетов на оптовом рынке электроэнергии</w:t>
      </w:r>
      <w:r>
        <w:rPr>
          <w:rFonts w:ascii="Garamond" w:hAnsi="Garamond"/>
          <w:szCs w:val="22"/>
          <w:lang w:val="ru-RU"/>
        </w:rPr>
        <w:t xml:space="preserve"> (Приложение № 16 к </w:t>
      </w:r>
      <w:r>
        <w:rPr>
          <w:rFonts w:ascii="Garamond" w:hAnsi="Garamond"/>
          <w:i/>
          <w:szCs w:val="22"/>
          <w:lang w:val="ru-RU"/>
        </w:rPr>
        <w:t>Договору о присоединении к торговой системе оптового рынка</w:t>
      </w:r>
      <w:r>
        <w:rPr>
          <w:rFonts w:ascii="Garamond" w:hAnsi="Garamond"/>
          <w:szCs w:val="22"/>
          <w:lang w:val="ru-RU"/>
        </w:rPr>
        <w:t>) в случае принятия Наблюдательным советом СР решения о включении/</w:t>
      </w:r>
      <w:proofErr w:type="spellStart"/>
      <w:r>
        <w:rPr>
          <w:rFonts w:ascii="Garamond" w:hAnsi="Garamond"/>
          <w:szCs w:val="22"/>
          <w:lang w:val="ru-RU"/>
        </w:rPr>
        <w:t>невключении</w:t>
      </w:r>
      <w:proofErr w:type="spellEnd"/>
      <w:r>
        <w:rPr>
          <w:rFonts w:ascii="Garamond" w:hAnsi="Garamond"/>
          <w:szCs w:val="22"/>
          <w:lang w:val="ru-RU"/>
        </w:rPr>
        <w:t xml:space="preserve"> в Сводный реестр платежей указанной неустойки и получения от СР выписки из протокола заседания Наблюдательного совета СР, содержащей указанное решение.</w:t>
      </w:r>
    </w:p>
    <w:p w:rsidR="00390469" w:rsidRDefault="00720E40">
      <w:pPr>
        <w:pStyle w:val="a3"/>
        <w:rPr>
          <w:rFonts w:ascii="Garamond" w:hAnsi="Garamond"/>
          <w:b/>
          <w:szCs w:val="22"/>
          <w:lang w:val="ru-RU"/>
        </w:rPr>
      </w:pPr>
      <w:r w:rsidRPr="00590593">
        <w:rPr>
          <w:rFonts w:ascii="Garamond" w:hAnsi="Garamond"/>
          <w:b/>
          <w:bCs/>
          <w:color w:val="000000"/>
          <w:kern w:val="28"/>
          <w:szCs w:val="22"/>
          <w:lang w:val="ru-RU"/>
        </w:rPr>
        <w:lastRenderedPageBreak/>
        <w:t xml:space="preserve">3.2. В </w:t>
      </w:r>
      <w:r w:rsidRPr="000B28A8">
        <w:rPr>
          <w:rFonts w:ascii="Garamond" w:hAnsi="Garamond"/>
          <w:b/>
          <w:bCs/>
          <w:color w:val="000000"/>
          <w:kern w:val="28"/>
          <w:szCs w:val="22"/>
          <w:lang w:val="ru-RU"/>
        </w:rPr>
        <w:t xml:space="preserve">пункте </w:t>
      </w:r>
      <w:r w:rsidRPr="000B28A8">
        <w:rPr>
          <w:rFonts w:ascii="Garamond" w:hAnsi="Garamond"/>
          <w:b/>
          <w:szCs w:val="22"/>
          <w:lang w:val="ru-RU"/>
        </w:rPr>
        <w:t>7.</w:t>
      </w:r>
      <w:r w:rsidR="00590593" w:rsidRPr="000B28A8">
        <w:rPr>
          <w:rFonts w:ascii="Garamond" w:hAnsi="Garamond"/>
          <w:b/>
          <w:szCs w:val="22"/>
          <w:lang w:val="ru-RU"/>
        </w:rPr>
        <w:t>2</w:t>
      </w:r>
      <w:r w:rsidRPr="000B28A8">
        <w:rPr>
          <w:rFonts w:ascii="Garamond" w:hAnsi="Garamond"/>
          <w:b/>
          <w:szCs w:val="22"/>
          <w:lang w:val="ru-RU"/>
        </w:rPr>
        <w:t xml:space="preserve"> </w:t>
      </w:r>
      <w:r w:rsidR="008E5D0A" w:rsidRPr="000B28A8">
        <w:rPr>
          <w:rFonts w:ascii="Garamond" w:hAnsi="Garamond"/>
          <w:b/>
          <w:lang w:val="ru-RU"/>
        </w:rPr>
        <w:t>(по новой нумерации)</w:t>
      </w:r>
      <w:r w:rsidR="008E5D0A" w:rsidRPr="000B28A8">
        <w:rPr>
          <w:rFonts w:ascii="Garamond" w:hAnsi="Garamond"/>
          <w:lang w:val="ru-RU"/>
        </w:rPr>
        <w:t xml:space="preserve"> </w:t>
      </w:r>
      <w:r w:rsidRPr="000B28A8">
        <w:rPr>
          <w:rFonts w:ascii="Garamond" w:hAnsi="Garamond"/>
          <w:b/>
          <w:szCs w:val="22"/>
          <w:lang w:val="ru-RU"/>
        </w:rPr>
        <w:t>«Особенности расчета и оплаты штрафов, взыскиваемых в пользу организаций коммерческой инфраструктуры оптового рынк</w:t>
      </w:r>
      <w:r w:rsidR="00843ADB" w:rsidRPr="000B28A8">
        <w:rPr>
          <w:rFonts w:ascii="Garamond" w:hAnsi="Garamond"/>
          <w:b/>
          <w:szCs w:val="22"/>
          <w:lang w:val="ru-RU"/>
        </w:rPr>
        <w:t>а»</w:t>
      </w:r>
      <w:r w:rsidR="00590593" w:rsidRPr="000B28A8">
        <w:rPr>
          <w:rFonts w:ascii="Garamond" w:hAnsi="Garamond"/>
          <w:b/>
          <w:szCs w:val="22"/>
          <w:lang w:val="ru-RU"/>
        </w:rPr>
        <w:t xml:space="preserve"> </w:t>
      </w:r>
      <w:r w:rsidRPr="000B28A8">
        <w:rPr>
          <w:rFonts w:ascii="Garamond" w:hAnsi="Garamond"/>
          <w:b/>
          <w:szCs w:val="22"/>
          <w:lang w:val="ru-RU"/>
        </w:rPr>
        <w:t>в связи с изменением нумерации ссылку на п. 6.2.2 заменить ссылкой на пункт 7.</w:t>
      </w:r>
      <w:r w:rsidR="00590593" w:rsidRPr="000B28A8">
        <w:rPr>
          <w:rFonts w:ascii="Garamond" w:hAnsi="Garamond"/>
          <w:b/>
          <w:szCs w:val="22"/>
          <w:lang w:val="ru-RU"/>
        </w:rPr>
        <w:t>2</w:t>
      </w:r>
      <w:r w:rsidRPr="000B28A8">
        <w:rPr>
          <w:rFonts w:ascii="Garamond" w:hAnsi="Garamond"/>
          <w:b/>
          <w:szCs w:val="22"/>
          <w:lang w:val="ru-RU"/>
        </w:rPr>
        <w:t>.2.</w:t>
      </w:r>
      <w:bookmarkStart w:id="0" w:name="_GoBack"/>
      <w:bookmarkEnd w:id="0"/>
    </w:p>
    <w:p w:rsidR="00590593" w:rsidRDefault="00590593">
      <w:pPr>
        <w:pStyle w:val="1"/>
        <w:ind w:left="0"/>
        <w:rPr>
          <w:lang w:val="ru-RU"/>
        </w:rPr>
      </w:pPr>
    </w:p>
    <w:p w:rsidR="00390469" w:rsidRDefault="00720E40">
      <w:pPr>
        <w:pStyle w:val="1"/>
        <w:ind w:left="0"/>
        <w:rPr>
          <w:caps w:val="0"/>
          <w:lang w:val="ru-RU"/>
        </w:rPr>
      </w:pPr>
      <w:r>
        <w:rPr>
          <w:lang w:val="ru-RU"/>
        </w:rPr>
        <w:t>4.</w:t>
      </w:r>
      <w:r>
        <w:rPr>
          <w:b w:val="0"/>
          <w:lang w:val="ru-RU"/>
        </w:rPr>
        <w:t xml:space="preserve"> </w:t>
      </w:r>
      <w:r>
        <w:rPr>
          <w:caps w:val="0"/>
          <w:lang w:val="ru-RU"/>
        </w:rPr>
        <w:t>Из раздела</w:t>
      </w:r>
      <w:r w:rsidRPr="00766629">
        <w:rPr>
          <w:caps w:val="0"/>
          <w:lang w:val="ru-RU"/>
        </w:rPr>
        <w:t xml:space="preserve"> </w:t>
      </w:r>
      <w:r w:rsidR="00766629" w:rsidRPr="00766629">
        <w:rPr>
          <w:caps w:val="0"/>
          <w:lang w:val="ru-RU"/>
        </w:rPr>
        <w:t>8</w:t>
      </w:r>
      <w:r w:rsidR="00766629">
        <w:rPr>
          <w:b w:val="0"/>
          <w:caps w:val="0"/>
          <w:lang w:val="ru-RU"/>
        </w:rPr>
        <w:t xml:space="preserve"> </w:t>
      </w:r>
      <w:r w:rsidR="008E5D0A" w:rsidRPr="008E5D0A">
        <w:rPr>
          <w:caps w:val="0"/>
          <w:lang w:val="ru-RU"/>
        </w:rPr>
        <w:t>(</w:t>
      </w:r>
      <w:r w:rsidR="008E5D0A">
        <w:rPr>
          <w:caps w:val="0"/>
          <w:lang w:val="ru-RU"/>
        </w:rPr>
        <w:t xml:space="preserve">по новой нумерации) </w:t>
      </w:r>
      <w:r>
        <w:rPr>
          <w:b w:val="0"/>
          <w:lang w:val="ru-RU"/>
        </w:rPr>
        <w:t>«</w:t>
      </w:r>
      <w:r>
        <w:rPr>
          <w:lang w:val="ru-RU"/>
        </w:rPr>
        <w:t xml:space="preserve">ОСОБЕННОСТИ ОСУЩЕСТВЛЕНИЯ КОНТРОЛЯ ЗА СОБЛЮДЕНИЕМ ПРАВИЛ ОПТОВОГО РЫНКА И </w:t>
      </w:r>
      <w:r w:rsidRPr="008E5D0A">
        <w:rPr>
          <w:i/>
          <w:lang w:val="ru-RU"/>
        </w:rPr>
        <w:t>ДОГОВОРА О ПРИСОЕДИНЕНИИ К ТОРГОВОЙ СИСТЕМЕ ОПТОВОГО РЫНКА</w:t>
      </w:r>
      <w:r>
        <w:rPr>
          <w:b w:val="0"/>
          <w:lang w:val="ru-RU"/>
        </w:rPr>
        <w:t xml:space="preserve">» </w:t>
      </w:r>
      <w:r>
        <w:rPr>
          <w:caps w:val="0"/>
          <w:lang w:val="ru-RU"/>
        </w:rPr>
        <w:t>исключить пункт 8.1 с последующим изменением нумерации следующих пунктов данного раздела.</w:t>
      </w:r>
    </w:p>
    <w:p w:rsidR="00590593" w:rsidRDefault="00590593">
      <w:pPr>
        <w:pStyle w:val="1"/>
        <w:ind w:left="0"/>
        <w:rPr>
          <w:lang w:val="ru-RU"/>
        </w:rPr>
      </w:pPr>
    </w:p>
    <w:p w:rsidR="00390469" w:rsidRDefault="00720E40">
      <w:pPr>
        <w:pStyle w:val="1"/>
        <w:ind w:left="0"/>
        <w:rPr>
          <w:caps w:val="0"/>
          <w:lang w:val="ru-RU"/>
        </w:rPr>
      </w:pPr>
      <w:r>
        <w:rPr>
          <w:lang w:val="ru-RU"/>
        </w:rPr>
        <w:t>5. Р</w:t>
      </w:r>
      <w:r>
        <w:rPr>
          <w:caps w:val="0"/>
          <w:lang w:val="ru-RU"/>
        </w:rPr>
        <w:t xml:space="preserve">аздел 9 </w:t>
      </w:r>
      <w:r w:rsidR="008E5D0A" w:rsidRPr="008E5D0A">
        <w:rPr>
          <w:caps w:val="0"/>
          <w:lang w:val="ru-RU"/>
        </w:rPr>
        <w:t>(</w:t>
      </w:r>
      <w:r w:rsidR="008E5D0A">
        <w:rPr>
          <w:caps w:val="0"/>
          <w:lang w:val="ru-RU"/>
        </w:rPr>
        <w:t xml:space="preserve">по новой нумерации) </w:t>
      </w:r>
      <w:r>
        <w:rPr>
          <w:caps w:val="0"/>
          <w:lang w:val="ru-RU"/>
        </w:rPr>
        <w:t>«</w:t>
      </w:r>
      <w:r>
        <w:rPr>
          <w:lang w:val="ru-RU"/>
        </w:rPr>
        <w:t xml:space="preserve">Особенности АТТЕСТАЦИИ генерирующего оборудования и определения ГОТОВНости генерирующего оборудования к выработке электрической энергии» </w:t>
      </w:r>
      <w:r>
        <w:rPr>
          <w:caps w:val="0"/>
          <w:lang w:val="ru-RU"/>
        </w:rPr>
        <w:t>дополнить новым пунктом 9.1 с изменением нумерации следующего пункта:</w:t>
      </w:r>
    </w:p>
    <w:p w:rsidR="00390469" w:rsidRDefault="00720E40">
      <w:pPr>
        <w:pStyle w:val="a3"/>
        <w:ind w:firstLine="709"/>
        <w:rPr>
          <w:rFonts w:ascii="Garamond" w:hAnsi="Garamond"/>
          <w:b/>
          <w:caps/>
          <w:color w:val="000000"/>
          <w:kern w:val="28"/>
          <w:szCs w:val="22"/>
          <w:lang w:val="ru-RU"/>
        </w:rPr>
      </w:pPr>
      <w:r>
        <w:rPr>
          <w:rFonts w:ascii="Garamond" w:hAnsi="Garamond"/>
          <w:b/>
          <w:color w:val="000000"/>
          <w:kern w:val="28"/>
          <w:szCs w:val="22"/>
          <w:lang w:val="ru-RU"/>
        </w:rPr>
        <w:t>9.1. Особенности квалификации ремонтов генерирующего оборудования при подтверждении готовности к выработке электроэнергии</w:t>
      </w:r>
    </w:p>
    <w:p w:rsidR="00390469" w:rsidRDefault="00720E40">
      <w:pPr>
        <w:spacing w:before="120" w:after="120"/>
        <w:ind w:firstLine="709"/>
        <w:jc w:val="both"/>
        <w:outlineLvl w:val="3"/>
        <w:rPr>
          <w:szCs w:val="22"/>
          <w:lang w:val="ru-RU"/>
        </w:rPr>
      </w:pPr>
      <w:r>
        <w:rPr>
          <w:szCs w:val="22"/>
          <w:lang w:val="ru-RU"/>
        </w:rPr>
        <w:t xml:space="preserve">Начиная с апреля 2020 года к объемам согласованных </w:t>
      </w:r>
      <w:r>
        <w:rPr>
          <w:rFonts w:cs="Arial"/>
          <w:szCs w:val="22"/>
          <w:lang w:val="ru-RU" w:eastAsia="ru-RU"/>
        </w:rPr>
        <w:t xml:space="preserve">плановых ремонтных снижений </w:t>
      </w:r>
      <w:r>
        <w:rPr>
          <w:szCs w:val="22"/>
          <w:lang w:val="ru-RU"/>
        </w:rPr>
        <w:t xml:space="preserve">мощности, определяемых в соответствии с п. 3.4.6.1 </w:t>
      </w:r>
      <w:r>
        <w:rPr>
          <w:i/>
          <w:iCs/>
          <w:szCs w:val="22"/>
          <w:lang w:val="ru-RU"/>
        </w:rPr>
        <w:t>Регламента определения объемов фактически поставленной на оптовый рынок мощности</w:t>
      </w:r>
      <w:r>
        <w:rPr>
          <w:szCs w:val="22"/>
          <w:lang w:val="ru-RU"/>
        </w:rPr>
        <w:t xml:space="preserve"> (Приложение № 13 к </w:t>
      </w:r>
      <w:r>
        <w:rPr>
          <w:i/>
          <w:iCs/>
          <w:szCs w:val="22"/>
          <w:lang w:val="ru-RU"/>
        </w:rPr>
        <w:t>Договору о присоединении к торговой системе оптового рынка</w:t>
      </w:r>
      <w:r>
        <w:rPr>
          <w:szCs w:val="22"/>
          <w:lang w:val="ru-RU"/>
        </w:rPr>
        <w:t xml:space="preserve">), относятся также объемы снижений мощности, заявленные не позднее 10 часов 00 минут московского времени суток </w:t>
      </w:r>
      <w:r>
        <w:rPr>
          <w:i/>
          <w:szCs w:val="22"/>
          <w:lang w:val="ru-RU"/>
        </w:rPr>
        <w:t>Х</w:t>
      </w:r>
      <w:r>
        <w:rPr>
          <w:szCs w:val="22"/>
          <w:lang w:val="ru-RU"/>
        </w:rPr>
        <w:t xml:space="preserve">–2 (для второй неценовой зоны – до 10 часов 00 минут хабаровского времени суток </w:t>
      </w:r>
      <w:r>
        <w:rPr>
          <w:i/>
          <w:szCs w:val="22"/>
          <w:lang w:val="ru-RU"/>
        </w:rPr>
        <w:t>Х</w:t>
      </w:r>
      <w:r>
        <w:rPr>
          <w:szCs w:val="22"/>
          <w:lang w:val="ru-RU"/>
        </w:rPr>
        <w:t xml:space="preserve">–2) в уведомлении о составе и параметрах оборудования, поданном в отношении суток </w:t>
      </w:r>
      <w:r>
        <w:rPr>
          <w:i/>
          <w:szCs w:val="22"/>
          <w:lang w:val="ru-RU"/>
        </w:rPr>
        <w:t>Х</w:t>
      </w:r>
      <w:r>
        <w:rPr>
          <w:szCs w:val="22"/>
          <w:lang w:val="ru-RU"/>
        </w:rPr>
        <w:t>+2 (уведомление ВСВГО), и оформленные разрешенными неплановыми/неотложными диспетчерскими заявками, связанные:</w:t>
      </w:r>
    </w:p>
    <w:p w:rsidR="00390469" w:rsidRDefault="00720E40">
      <w:pPr>
        <w:tabs>
          <w:tab w:val="left" w:pos="993"/>
        </w:tabs>
        <w:spacing w:before="120" w:after="120"/>
        <w:ind w:firstLine="709"/>
        <w:jc w:val="both"/>
        <w:outlineLvl w:val="3"/>
        <w:rPr>
          <w:szCs w:val="22"/>
          <w:lang w:val="ru-RU"/>
        </w:rPr>
      </w:pPr>
      <w:r>
        <w:rPr>
          <w:szCs w:val="22"/>
          <w:lang w:val="ru-RU"/>
        </w:rPr>
        <w:t xml:space="preserve">1) с продлением плановых ремонтов генерирующего оборудования, включенных в месячный график ремонтов, а также продлением ремонтов, указанных в подпункте 2 настоящего пункта, при выполнении условий: </w:t>
      </w:r>
    </w:p>
    <w:p w:rsidR="00390469" w:rsidRDefault="00720E40">
      <w:pPr>
        <w:pStyle w:val="a5"/>
        <w:numPr>
          <w:ilvl w:val="1"/>
          <w:numId w:val="2"/>
        </w:numPr>
        <w:overflowPunct/>
        <w:autoSpaceDE/>
        <w:autoSpaceDN/>
        <w:adjustRightInd/>
        <w:spacing w:before="120" w:after="120"/>
        <w:ind w:left="993"/>
        <w:jc w:val="both"/>
        <w:textAlignment w:val="auto"/>
        <w:outlineLvl w:val="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дата начала такого ремонта не позднее даты окончания периода нерабочих дней, установленного актами Президента Российской Федерации; </w:t>
      </w:r>
    </w:p>
    <w:p w:rsidR="00390469" w:rsidRDefault="00720E40">
      <w:pPr>
        <w:pStyle w:val="a5"/>
        <w:numPr>
          <w:ilvl w:val="1"/>
          <w:numId w:val="2"/>
        </w:numPr>
        <w:overflowPunct/>
        <w:autoSpaceDE/>
        <w:autoSpaceDN/>
        <w:adjustRightInd/>
        <w:spacing w:before="120" w:after="120"/>
        <w:ind w:left="993"/>
        <w:jc w:val="both"/>
        <w:textAlignment w:val="auto"/>
        <w:outlineLvl w:val="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ремонт продляется на период, длительность которого не превышает количество дней между наиболее поздней датой из даты начала ремонта и 30 марта 2020 года и датой окончания периода нерабочих дней, установленного актами Президента Российской Федерации; </w:t>
      </w:r>
    </w:p>
    <w:p w:rsidR="00390469" w:rsidRDefault="00720E40">
      <w:pPr>
        <w:pStyle w:val="a5"/>
        <w:numPr>
          <w:ilvl w:val="1"/>
          <w:numId w:val="2"/>
        </w:numPr>
        <w:overflowPunct/>
        <w:autoSpaceDE/>
        <w:autoSpaceDN/>
        <w:adjustRightInd/>
        <w:spacing w:before="120" w:after="120"/>
        <w:ind w:left="993"/>
        <w:jc w:val="both"/>
        <w:textAlignment w:val="auto"/>
        <w:outlineLvl w:val="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в период, предшествующий такому ремонту, генерирующее оборудование находилось во включенном состоянии или холодном резерве; </w:t>
      </w:r>
    </w:p>
    <w:p w:rsidR="00390469" w:rsidRDefault="00720E40">
      <w:pPr>
        <w:tabs>
          <w:tab w:val="left" w:pos="993"/>
        </w:tabs>
        <w:spacing w:before="120" w:after="120"/>
        <w:ind w:firstLine="709"/>
        <w:jc w:val="both"/>
        <w:outlineLvl w:val="3"/>
        <w:rPr>
          <w:szCs w:val="22"/>
          <w:lang w:val="ru-RU"/>
        </w:rPr>
      </w:pPr>
      <w:r>
        <w:rPr>
          <w:szCs w:val="22"/>
          <w:lang w:val="ru-RU"/>
        </w:rPr>
        <w:t xml:space="preserve">2) с проведением ранее запланированных, но не проведенных плановых ремонтов генерирующего оборудования, при выполнении условий: </w:t>
      </w:r>
    </w:p>
    <w:p w:rsidR="00390469" w:rsidRDefault="00720E40">
      <w:pPr>
        <w:pStyle w:val="a5"/>
        <w:numPr>
          <w:ilvl w:val="1"/>
          <w:numId w:val="2"/>
        </w:numPr>
        <w:overflowPunct/>
        <w:autoSpaceDE/>
        <w:autoSpaceDN/>
        <w:adjustRightInd/>
        <w:spacing w:before="120" w:after="120"/>
        <w:ind w:left="993"/>
        <w:jc w:val="both"/>
        <w:textAlignment w:val="auto"/>
        <w:outlineLvl w:val="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плановая дата начала ремонта приходилась на период нерабочих дней, установленный актами Президента Российской Федерации;</w:t>
      </w:r>
    </w:p>
    <w:p w:rsidR="00390469" w:rsidRDefault="00720E40">
      <w:pPr>
        <w:pStyle w:val="a5"/>
        <w:numPr>
          <w:ilvl w:val="1"/>
          <w:numId w:val="2"/>
        </w:numPr>
        <w:overflowPunct/>
        <w:autoSpaceDE/>
        <w:autoSpaceDN/>
        <w:adjustRightInd/>
        <w:spacing w:before="120" w:after="120"/>
        <w:ind w:left="993"/>
        <w:jc w:val="both"/>
        <w:textAlignment w:val="auto"/>
        <w:outlineLvl w:val="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длительность заявляемого ремонта не превышает длительности соответствующего ранее запланированного, но не проведенного планового ремонта генерирующего оборудования;</w:t>
      </w:r>
    </w:p>
    <w:p w:rsidR="00390469" w:rsidRDefault="00720E40">
      <w:pPr>
        <w:pStyle w:val="a5"/>
        <w:numPr>
          <w:ilvl w:val="1"/>
          <w:numId w:val="2"/>
        </w:numPr>
        <w:overflowPunct/>
        <w:autoSpaceDE/>
        <w:autoSpaceDN/>
        <w:adjustRightInd/>
        <w:spacing w:before="120" w:after="120"/>
        <w:ind w:left="993"/>
        <w:jc w:val="both"/>
        <w:textAlignment w:val="auto"/>
        <w:outlineLvl w:val="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дата начала проводимого ремонта приходится на период, заканчивающийся через 60 календарных дней после даты окончания периода нерабочих дней, установленного актами Президента Российской Федерации;</w:t>
      </w:r>
    </w:p>
    <w:p w:rsidR="00390469" w:rsidRDefault="00720E40">
      <w:pPr>
        <w:pStyle w:val="a5"/>
        <w:numPr>
          <w:ilvl w:val="1"/>
          <w:numId w:val="2"/>
        </w:numPr>
        <w:overflowPunct/>
        <w:autoSpaceDE/>
        <w:autoSpaceDN/>
        <w:adjustRightInd/>
        <w:spacing w:before="120" w:after="120"/>
        <w:ind w:left="993"/>
        <w:jc w:val="both"/>
        <w:textAlignment w:val="auto"/>
        <w:outlineLvl w:val="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в период, предшествующий такому ремонту, генерирующее оборудование находилось во включенном состоянии или холодном резерве.</w:t>
      </w:r>
    </w:p>
    <w:p w:rsidR="00390469" w:rsidRDefault="00390469">
      <w:pPr>
        <w:rPr>
          <w:lang w:val="ru-RU"/>
        </w:rPr>
      </w:pPr>
    </w:p>
    <w:p w:rsidR="00390469" w:rsidRDefault="00390469">
      <w:pPr>
        <w:pStyle w:val="1"/>
        <w:ind w:left="0"/>
        <w:rPr>
          <w:caps w:val="0"/>
          <w:lang w:val="ru-RU"/>
        </w:rPr>
      </w:pPr>
    </w:p>
    <w:p w:rsidR="00390469" w:rsidRDefault="00390469">
      <w:pPr>
        <w:pStyle w:val="a3"/>
        <w:rPr>
          <w:rFonts w:ascii="Garamond" w:hAnsi="Garamond"/>
          <w:b/>
          <w:szCs w:val="22"/>
          <w:lang w:val="ru-RU"/>
        </w:rPr>
      </w:pPr>
    </w:p>
    <w:p w:rsidR="00390469" w:rsidRDefault="00390469">
      <w:pPr>
        <w:pStyle w:val="a3"/>
        <w:ind w:firstLine="709"/>
        <w:rPr>
          <w:lang w:val="ru-RU"/>
        </w:rPr>
      </w:pPr>
    </w:p>
    <w:sectPr w:rsidR="00390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04844"/>
    <w:multiLevelType w:val="hybridMultilevel"/>
    <w:tmpl w:val="3E7CAE7C"/>
    <w:lvl w:ilvl="0" w:tplc="0419000F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11B4820E">
      <w:start w:val="10"/>
      <w:numFmt w:val="bullet"/>
      <w:lvlText w:val="–"/>
      <w:lvlJc w:val="left"/>
      <w:pPr>
        <w:ind w:left="2205" w:hanging="360"/>
      </w:pPr>
      <w:rPr>
        <w:rFonts w:ascii="Garamond" w:eastAsia="Times New Roman" w:hAnsi="Garamond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1">
    <w:nsid w:val="4F7E542A"/>
    <w:multiLevelType w:val="hybridMultilevel"/>
    <w:tmpl w:val="34E6CC26"/>
    <w:lvl w:ilvl="0" w:tplc="11B4820E">
      <w:start w:val="10"/>
      <w:numFmt w:val="bullet"/>
      <w:lvlText w:val="–"/>
      <w:lvlJc w:val="left"/>
      <w:pPr>
        <w:ind w:left="1429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3266DD"/>
    <w:multiLevelType w:val="hybridMultilevel"/>
    <w:tmpl w:val="E74E2A00"/>
    <w:lvl w:ilvl="0" w:tplc="11B4820E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cs="Times New Roman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69"/>
    <w:rsid w:val="00072FE6"/>
    <w:rsid w:val="000B28A8"/>
    <w:rsid w:val="00216DB0"/>
    <w:rsid w:val="002F0991"/>
    <w:rsid w:val="00390469"/>
    <w:rsid w:val="00590593"/>
    <w:rsid w:val="00720E40"/>
    <w:rsid w:val="00724D3D"/>
    <w:rsid w:val="00766629"/>
    <w:rsid w:val="00843ADB"/>
    <w:rsid w:val="008E5D0A"/>
    <w:rsid w:val="00EE482E"/>
    <w:rsid w:val="00F6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8A742-847D-48DD-A5A4-B8013553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80" w:after="60" w:line="240" w:lineRule="auto"/>
    </w:pPr>
    <w:rPr>
      <w:rFonts w:ascii="Garamond" w:eastAsia="Times New Roman" w:hAnsi="Garamond" w:cs="Times New Roman"/>
      <w:szCs w:val="20"/>
      <w:lang w:val="en-GB"/>
    </w:rPr>
  </w:style>
  <w:style w:type="paragraph" w:styleId="1">
    <w:name w:val="heading 1"/>
    <w:aliases w:val="Заголовок параграфа (1.),Section,level2 hdg,111"/>
    <w:basedOn w:val="a"/>
    <w:link w:val="10"/>
    <w:autoRedefine/>
    <w:uiPriority w:val="99"/>
    <w:qFormat/>
    <w:pPr>
      <w:spacing w:before="120" w:after="120"/>
      <w:ind w:left="709"/>
      <w:jc w:val="both"/>
      <w:outlineLvl w:val="0"/>
    </w:pPr>
    <w:rPr>
      <w:b/>
      <w:bCs/>
      <w:caps/>
      <w:color w:val="000000"/>
      <w:kern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0"/>
    <w:link w:val="1"/>
    <w:uiPriority w:val="99"/>
    <w:rPr>
      <w:rFonts w:ascii="Garamond" w:eastAsia="Times New Roman" w:hAnsi="Garamond" w:cs="Times New Roman"/>
      <w:b/>
      <w:bCs/>
      <w:caps/>
      <w:color w:val="000000"/>
      <w:kern w:val="28"/>
      <w:lang w:val="en-GB"/>
    </w:rPr>
  </w:style>
  <w:style w:type="paragraph" w:styleId="a3">
    <w:name w:val="Body Text"/>
    <w:aliases w:val="body text"/>
    <w:basedOn w:val="a"/>
    <w:link w:val="a4"/>
    <w:pPr>
      <w:spacing w:before="120" w:after="120"/>
      <w:jc w:val="both"/>
    </w:pPr>
    <w:rPr>
      <w:rFonts w:ascii="Times New Roman" w:hAnsi="Times New Roman"/>
    </w:rPr>
  </w:style>
  <w:style w:type="character" w:customStyle="1" w:styleId="a4">
    <w:name w:val="Основной текст Знак"/>
    <w:aliases w:val="body text Знак"/>
    <w:basedOn w:val="a0"/>
    <w:link w:val="a3"/>
    <w:rPr>
      <w:rFonts w:ascii="Times New Roman" w:eastAsia="Times New Roman" w:hAnsi="Times New Roman" w:cs="Times New Roman"/>
      <w:szCs w:val="20"/>
      <w:lang w:val="en-GB"/>
    </w:rPr>
  </w:style>
  <w:style w:type="paragraph" w:styleId="a5">
    <w:name w:val="List Paragraph"/>
    <w:basedOn w:val="a"/>
    <w:uiPriority w:val="34"/>
    <w:qFormat/>
    <w:pPr>
      <w:overflowPunct w:val="0"/>
      <w:autoSpaceDE w:val="0"/>
      <w:autoSpaceDN w:val="0"/>
      <w:adjustRightInd w:val="0"/>
      <w:spacing w:before="0" w:after="0"/>
      <w:ind w:left="720" w:hanging="180"/>
      <w:contextualSpacing/>
      <w:textAlignment w:val="baseline"/>
    </w:pPr>
    <w:rPr>
      <w:rFonts w:ascii="Verdana" w:hAnsi="Verdana"/>
      <w:sz w:val="16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eastAsia="Times New Roman" w:hAnsi="Segoe UI" w:cs="Segoe UI"/>
      <w:sz w:val="18"/>
      <w:szCs w:val="18"/>
      <w:lang w:val="en-GB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rFonts w:ascii="Garamond" w:eastAsia="Times New Roman" w:hAnsi="Garamond" w:cs="Times New Roman"/>
      <w:sz w:val="20"/>
      <w:szCs w:val="20"/>
      <w:lang w:val="en-GB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Pr>
      <w:rFonts w:ascii="Garamond" w:eastAsia="Times New Roman" w:hAnsi="Garamond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9EC1C-2B45-472C-88E3-E523FD942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ats</Company>
  <LinksUpToDate>false</LinksUpToDate>
  <CharactersWithSpaces>10504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Пряхина Ирина Игоревна</cp:lastModifiedBy>
  <cp:revision>8</cp:revision>
  <dcterms:created xsi:type="dcterms:W3CDTF">2020-04-28T08:30:00Z</dcterms:created>
  <dcterms:modified xsi:type="dcterms:W3CDTF">2020-04-28T10:11:00Z</dcterms:modified>
</cp:coreProperties>
</file>