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6B12" w14:textId="7315617F" w:rsidR="00407174" w:rsidRDefault="00FD4C69" w:rsidP="00E7531D">
      <w:pPr>
        <w:widowControl w:val="0"/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>V</w:t>
      </w:r>
      <w:r w:rsidRPr="00FD4C69">
        <w:rPr>
          <w:rFonts w:ascii="Garamond" w:hAnsi="Garamond"/>
          <w:b/>
          <w:sz w:val="28"/>
          <w:szCs w:val="28"/>
        </w:rPr>
        <w:t>.</w:t>
      </w:r>
      <w:r w:rsidR="00E204C5">
        <w:rPr>
          <w:rFonts w:ascii="Garamond" w:hAnsi="Garamond"/>
          <w:b/>
          <w:sz w:val="28"/>
          <w:szCs w:val="28"/>
        </w:rPr>
        <w:t>1</w:t>
      </w:r>
      <w:r w:rsidRPr="00FD4C69">
        <w:rPr>
          <w:rFonts w:ascii="Garamond" w:hAnsi="Garamond"/>
          <w:b/>
          <w:sz w:val="28"/>
          <w:szCs w:val="28"/>
        </w:rPr>
        <w:t xml:space="preserve">. </w:t>
      </w:r>
      <w:r w:rsidR="00AB250C">
        <w:rPr>
          <w:rFonts w:ascii="Garamond" w:hAnsi="Garamond"/>
          <w:b/>
          <w:sz w:val="28"/>
          <w:szCs w:val="28"/>
        </w:rPr>
        <w:t>Изменения, связанные c</w:t>
      </w:r>
      <w:r w:rsidR="0042341A">
        <w:rPr>
          <w:rFonts w:ascii="Garamond" w:hAnsi="Garamond"/>
          <w:b/>
          <w:sz w:val="28"/>
          <w:szCs w:val="28"/>
        </w:rPr>
        <w:t xml:space="preserve"> уточнением порядка</w:t>
      </w:r>
      <w:r w:rsidR="00AB250C">
        <w:rPr>
          <w:rFonts w:ascii="Garamond" w:hAnsi="Garamond"/>
          <w:b/>
          <w:sz w:val="28"/>
          <w:szCs w:val="28"/>
        </w:rPr>
        <w:t xml:space="preserve"> заключени</w:t>
      </w:r>
      <w:r w:rsidR="0042341A">
        <w:rPr>
          <w:rFonts w:ascii="Garamond" w:hAnsi="Garamond"/>
          <w:b/>
          <w:sz w:val="28"/>
          <w:szCs w:val="28"/>
        </w:rPr>
        <w:t>я</w:t>
      </w:r>
      <w:r w:rsidR="00AB250C">
        <w:rPr>
          <w:rFonts w:ascii="Garamond" w:hAnsi="Garamond"/>
          <w:b/>
          <w:sz w:val="28"/>
          <w:szCs w:val="28"/>
        </w:rPr>
        <w:t xml:space="preserve"> дополнител</w:t>
      </w:r>
      <w:r w:rsidR="00E7531D">
        <w:rPr>
          <w:rFonts w:ascii="Garamond" w:hAnsi="Garamond"/>
          <w:b/>
          <w:sz w:val="28"/>
          <w:szCs w:val="28"/>
        </w:rPr>
        <w:t>ьных соглашений к соглашениям о </w:t>
      </w:r>
      <w:r w:rsidR="00AB250C">
        <w:rPr>
          <w:rFonts w:ascii="Garamond" w:hAnsi="Garamond"/>
          <w:b/>
          <w:sz w:val="28"/>
          <w:szCs w:val="28"/>
        </w:rPr>
        <w:t xml:space="preserve">порядке исполнения обязательств </w:t>
      </w:r>
    </w:p>
    <w:p w14:paraId="612C33B4" w14:textId="77777777" w:rsidR="006847C6" w:rsidRDefault="006847C6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p w14:paraId="77C879FF" w14:textId="141BA68E" w:rsidR="00407174" w:rsidRPr="00E204C5" w:rsidRDefault="006F0865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="00FD4C69">
        <w:rPr>
          <w:rFonts w:ascii="Garamond" w:hAnsi="Garamond"/>
          <w:b/>
          <w:sz w:val="28"/>
          <w:szCs w:val="28"/>
          <w:lang w:val="en-US"/>
        </w:rPr>
        <w:t>5.</w:t>
      </w:r>
      <w:r w:rsidR="00E204C5">
        <w:rPr>
          <w:rFonts w:ascii="Garamond" w:hAnsi="Garamond"/>
          <w:b/>
          <w:sz w:val="28"/>
          <w:szCs w:val="28"/>
        </w:rPr>
        <w:t>1</w:t>
      </w:r>
    </w:p>
    <w:p w14:paraId="60FD2445" w14:textId="77777777" w:rsidR="00407174" w:rsidRDefault="00407174" w:rsidP="00E7531D">
      <w:pPr>
        <w:widowControl w:val="0"/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407174" w14:paraId="232C425D" w14:textId="77777777" w:rsidTr="00D5290E">
        <w:trPr>
          <w:trHeight w:val="713"/>
        </w:trPr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5FD" w14:textId="267A4EEB" w:rsidR="00407174" w:rsidRDefault="00AB250C" w:rsidP="00E7531D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 w:rsidR="00CD1AB2">
              <w:rPr>
                <w:rFonts w:ascii="Garamond" w:hAnsi="Garamond"/>
                <w:sz w:val="24"/>
                <w:szCs w:val="24"/>
              </w:rPr>
              <w:t>Ассоциация «НП Совет рынка»</w:t>
            </w:r>
            <w:r w:rsidR="00901521">
              <w:rPr>
                <w:rFonts w:ascii="Garamond" w:hAnsi="Garamond"/>
                <w:sz w:val="24"/>
                <w:szCs w:val="24"/>
              </w:rPr>
              <w:t>.</w:t>
            </w:r>
          </w:p>
          <w:p w14:paraId="4CA0AC77" w14:textId="43FA4A73" w:rsidR="00407174" w:rsidRDefault="00AB250C" w:rsidP="00E753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E7531D">
              <w:rPr>
                <w:rFonts w:ascii="Garamond" w:hAnsi="Garamond"/>
                <w:sz w:val="24"/>
                <w:szCs w:val="24"/>
              </w:rPr>
              <w:t>н</w:t>
            </w:r>
            <w:r>
              <w:rPr>
                <w:rFonts w:ascii="Garamond" w:hAnsi="Garamond"/>
                <w:sz w:val="24"/>
                <w:szCs w:val="24"/>
              </w:rPr>
              <w:t xml:space="preserve">еобходимо </w:t>
            </w:r>
            <w:r w:rsidR="00CD1AB2">
              <w:rPr>
                <w:rFonts w:ascii="Garamond" w:hAnsi="Garamond"/>
                <w:sz w:val="24"/>
                <w:szCs w:val="24"/>
              </w:rPr>
              <w:t>уточнит</w:t>
            </w:r>
            <w:r w:rsidR="00462AE5">
              <w:rPr>
                <w:rFonts w:ascii="Garamond" w:hAnsi="Garamond"/>
                <w:sz w:val="24"/>
                <w:szCs w:val="24"/>
              </w:rPr>
              <w:t>ь</w:t>
            </w:r>
            <w:r>
              <w:rPr>
                <w:rFonts w:ascii="Garamond" w:hAnsi="Garamond"/>
                <w:sz w:val="24"/>
                <w:szCs w:val="24"/>
              </w:rPr>
              <w:t xml:space="preserve"> поряд</w:t>
            </w:r>
            <w:r w:rsidR="00462AE5">
              <w:rPr>
                <w:rFonts w:ascii="Garamond" w:hAnsi="Garamond"/>
                <w:sz w:val="24"/>
                <w:szCs w:val="24"/>
              </w:rPr>
              <w:t>о</w:t>
            </w:r>
            <w:r>
              <w:rPr>
                <w:rFonts w:ascii="Garamond" w:hAnsi="Garamond"/>
                <w:sz w:val="24"/>
                <w:szCs w:val="24"/>
              </w:rPr>
              <w:t>к заключения дополнительных соглашений к соглашениям о порядке исполнения обязательств</w:t>
            </w:r>
            <w:r w:rsidR="0042341A">
              <w:rPr>
                <w:rFonts w:ascii="Garamond" w:hAnsi="Garamond"/>
                <w:sz w:val="24"/>
                <w:szCs w:val="24"/>
              </w:rPr>
              <w:t xml:space="preserve"> в связи с тем, что </w:t>
            </w:r>
            <w:r w:rsidR="00DC7F6A">
              <w:rPr>
                <w:rFonts w:ascii="Garamond" w:hAnsi="Garamond"/>
                <w:sz w:val="24"/>
                <w:szCs w:val="24"/>
              </w:rPr>
              <w:t>доп</w:t>
            </w:r>
            <w:r w:rsidR="003371FB">
              <w:rPr>
                <w:rFonts w:ascii="Garamond" w:hAnsi="Garamond"/>
                <w:sz w:val="24"/>
                <w:szCs w:val="24"/>
              </w:rPr>
              <w:t xml:space="preserve">олнительные </w:t>
            </w:r>
            <w:r w:rsidR="00DC7F6A">
              <w:rPr>
                <w:rFonts w:ascii="Garamond" w:hAnsi="Garamond"/>
                <w:sz w:val="24"/>
                <w:szCs w:val="24"/>
              </w:rPr>
              <w:t>соглашения</w:t>
            </w:r>
            <w:r w:rsidR="0042341A">
              <w:rPr>
                <w:rFonts w:ascii="Garamond" w:hAnsi="Garamond"/>
                <w:sz w:val="24"/>
                <w:szCs w:val="24"/>
              </w:rPr>
              <w:t xml:space="preserve"> по условиям расчетов в </w:t>
            </w:r>
            <w:bookmarkStart w:id="0" w:name="_GoBack"/>
            <w:bookmarkEnd w:id="0"/>
            <w:r w:rsidR="0042341A">
              <w:rPr>
                <w:rFonts w:ascii="Garamond" w:hAnsi="Garamond"/>
                <w:sz w:val="24"/>
                <w:szCs w:val="24"/>
                <w:lang w:val="en-US"/>
              </w:rPr>
              <w:t>II</w:t>
            </w:r>
            <w:r w:rsidR="00901521">
              <w:rPr>
                <w:rFonts w:ascii="Garamond" w:hAnsi="Garamond"/>
                <w:sz w:val="24"/>
                <w:szCs w:val="24"/>
              </w:rPr>
              <w:t>–</w:t>
            </w:r>
            <w:r w:rsidR="0042341A">
              <w:rPr>
                <w:rFonts w:ascii="Garamond" w:hAnsi="Garamond"/>
                <w:sz w:val="24"/>
                <w:szCs w:val="24"/>
                <w:lang w:val="en-US"/>
              </w:rPr>
              <w:t>IV</w:t>
            </w:r>
            <w:r w:rsidR="0042341A">
              <w:rPr>
                <w:rFonts w:ascii="Garamond" w:hAnsi="Garamond"/>
                <w:sz w:val="24"/>
                <w:szCs w:val="24"/>
              </w:rPr>
              <w:t xml:space="preserve"> кварталах</w:t>
            </w:r>
            <w:r w:rsidR="003371F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42341A">
              <w:rPr>
                <w:rFonts w:ascii="Garamond" w:hAnsi="Garamond"/>
                <w:sz w:val="24"/>
                <w:szCs w:val="24"/>
              </w:rPr>
              <w:t xml:space="preserve">2022 года необходимо заключать только с одним покупателем </w:t>
            </w:r>
            <w:r w:rsidR="00901521">
              <w:rPr>
                <w:rFonts w:ascii="Garamond" w:hAnsi="Garamond"/>
                <w:sz w:val="24"/>
                <w:szCs w:val="24"/>
              </w:rPr>
              <w:t>–</w:t>
            </w:r>
            <w:r w:rsidR="0042341A">
              <w:rPr>
                <w:rFonts w:ascii="Garamond" w:hAnsi="Garamond"/>
                <w:sz w:val="24"/>
                <w:szCs w:val="24"/>
              </w:rPr>
              <w:t xml:space="preserve"> ПАО «Россети Северный Кавказ»</w:t>
            </w:r>
            <w:r w:rsidR="001E0922">
              <w:rPr>
                <w:rFonts w:ascii="Garamond" w:hAnsi="Garamond"/>
                <w:sz w:val="24"/>
                <w:szCs w:val="24"/>
              </w:rPr>
              <w:t>.</w:t>
            </w:r>
          </w:p>
          <w:p w14:paraId="4B053E1A" w14:textId="77777777" w:rsidR="00407174" w:rsidRDefault="00AB250C" w:rsidP="00CD1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A55313">
              <w:rPr>
                <w:rFonts w:ascii="Garamond" w:hAnsi="Garamond"/>
                <w:sz w:val="24"/>
                <w:szCs w:val="24"/>
              </w:rPr>
              <w:t>2</w:t>
            </w:r>
            <w:r w:rsidR="00CD1AB2">
              <w:rPr>
                <w:rFonts w:ascii="Garamond" w:hAnsi="Garamond"/>
                <w:sz w:val="24"/>
                <w:szCs w:val="24"/>
              </w:rPr>
              <w:t>3</w:t>
            </w:r>
            <w:r w:rsidR="00A5531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D1AB2">
              <w:rPr>
                <w:rFonts w:ascii="Garamond" w:hAnsi="Garamond"/>
                <w:sz w:val="24"/>
                <w:szCs w:val="24"/>
              </w:rPr>
              <w:t>января</w:t>
            </w:r>
            <w:r w:rsidR="00A55313">
              <w:rPr>
                <w:rFonts w:ascii="Garamond" w:hAnsi="Garamond"/>
                <w:sz w:val="24"/>
                <w:szCs w:val="24"/>
              </w:rPr>
              <w:t xml:space="preserve"> 202</w:t>
            </w:r>
            <w:r w:rsidR="00CD1AB2">
              <w:rPr>
                <w:rFonts w:ascii="Garamond" w:hAnsi="Garamond"/>
                <w:sz w:val="24"/>
                <w:szCs w:val="24"/>
              </w:rPr>
              <w:t>3</w:t>
            </w:r>
            <w:r w:rsidR="00A55313">
              <w:rPr>
                <w:rFonts w:ascii="Garamond" w:hAnsi="Garamond"/>
                <w:sz w:val="24"/>
                <w:szCs w:val="24"/>
              </w:rPr>
              <w:t xml:space="preserve"> года. </w:t>
            </w:r>
          </w:p>
        </w:tc>
      </w:tr>
    </w:tbl>
    <w:p w14:paraId="73FAB83B" w14:textId="77777777" w:rsidR="00407174" w:rsidRDefault="00407174" w:rsidP="00E7531D">
      <w:pPr>
        <w:spacing w:after="0" w:line="240" w:lineRule="auto"/>
        <w:rPr>
          <w:rFonts w:ascii="Garamond" w:hAnsi="Garamond"/>
        </w:rPr>
      </w:pPr>
    </w:p>
    <w:p w14:paraId="747AB674" w14:textId="77777777" w:rsidR="00407174" w:rsidRDefault="00AB250C" w:rsidP="00E7531D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sz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14:paraId="22B66645" w14:textId="77777777" w:rsidR="00407174" w:rsidRDefault="00407174" w:rsidP="00E7531D">
      <w:pPr>
        <w:tabs>
          <w:tab w:val="left" w:pos="709"/>
        </w:tabs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821"/>
        <w:gridCol w:w="7089"/>
      </w:tblGrid>
      <w:tr w:rsidR="00407174" w14:paraId="3A498B8A" w14:textId="77777777" w:rsidTr="00CD1AB2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2EB8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№</w:t>
            </w:r>
          </w:p>
          <w:p w14:paraId="65D337E3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lang w:val="en-GB"/>
              </w:rPr>
            </w:pPr>
            <w:r>
              <w:rPr>
                <w:rFonts w:ascii="Garamond" w:hAnsi="Garamond" w:cs="Garamond"/>
                <w:b/>
                <w:bCs/>
              </w:rPr>
              <w:t>пункта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E0A5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Редакция, действующая на момент </w:t>
            </w:r>
          </w:p>
          <w:p w14:paraId="5C9E0A55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вступления в силу изменений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4A67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Предлагаемая редакция</w:t>
            </w:r>
          </w:p>
          <w:p w14:paraId="1DD61DFF" w14:textId="77777777" w:rsidR="00407174" w:rsidRDefault="00AB250C" w:rsidP="00E7531D">
            <w:pPr>
              <w:spacing w:after="0" w:line="240" w:lineRule="auto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(изменения выделены цветом)</w:t>
            </w:r>
          </w:p>
        </w:tc>
      </w:tr>
      <w:tr w:rsidR="00407174" w14:paraId="4B7BB60B" w14:textId="77777777" w:rsidTr="00CD1AB2">
        <w:trPr>
          <w:trHeight w:val="646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B070C" w14:textId="77777777" w:rsidR="00407174" w:rsidRDefault="00AB250C">
            <w:pPr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b/>
                <w:color w:val="000000"/>
              </w:rPr>
              <w:t>18</w:t>
            </w:r>
            <w:r>
              <w:rPr>
                <w:rFonts w:ascii="Garamond" w:hAnsi="Garamond"/>
                <w:b/>
              </w:rPr>
              <w:t>´</w:t>
            </w:r>
            <w:r>
              <w:rPr>
                <w:rFonts w:ascii="Garamond" w:hAnsi="Garamond"/>
                <w:b/>
                <w:color w:val="000000"/>
              </w:rPr>
              <w:t>.18.1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000" w14:textId="77777777" w:rsidR="00CD1AB2" w:rsidRPr="00CD1AB2" w:rsidRDefault="00CD1AB2" w:rsidP="00CD1AB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/>
                <w:bCs/>
              </w:rPr>
            </w:pPr>
            <w:r w:rsidRPr="00CD1AB2">
              <w:rPr>
                <w:rFonts w:ascii="Garamond" w:eastAsia="Times New Roman" w:hAnsi="Garamond"/>
              </w:rPr>
              <w:t>Продавцы</w:t>
            </w:r>
            <w:r w:rsidRPr="00CD1AB2">
              <w:rPr>
                <w:rFonts w:ascii="Garamond" w:hAnsi="Garamond"/>
              </w:rPr>
              <w:t xml:space="preserve"> и покупател</w:t>
            </w:r>
            <w:r w:rsidRPr="00CD1AB2">
              <w:rPr>
                <w:rFonts w:ascii="Garamond" w:hAnsi="Garamond"/>
                <w:highlight w:val="yellow"/>
              </w:rPr>
              <w:t>и</w:t>
            </w:r>
            <w:r w:rsidRPr="00CD1AB2">
              <w:rPr>
                <w:rFonts w:ascii="Garamond" w:eastAsia="Times New Roman" w:hAnsi="Garamond"/>
              </w:rPr>
              <w:t xml:space="preserve">, заключившие соглашение о порядке исполнения обязательств </w:t>
            </w:r>
            <w:r w:rsidRPr="00CD1AB2">
              <w:rPr>
                <w:rFonts w:ascii="Garamond" w:hAnsi="Garamond"/>
              </w:rPr>
              <w:t xml:space="preserve">на условиях варианта 1 (Оплата векселями) приложения 2 к соглашению, в срок до 24.02.2023 </w:t>
            </w:r>
            <w:r w:rsidRPr="00CD1AB2">
              <w:rPr>
                <w:rFonts w:ascii="Garamond" w:eastAsia="Times New Roman" w:hAnsi="Garamond"/>
              </w:rPr>
              <w:t xml:space="preserve">подписывают </w:t>
            </w:r>
            <w:r w:rsidRPr="00CD1AB2">
              <w:rPr>
                <w:rFonts w:ascii="Garamond" w:hAnsi="Garamond"/>
                <w:color w:val="000000"/>
              </w:rPr>
              <w:t>с применением электронной подписи</w:t>
            </w:r>
            <w:r w:rsidRPr="00CD1AB2">
              <w:rPr>
                <w:rFonts w:ascii="Garamond" w:eastAsia="Times New Roman" w:hAnsi="Garamond"/>
              </w:rPr>
              <w:t xml:space="preserve"> дополнительные соглашения к </w:t>
            </w:r>
            <w:r w:rsidRPr="00CD1AB2">
              <w:rPr>
                <w:rFonts w:ascii="Garamond" w:eastAsia="Times New Roman" w:hAnsi="Garamond"/>
                <w:lang w:val="en-US"/>
              </w:rPr>
              <w:t>c</w:t>
            </w:r>
            <w:r w:rsidRPr="00CD1AB2">
              <w:rPr>
                <w:rFonts w:ascii="Garamond" w:eastAsia="Times New Roman" w:hAnsi="Garamond"/>
              </w:rPr>
              <w:t xml:space="preserve">оглашениям о порядке исполнения обязательств по форме приложения 114.15а к настоящему Регламенту в порядке, предусмотренном п. </w:t>
            </w:r>
            <w:r w:rsidRPr="00CD1AB2">
              <w:rPr>
                <w:rFonts w:ascii="Garamond" w:hAnsi="Garamond"/>
                <w:bCs/>
              </w:rPr>
              <w:t>18´.26 настоящего Регламента.</w:t>
            </w:r>
          </w:p>
          <w:p w14:paraId="4BA04545" w14:textId="77777777" w:rsidR="00CD1AB2" w:rsidRPr="00CD1AB2" w:rsidRDefault="00CD1AB2" w:rsidP="00CD1AB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 w:cs="Garamond"/>
                <w:bCs/>
              </w:rPr>
            </w:pPr>
            <w:r w:rsidRPr="00CD1AB2">
              <w:rPr>
                <w:rFonts w:ascii="Garamond" w:eastAsia="Times New Roman" w:hAnsi="Garamond"/>
              </w:rPr>
              <w:t xml:space="preserve">В целях фиксации на 2023 год </w:t>
            </w:r>
            <w:r w:rsidRPr="00CD1AB2">
              <w:rPr>
                <w:rFonts w:ascii="Garamond" w:eastAsiaTheme="minorHAnsi" w:hAnsi="Garamond"/>
              </w:rPr>
              <w:t xml:space="preserve">соотношения цены покупаемого векселя к его номиналу или доли расчетов денежными средствами через уполномоченную кредитную организацию </w:t>
            </w:r>
            <w:r w:rsidRPr="00CD1AB2">
              <w:rPr>
                <w:rFonts w:ascii="Garamond" w:eastAsia="Times New Roman" w:hAnsi="Garamond"/>
              </w:rPr>
              <w:t xml:space="preserve">продавцы и покупатели, заключившие соглашение о порядке исполнения обязательств, </w:t>
            </w:r>
            <w:r w:rsidRPr="00CD1AB2">
              <w:rPr>
                <w:rFonts w:ascii="Garamond" w:eastAsiaTheme="minorHAnsi" w:hAnsi="Garamond"/>
              </w:rPr>
              <w:t xml:space="preserve">в срок до 24.02.2023 </w:t>
            </w:r>
            <w:r w:rsidRPr="00CD1AB2">
              <w:rPr>
                <w:rFonts w:ascii="Garamond" w:eastAsia="Times New Roman" w:hAnsi="Garamond"/>
              </w:rPr>
              <w:t xml:space="preserve">подписывают </w:t>
            </w:r>
            <w:r w:rsidRPr="00CD1AB2">
              <w:rPr>
                <w:rFonts w:ascii="Garamond" w:hAnsi="Garamond"/>
                <w:color w:val="000000"/>
              </w:rPr>
              <w:t>с применением электронной подписи</w:t>
            </w:r>
            <w:r w:rsidRPr="00CD1AB2">
              <w:rPr>
                <w:rFonts w:ascii="Garamond" w:eastAsia="Times New Roman" w:hAnsi="Garamond"/>
              </w:rPr>
              <w:t xml:space="preserve"> дополнительные соглашения к </w:t>
            </w:r>
            <w:r w:rsidRPr="00CD1AB2">
              <w:rPr>
                <w:rFonts w:ascii="Garamond" w:eastAsia="Times New Roman" w:hAnsi="Garamond"/>
                <w:lang w:val="en-US"/>
              </w:rPr>
              <w:t>c</w:t>
            </w:r>
            <w:r w:rsidRPr="00CD1AB2">
              <w:rPr>
                <w:rFonts w:ascii="Garamond" w:eastAsia="Times New Roman" w:hAnsi="Garamond"/>
              </w:rPr>
              <w:t xml:space="preserve">оглашениям о порядке исполнения обязательств по форме приложения 114.15б к настоящему Регламенту в порядке, предусмотренном п. </w:t>
            </w:r>
            <w:r w:rsidRPr="00CD1AB2">
              <w:rPr>
                <w:rFonts w:ascii="Garamond" w:hAnsi="Garamond" w:cs="Garamond"/>
                <w:bCs/>
              </w:rPr>
              <w:t>18´.26 настоящего Регламента.</w:t>
            </w:r>
          </w:p>
          <w:p w14:paraId="5E8E36AA" w14:textId="77777777" w:rsidR="00CD1AB2" w:rsidRPr="00CD1AB2" w:rsidRDefault="00CD1AB2" w:rsidP="00CD1AB2">
            <w:pPr>
              <w:tabs>
                <w:tab w:val="left" w:pos="953"/>
              </w:tabs>
              <w:spacing w:before="60" w:after="0"/>
              <w:ind w:left="38" w:firstLine="567"/>
              <w:jc w:val="both"/>
              <w:rPr>
                <w:rFonts w:ascii="Garamond" w:hAnsi="Garamond"/>
              </w:rPr>
            </w:pPr>
            <w:r w:rsidRPr="00CD1AB2">
              <w:rPr>
                <w:rFonts w:ascii="Garamond" w:hAnsi="Garamond"/>
              </w:rPr>
              <w:t xml:space="preserve">Совет рынка передает ЦФР подписанные сторонами дополнительные соглашения к соглашениям о порядке исполнения </w:t>
            </w:r>
            <w:r w:rsidRPr="00CD1AB2">
              <w:rPr>
                <w:rFonts w:ascii="Garamond" w:hAnsi="Garamond"/>
              </w:rPr>
              <w:lastRenderedPageBreak/>
              <w:t>обязательств по формам приложений 114.15а, 114.15б к настоящему Регламенту и реестр заключенных участниками оптового рынка дополнительных соглашений в формате, согласованном с ЦФР, не позднее 27.02.2023.</w:t>
            </w:r>
          </w:p>
          <w:p w14:paraId="10D4065B" w14:textId="77777777" w:rsidR="00CD1AB2" w:rsidRPr="00CD1AB2" w:rsidRDefault="00CD1AB2" w:rsidP="00CD1AB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hAnsi="Garamond"/>
              </w:rPr>
            </w:pPr>
            <w:r w:rsidRPr="00CD1AB2">
              <w:rPr>
                <w:rFonts w:ascii="Garamond" w:hAnsi="Garamond"/>
              </w:rPr>
              <w:t xml:space="preserve">При этом дополнительные соглашения к соглашениям о порядке исполнения обязательств </w:t>
            </w:r>
            <w:r w:rsidRPr="00CD1AB2">
              <w:rPr>
                <w:rFonts w:ascii="Garamond" w:eastAsia="Times New Roman" w:hAnsi="Garamond"/>
              </w:rPr>
              <w:t>по форме приложения 114.15а</w:t>
            </w:r>
            <w:r w:rsidRPr="00CD1AB2">
              <w:rPr>
                <w:rFonts w:ascii="Garamond" w:hAnsi="Garamond"/>
              </w:rPr>
              <w:t xml:space="preserve"> и реестр заключенных дополнительных соглашений Совет рынка передает в ЦФР при соблюдении одновременно следующих условий:</w:t>
            </w:r>
          </w:p>
          <w:p w14:paraId="3104886F" w14:textId="77777777" w:rsidR="00CD1AB2" w:rsidRPr="00CD1AB2" w:rsidRDefault="00CD1AB2" w:rsidP="00CD1AB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lang w:val="ru-RU"/>
              </w:rPr>
            </w:pPr>
            <w:r w:rsidRPr="00CD1AB2">
              <w:rPr>
                <w:szCs w:val="22"/>
                <w:lang w:val="ru-RU"/>
              </w:rPr>
              <w:t xml:space="preserve"> дополнительные соглашения полностью соответствуют по форме и содержанию дополнительным </w:t>
            </w:r>
            <w:r w:rsidRPr="00CD1AB2">
              <w:rPr>
                <w:color w:val="000000"/>
                <w:szCs w:val="22"/>
                <w:lang w:val="ru-RU"/>
              </w:rPr>
              <w:t>соглашениям</w:t>
            </w:r>
            <w:r w:rsidRPr="00CD1AB2">
              <w:rPr>
                <w:szCs w:val="22"/>
                <w:lang w:val="ru-RU"/>
              </w:rPr>
              <w:t xml:space="preserve">, предоставленным участникам </w:t>
            </w:r>
            <w:r w:rsidRPr="00CD1AB2">
              <w:rPr>
                <w:bCs/>
                <w:szCs w:val="22"/>
                <w:lang w:val="ru-RU"/>
              </w:rPr>
              <w:t xml:space="preserve">оптового рынка </w:t>
            </w:r>
            <w:r w:rsidRPr="00CD1AB2">
              <w:rPr>
                <w:szCs w:val="22"/>
                <w:lang w:val="ru-RU"/>
              </w:rPr>
              <w:t>для подписания в соответствии с настоящим пунктом</w:t>
            </w:r>
            <w:r w:rsidRPr="00CD1AB2">
              <w:rPr>
                <w:color w:val="000000"/>
                <w:szCs w:val="22"/>
                <w:lang w:val="ru-RU"/>
              </w:rPr>
              <w:t>;</w:t>
            </w:r>
          </w:p>
          <w:p w14:paraId="15F2C6B8" w14:textId="77777777" w:rsidR="00CD1AB2" w:rsidRPr="00CD1AB2" w:rsidRDefault="00CD1AB2" w:rsidP="00CD1AB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lang w:val="ru-RU"/>
              </w:rPr>
            </w:pPr>
            <w:r w:rsidRPr="00CD1AB2">
              <w:rPr>
                <w:szCs w:val="22"/>
                <w:lang w:val="ru-RU"/>
              </w:rPr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1DBE43C2" w14:textId="77777777" w:rsidR="00CD1AB2" w:rsidRPr="00CD1AB2" w:rsidRDefault="00CD1AB2" w:rsidP="00CD1AB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lang w:val="ru-RU"/>
              </w:rPr>
            </w:pPr>
            <w:r w:rsidRPr="00CD1AB2">
              <w:rPr>
                <w:szCs w:val="22"/>
                <w:lang w:val="ru-RU"/>
              </w:rPr>
              <w:t>дополнительные соглашения подписаны</w:t>
            </w:r>
            <w:r w:rsidRPr="00CD1AB2">
              <w:rPr>
                <w:lang w:val="ru-RU"/>
              </w:rPr>
              <w:t xml:space="preserve"> ко всем соглашениям о порядке исполнения обязательств, заключенным с покупателем на условиях варианта 1 (Оплата векселями) приложения 2 к соглашению.</w:t>
            </w:r>
          </w:p>
          <w:p w14:paraId="273A24D2" w14:textId="77777777" w:rsidR="00407174" w:rsidRPr="00CD1AB2" w:rsidRDefault="00CD1AB2" w:rsidP="00CD1AB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eastAsia="Times New Roman" w:hAnsi="Garamond"/>
                <w:b/>
                <w:color w:val="000000"/>
              </w:rPr>
            </w:pPr>
            <w:r w:rsidRPr="00CD1AB2">
              <w:rPr>
                <w:rFonts w:ascii="Garamond" w:eastAsia="Times New Roman" w:hAnsi="Garamond"/>
                <w:b/>
                <w:color w:val="000000"/>
              </w:rPr>
              <w:t>…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0BB" w14:textId="77777777" w:rsidR="00407174" w:rsidRPr="00CD1AB2" w:rsidRDefault="00AB250C" w:rsidP="001E092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/>
                <w:bCs/>
              </w:rPr>
            </w:pPr>
            <w:r w:rsidRPr="00CD1AB2">
              <w:rPr>
                <w:rFonts w:ascii="Garamond" w:eastAsia="Times New Roman" w:hAnsi="Garamond"/>
              </w:rPr>
              <w:lastRenderedPageBreak/>
              <w:t>Продавцы</w:t>
            </w:r>
            <w:r w:rsidRPr="00CD1AB2">
              <w:rPr>
                <w:rFonts w:ascii="Garamond" w:hAnsi="Garamond"/>
              </w:rPr>
              <w:t xml:space="preserve"> и покупател</w:t>
            </w:r>
            <w:r w:rsidR="00CD1AB2" w:rsidRPr="00CD1AB2">
              <w:rPr>
                <w:rFonts w:ascii="Garamond" w:hAnsi="Garamond"/>
                <w:highlight w:val="yellow"/>
              </w:rPr>
              <w:t>ь</w:t>
            </w:r>
            <w:r w:rsidRPr="00CD1AB2">
              <w:rPr>
                <w:rFonts w:ascii="Garamond" w:eastAsia="Times New Roman" w:hAnsi="Garamond"/>
              </w:rPr>
              <w:t xml:space="preserve">, заключившие соглашение о порядке исполнения обязательств </w:t>
            </w:r>
            <w:r w:rsidRPr="00CD1AB2">
              <w:rPr>
                <w:rFonts w:ascii="Garamond" w:hAnsi="Garamond"/>
              </w:rPr>
              <w:t>на условиях варианта 1 (Оплата векселями) приложения 2 к соглашению, в срок до 2</w:t>
            </w:r>
            <w:r w:rsidR="00462AE5" w:rsidRPr="00CD1AB2">
              <w:rPr>
                <w:rFonts w:ascii="Garamond" w:hAnsi="Garamond"/>
              </w:rPr>
              <w:t>4</w:t>
            </w:r>
            <w:r w:rsidRPr="00CD1AB2">
              <w:rPr>
                <w:rFonts w:ascii="Garamond" w:hAnsi="Garamond"/>
              </w:rPr>
              <w:t xml:space="preserve">.02.2023 </w:t>
            </w:r>
            <w:r w:rsidRPr="00CD1AB2">
              <w:rPr>
                <w:rFonts w:ascii="Garamond" w:eastAsia="Times New Roman" w:hAnsi="Garamond"/>
              </w:rPr>
              <w:t xml:space="preserve">подписывают </w:t>
            </w:r>
            <w:r w:rsidRPr="00CD1AB2">
              <w:rPr>
                <w:rFonts w:ascii="Garamond" w:hAnsi="Garamond"/>
                <w:color w:val="000000"/>
              </w:rPr>
              <w:t>с применением электронной подписи</w:t>
            </w:r>
            <w:r w:rsidRPr="00CD1AB2">
              <w:rPr>
                <w:rFonts w:ascii="Garamond" w:eastAsia="Times New Roman" w:hAnsi="Garamond"/>
              </w:rPr>
              <w:t xml:space="preserve"> дополнительные соглашения к </w:t>
            </w:r>
            <w:r w:rsidRPr="00CD1AB2">
              <w:rPr>
                <w:rFonts w:ascii="Garamond" w:eastAsia="Times New Roman" w:hAnsi="Garamond"/>
                <w:lang w:val="en-US"/>
              </w:rPr>
              <w:t>c</w:t>
            </w:r>
            <w:r w:rsidRPr="00CD1AB2">
              <w:rPr>
                <w:rFonts w:ascii="Garamond" w:eastAsia="Times New Roman" w:hAnsi="Garamond"/>
              </w:rPr>
              <w:t xml:space="preserve">оглашениям о порядке исполнения обязательств по форме приложения 114.15а к настоящему Регламенту в порядке, предусмотренном п. </w:t>
            </w:r>
            <w:r w:rsidRPr="00CD1AB2">
              <w:rPr>
                <w:rFonts w:ascii="Garamond" w:hAnsi="Garamond"/>
                <w:bCs/>
              </w:rPr>
              <w:t>18´.26 настоящего Регламента.</w:t>
            </w:r>
          </w:p>
          <w:p w14:paraId="22C2DAF9" w14:textId="77777777" w:rsidR="00407174" w:rsidRPr="00CD1AB2" w:rsidRDefault="00462AE5" w:rsidP="001E0922">
            <w:pPr>
              <w:widowControl w:val="0"/>
              <w:tabs>
                <w:tab w:val="left" w:pos="953"/>
              </w:tabs>
              <w:spacing w:before="120" w:after="120" w:line="240" w:lineRule="auto"/>
              <w:ind w:left="38" w:firstLine="567"/>
              <w:jc w:val="both"/>
              <w:outlineLvl w:val="2"/>
              <w:rPr>
                <w:rFonts w:ascii="Garamond" w:hAnsi="Garamond" w:cs="Garamond"/>
                <w:bCs/>
              </w:rPr>
            </w:pPr>
            <w:r w:rsidRPr="00CD1AB2">
              <w:rPr>
                <w:rFonts w:ascii="Garamond" w:eastAsia="Times New Roman" w:hAnsi="Garamond"/>
              </w:rPr>
              <w:t xml:space="preserve">В целях фиксации на 2023 год </w:t>
            </w:r>
            <w:r w:rsidRPr="00CD1AB2">
              <w:rPr>
                <w:rFonts w:ascii="Garamond" w:eastAsiaTheme="minorHAnsi" w:hAnsi="Garamond"/>
              </w:rPr>
              <w:t>соотношения цены покупаемого векселя к его номиналу или доли расчетов денежными средствами через уполномоченную кредитную организаци</w:t>
            </w:r>
            <w:r w:rsidR="001E0922" w:rsidRPr="00CD1AB2">
              <w:rPr>
                <w:rFonts w:ascii="Garamond" w:eastAsiaTheme="minorHAnsi" w:hAnsi="Garamond"/>
              </w:rPr>
              <w:t>ю</w:t>
            </w:r>
            <w:r w:rsidRPr="00CD1AB2">
              <w:rPr>
                <w:rFonts w:ascii="Garamond" w:eastAsiaTheme="minorHAnsi" w:hAnsi="Garamond"/>
              </w:rPr>
              <w:t xml:space="preserve"> </w:t>
            </w:r>
            <w:r w:rsidRPr="00CD1AB2">
              <w:rPr>
                <w:rFonts w:ascii="Garamond" w:eastAsia="Times New Roman" w:hAnsi="Garamond"/>
              </w:rPr>
              <w:t>п</w:t>
            </w:r>
            <w:r w:rsidR="00AB250C" w:rsidRPr="00CD1AB2">
              <w:rPr>
                <w:rFonts w:ascii="Garamond" w:eastAsia="Times New Roman" w:hAnsi="Garamond"/>
              </w:rPr>
              <w:t xml:space="preserve">родавцы и покупатели, заключившие соглашение о порядке исполнения обязательств, </w:t>
            </w:r>
            <w:r w:rsidR="00AB250C" w:rsidRPr="00CD1AB2">
              <w:rPr>
                <w:rFonts w:ascii="Garamond" w:eastAsiaTheme="minorHAnsi" w:hAnsi="Garamond"/>
              </w:rPr>
              <w:t>в срок до 2</w:t>
            </w:r>
            <w:r w:rsidRPr="00CD1AB2">
              <w:rPr>
                <w:rFonts w:ascii="Garamond" w:eastAsiaTheme="minorHAnsi" w:hAnsi="Garamond"/>
              </w:rPr>
              <w:t>4</w:t>
            </w:r>
            <w:r w:rsidR="00AB250C" w:rsidRPr="00CD1AB2">
              <w:rPr>
                <w:rFonts w:ascii="Garamond" w:eastAsiaTheme="minorHAnsi" w:hAnsi="Garamond"/>
              </w:rPr>
              <w:t xml:space="preserve">.02.2023 </w:t>
            </w:r>
            <w:r w:rsidR="00AB250C" w:rsidRPr="00CD1AB2">
              <w:rPr>
                <w:rFonts w:ascii="Garamond" w:eastAsia="Times New Roman" w:hAnsi="Garamond"/>
              </w:rPr>
              <w:t xml:space="preserve">подписывают </w:t>
            </w:r>
            <w:r w:rsidR="00AB250C" w:rsidRPr="00CD1AB2">
              <w:rPr>
                <w:rFonts w:ascii="Garamond" w:hAnsi="Garamond"/>
                <w:color w:val="000000"/>
              </w:rPr>
              <w:t>с применением электронной подписи</w:t>
            </w:r>
            <w:r w:rsidR="00AB250C" w:rsidRPr="00CD1AB2">
              <w:rPr>
                <w:rFonts w:ascii="Garamond" w:eastAsia="Times New Roman" w:hAnsi="Garamond"/>
              </w:rPr>
              <w:t xml:space="preserve"> дополнительные соглашения к </w:t>
            </w:r>
            <w:r w:rsidR="00AB250C" w:rsidRPr="00CD1AB2">
              <w:rPr>
                <w:rFonts w:ascii="Garamond" w:eastAsia="Times New Roman" w:hAnsi="Garamond"/>
                <w:lang w:val="en-US"/>
              </w:rPr>
              <w:t>c</w:t>
            </w:r>
            <w:r w:rsidR="00AB250C" w:rsidRPr="00CD1AB2">
              <w:rPr>
                <w:rFonts w:ascii="Garamond" w:eastAsia="Times New Roman" w:hAnsi="Garamond"/>
              </w:rPr>
              <w:t xml:space="preserve">оглашениям о порядке исполнения обязательств по форме приложения 114.15б к настоящему Регламенту в порядке, предусмотренном п. </w:t>
            </w:r>
            <w:r w:rsidR="00AB250C" w:rsidRPr="00CD1AB2">
              <w:rPr>
                <w:rFonts w:ascii="Garamond" w:hAnsi="Garamond" w:cs="Garamond"/>
                <w:bCs/>
              </w:rPr>
              <w:t>18´</w:t>
            </w:r>
            <w:r w:rsidR="001E0922" w:rsidRPr="00CD1AB2">
              <w:rPr>
                <w:rFonts w:ascii="Garamond" w:hAnsi="Garamond" w:cs="Garamond"/>
                <w:bCs/>
              </w:rPr>
              <w:t>.</w:t>
            </w:r>
            <w:r w:rsidR="00AB250C" w:rsidRPr="00CD1AB2">
              <w:rPr>
                <w:rFonts w:ascii="Garamond" w:hAnsi="Garamond" w:cs="Garamond"/>
                <w:bCs/>
              </w:rPr>
              <w:t>26 настоящего Регламента.</w:t>
            </w:r>
          </w:p>
          <w:p w14:paraId="285751CF" w14:textId="77777777" w:rsidR="00407174" w:rsidRPr="00CD1AB2" w:rsidRDefault="00AB250C" w:rsidP="001E0922">
            <w:pPr>
              <w:tabs>
                <w:tab w:val="left" w:pos="953"/>
              </w:tabs>
              <w:spacing w:before="60" w:after="0"/>
              <w:ind w:left="38" w:firstLine="567"/>
              <w:jc w:val="both"/>
              <w:rPr>
                <w:rFonts w:ascii="Garamond" w:hAnsi="Garamond"/>
              </w:rPr>
            </w:pPr>
            <w:r w:rsidRPr="00CD1AB2">
              <w:rPr>
                <w:rFonts w:ascii="Garamond" w:hAnsi="Garamond"/>
              </w:rPr>
              <w:t xml:space="preserve">Совет рынка передает ЦФР подписанные сторонами дополнительные соглашения к соглашениям о порядке исполнения </w:t>
            </w:r>
            <w:r w:rsidRPr="00CD1AB2">
              <w:rPr>
                <w:rFonts w:ascii="Garamond" w:hAnsi="Garamond"/>
              </w:rPr>
              <w:lastRenderedPageBreak/>
              <w:t>обязательств</w:t>
            </w:r>
            <w:r w:rsidR="00462AE5" w:rsidRPr="00CD1AB2">
              <w:rPr>
                <w:rFonts w:ascii="Garamond" w:hAnsi="Garamond"/>
              </w:rPr>
              <w:t xml:space="preserve"> по формам приложений 114.15а, 114.15б к настоящему Регламенту</w:t>
            </w:r>
            <w:r w:rsidRPr="00CD1AB2">
              <w:rPr>
                <w:rFonts w:ascii="Garamond" w:hAnsi="Garamond"/>
              </w:rPr>
              <w:t xml:space="preserve"> и </w:t>
            </w:r>
            <w:r w:rsidR="001E0922" w:rsidRPr="00CD1AB2">
              <w:rPr>
                <w:rFonts w:ascii="Garamond" w:hAnsi="Garamond"/>
              </w:rPr>
              <w:t>р</w:t>
            </w:r>
            <w:r w:rsidRPr="00CD1AB2">
              <w:rPr>
                <w:rFonts w:ascii="Garamond" w:hAnsi="Garamond"/>
              </w:rPr>
              <w:t>еестр заключенных участниками оптового рынка дополнительных соглашений в формате, согласованном с ЦФР</w:t>
            </w:r>
            <w:r w:rsidR="004670F6" w:rsidRPr="00CD1AB2">
              <w:rPr>
                <w:rFonts w:ascii="Garamond" w:hAnsi="Garamond"/>
              </w:rPr>
              <w:t>, не позднее</w:t>
            </w:r>
            <w:r w:rsidR="00462AE5" w:rsidRPr="00CD1AB2">
              <w:rPr>
                <w:rFonts w:ascii="Garamond" w:hAnsi="Garamond"/>
              </w:rPr>
              <w:t xml:space="preserve"> 27.02.2023</w:t>
            </w:r>
            <w:r w:rsidRPr="00CD1AB2">
              <w:rPr>
                <w:rFonts w:ascii="Garamond" w:hAnsi="Garamond"/>
              </w:rPr>
              <w:t>.</w:t>
            </w:r>
          </w:p>
          <w:p w14:paraId="38EA3363" w14:textId="77777777" w:rsidR="00407174" w:rsidRPr="00CD1AB2" w:rsidRDefault="00AB250C" w:rsidP="001E092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hAnsi="Garamond"/>
              </w:rPr>
            </w:pPr>
            <w:r w:rsidRPr="00CD1AB2">
              <w:rPr>
                <w:rFonts w:ascii="Garamond" w:hAnsi="Garamond"/>
              </w:rPr>
              <w:t xml:space="preserve">При этом дополнительные соглашения к соглашениям о порядке исполнения обязательств </w:t>
            </w:r>
            <w:r w:rsidR="00462AE5" w:rsidRPr="00CD1AB2">
              <w:rPr>
                <w:rFonts w:ascii="Garamond" w:eastAsia="Times New Roman" w:hAnsi="Garamond"/>
              </w:rPr>
              <w:t>по форме приложения 114.15а</w:t>
            </w:r>
            <w:r w:rsidR="00462AE5" w:rsidRPr="00CD1AB2">
              <w:rPr>
                <w:rFonts w:ascii="Garamond" w:hAnsi="Garamond"/>
              </w:rPr>
              <w:t xml:space="preserve"> </w:t>
            </w:r>
            <w:r w:rsidRPr="00CD1AB2">
              <w:rPr>
                <w:rFonts w:ascii="Garamond" w:hAnsi="Garamond"/>
              </w:rPr>
              <w:t xml:space="preserve">и </w:t>
            </w:r>
            <w:r w:rsidR="001E0922" w:rsidRPr="00CD1AB2">
              <w:rPr>
                <w:rFonts w:ascii="Garamond" w:hAnsi="Garamond"/>
              </w:rPr>
              <w:t>р</w:t>
            </w:r>
            <w:r w:rsidRPr="00CD1AB2">
              <w:rPr>
                <w:rFonts w:ascii="Garamond" w:hAnsi="Garamond"/>
              </w:rPr>
              <w:t xml:space="preserve">еестр заключенных дополнительных соглашений </w:t>
            </w:r>
            <w:r w:rsidR="00462AE5" w:rsidRPr="00CD1AB2">
              <w:rPr>
                <w:rFonts w:ascii="Garamond" w:hAnsi="Garamond"/>
              </w:rPr>
              <w:t xml:space="preserve">Совет рынка передает в ЦФР </w:t>
            </w:r>
            <w:r w:rsidRPr="00CD1AB2">
              <w:rPr>
                <w:rFonts w:ascii="Garamond" w:hAnsi="Garamond"/>
              </w:rPr>
              <w:t>при соблюдении одновременно следующих условий:</w:t>
            </w:r>
          </w:p>
          <w:p w14:paraId="0BC237DB" w14:textId="77777777" w:rsidR="00407174" w:rsidRPr="00CD1AB2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lang w:val="ru-RU"/>
              </w:rPr>
            </w:pPr>
            <w:r w:rsidRPr="00CD1AB2">
              <w:rPr>
                <w:szCs w:val="22"/>
                <w:lang w:val="ru-RU"/>
              </w:rPr>
              <w:t xml:space="preserve"> дополнительные соглашения полностью соответствуют по форме и содержанию дополнительным </w:t>
            </w:r>
            <w:r w:rsidRPr="00CD1AB2">
              <w:rPr>
                <w:color w:val="000000"/>
                <w:szCs w:val="22"/>
                <w:lang w:val="ru-RU"/>
              </w:rPr>
              <w:t>соглашениям</w:t>
            </w:r>
            <w:r w:rsidRPr="00CD1AB2">
              <w:rPr>
                <w:szCs w:val="22"/>
                <w:lang w:val="ru-RU"/>
              </w:rPr>
              <w:t xml:space="preserve">, предоставленным участникам </w:t>
            </w:r>
            <w:r w:rsidRPr="00CD1AB2">
              <w:rPr>
                <w:bCs/>
                <w:szCs w:val="22"/>
                <w:lang w:val="ru-RU"/>
              </w:rPr>
              <w:t xml:space="preserve">оптового рынка </w:t>
            </w:r>
            <w:r w:rsidRPr="00CD1AB2">
              <w:rPr>
                <w:szCs w:val="22"/>
                <w:lang w:val="ru-RU"/>
              </w:rPr>
              <w:t>для подписания в соответствии с настоящим пунктом</w:t>
            </w:r>
            <w:r w:rsidRPr="00CD1AB2">
              <w:rPr>
                <w:color w:val="000000"/>
                <w:szCs w:val="22"/>
                <w:lang w:val="ru-RU"/>
              </w:rPr>
              <w:t>;</w:t>
            </w:r>
          </w:p>
          <w:p w14:paraId="34E58CB3" w14:textId="77777777" w:rsidR="00407174" w:rsidRPr="00CD1AB2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szCs w:val="22"/>
                <w:lang w:val="ru-RU"/>
              </w:rPr>
            </w:pPr>
            <w:r w:rsidRPr="00CD1AB2">
              <w:rPr>
                <w:szCs w:val="22"/>
                <w:lang w:val="ru-RU"/>
              </w:rPr>
              <w:t xml:space="preserve"> дополнительные соглашения подписаны уполномоченными от имени участников оптового рынка лицами с применением электронной подписи;</w:t>
            </w:r>
          </w:p>
          <w:p w14:paraId="65537515" w14:textId="77777777" w:rsidR="00407174" w:rsidRPr="00CD1AB2" w:rsidRDefault="00AB250C" w:rsidP="001E0922">
            <w:pPr>
              <w:pStyle w:val="a3"/>
              <w:numPr>
                <w:ilvl w:val="0"/>
                <w:numId w:val="6"/>
              </w:numPr>
              <w:tabs>
                <w:tab w:val="left" w:pos="953"/>
              </w:tabs>
              <w:spacing w:before="0"/>
              <w:ind w:left="38" w:firstLine="567"/>
              <w:contextualSpacing w:val="0"/>
              <w:jc w:val="both"/>
              <w:rPr>
                <w:lang w:val="ru-RU"/>
              </w:rPr>
            </w:pPr>
            <w:r w:rsidRPr="00CD1AB2">
              <w:rPr>
                <w:szCs w:val="22"/>
                <w:lang w:val="ru-RU"/>
              </w:rPr>
              <w:t>дополнительные соглашения</w:t>
            </w:r>
            <w:r w:rsidR="00462AE5" w:rsidRPr="00CD1AB2">
              <w:rPr>
                <w:szCs w:val="22"/>
                <w:lang w:val="ru-RU"/>
              </w:rPr>
              <w:t xml:space="preserve"> подписаны</w:t>
            </w:r>
            <w:r w:rsidR="00462AE5" w:rsidRPr="00CD1AB2">
              <w:rPr>
                <w:lang w:val="ru-RU"/>
              </w:rPr>
              <w:t xml:space="preserve"> </w:t>
            </w:r>
            <w:r w:rsidRPr="00CD1AB2">
              <w:rPr>
                <w:lang w:val="ru-RU"/>
              </w:rPr>
              <w:t xml:space="preserve">ко всем соглашениям о порядке исполнения обязательств, заключенным с </w:t>
            </w:r>
            <w:r w:rsidR="00084DAE" w:rsidRPr="00084DAE">
              <w:rPr>
                <w:highlight w:val="yellow"/>
                <w:lang w:val="ru-RU"/>
              </w:rPr>
              <w:t>соответствующим</w:t>
            </w:r>
            <w:r w:rsidR="00084DAE">
              <w:rPr>
                <w:lang w:val="ru-RU"/>
              </w:rPr>
              <w:t xml:space="preserve"> </w:t>
            </w:r>
            <w:r w:rsidRPr="00CD1AB2">
              <w:rPr>
                <w:lang w:val="ru-RU"/>
              </w:rPr>
              <w:t>покупателем на условиях варианта 1 (Оплата векселями) приложения 2 к соглашению</w:t>
            </w:r>
            <w:r w:rsidR="00462AE5" w:rsidRPr="00CD1AB2">
              <w:rPr>
                <w:lang w:val="ru-RU"/>
              </w:rPr>
              <w:t>.</w:t>
            </w:r>
          </w:p>
          <w:p w14:paraId="4DBFA076" w14:textId="77777777" w:rsidR="00407174" w:rsidRPr="00CD1AB2" w:rsidRDefault="00CD1AB2" w:rsidP="001E0922">
            <w:pPr>
              <w:tabs>
                <w:tab w:val="left" w:pos="953"/>
              </w:tabs>
              <w:spacing w:before="120" w:after="60"/>
              <w:ind w:left="38" w:firstLine="567"/>
              <w:jc w:val="both"/>
              <w:rPr>
                <w:rFonts w:ascii="Garamond" w:eastAsia="Times New Roman" w:hAnsi="Garamond"/>
                <w:color w:val="000000"/>
              </w:rPr>
            </w:pPr>
            <w:r w:rsidRPr="00CD1AB2">
              <w:rPr>
                <w:rFonts w:ascii="Garamond" w:eastAsia="Times New Roman" w:hAnsi="Garamond"/>
                <w:color w:val="000000"/>
              </w:rPr>
              <w:t>…</w:t>
            </w:r>
          </w:p>
        </w:tc>
      </w:tr>
    </w:tbl>
    <w:p w14:paraId="6403A267" w14:textId="77777777" w:rsidR="00407174" w:rsidRDefault="00407174">
      <w:pPr>
        <w:ind w:right="-286"/>
        <w:rPr>
          <w:rFonts w:ascii="Garamond" w:eastAsiaTheme="minorHAnsi" w:hAnsi="Garamond"/>
          <w:b/>
          <w:szCs w:val="28"/>
        </w:rPr>
      </w:pPr>
    </w:p>
    <w:sectPr w:rsidR="00407174" w:rsidSect="00CE2028">
      <w:pgSz w:w="16838" w:h="11906" w:orient="landscape"/>
      <w:pgMar w:top="1276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A6DF" w14:textId="77777777" w:rsidR="00B04055" w:rsidRDefault="00B04055">
      <w:pPr>
        <w:spacing w:after="0" w:line="240" w:lineRule="auto"/>
      </w:pPr>
      <w:r>
        <w:separator/>
      </w:r>
    </w:p>
  </w:endnote>
  <w:endnote w:type="continuationSeparator" w:id="0">
    <w:p w14:paraId="22B2A0CA" w14:textId="77777777" w:rsidR="00B04055" w:rsidRDefault="00B0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4D36" w14:textId="77777777" w:rsidR="00B04055" w:rsidRDefault="00B04055">
      <w:pPr>
        <w:spacing w:after="0" w:line="240" w:lineRule="auto"/>
      </w:pPr>
      <w:r>
        <w:separator/>
      </w:r>
    </w:p>
  </w:footnote>
  <w:footnote w:type="continuationSeparator" w:id="0">
    <w:p w14:paraId="1E99FCD3" w14:textId="77777777" w:rsidR="00B04055" w:rsidRDefault="00B04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083"/>
    <w:multiLevelType w:val="hybridMultilevel"/>
    <w:tmpl w:val="72F6EA7E"/>
    <w:lvl w:ilvl="0" w:tplc="6E984F1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7DF7"/>
    <w:multiLevelType w:val="hybridMultilevel"/>
    <w:tmpl w:val="78F615A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E06CBF"/>
    <w:multiLevelType w:val="hybridMultilevel"/>
    <w:tmpl w:val="A040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2EC"/>
    <w:multiLevelType w:val="hybridMultilevel"/>
    <w:tmpl w:val="A4609966"/>
    <w:lvl w:ilvl="0" w:tplc="FFFFFFFF">
      <w:start w:val="1"/>
      <w:numFmt w:val="bullet"/>
      <w:lvlText w:val="−"/>
      <w:lvlJc w:val="left"/>
      <w:pPr>
        <w:ind w:left="277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 w15:restartNumberingAfterBreak="0">
    <w:nsid w:val="1FED6C5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80F7E27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BC00D47"/>
    <w:multiLevelType w:val="hybridMultilevel"/>
    <w:tmpl w:val="25A0BB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F016B43"/>
    <w:multiLevelType w:val="hybridMultilevel"/>
    <w:tmpl w:val="6CF0AD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A26489"/>
    <w:multiLevelType w:val="hybridMultilevel"/>
    <w:tmpl w:val="642C69B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3971659B"/>
    <w:multiLevelType w:val="hybridMultilevel"/>
    <w:tmpl w:val="09320BB8"/>
    <w:lvl w:ilvl="0" w:tplc="8ED62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914ED4"/>
    <w:multiLevelType w:val="hybridMultilevel"/>
    <w:tmpl w:val="8DB27BE2"/>
    <w:lvl w:ilvl="0" w:tplc="8E0C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B27BE4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51042A0"/>
    <w:multiLevelType w:val="hybridMultilevel"/>
    <w:tmpl w:val="66E4A8DA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812DB"/>
    <w:multiLevelType w:val="hybridMultilevel"/>
    <w:tmpl w:val="14B4B6E8"/>
    <w:lvl w:ilvl="0" w:tplc="3124BE6A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284F"/>
    <w:multiLevelType w:val="hybridMultilevel"/>
    <w:tmpl w:val="1AC41D50"/>
    <w:lvl w:ilvl="0" w:tplc="B7EC78EE">
      <w:start w:val="1"/>
      <w:numFmt w:val="decimal"/>
      <w:lvlText w:val="%1."/>
      <w:lvlJc w:val="left"/>
      <w:pPr>
        <w:ind w:left="1080" w:hanging="360"/>
      </w:pPr>
      <w:rPr>
        <w:rFonts w:cs="Garamon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021F9A"/>
    <w:multiLevelType w:val="hybridMultilevel"/>
    <w:tmpl w:val="04964776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E3E36"/>
    <w:multiLevelType w:val="hybridMultilevel"/>
    <w:tmpl w:val="C12891EA"/>
    <w:lvl w:ilvl="0" w:tplc="5EB01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E3461"/>
    <w:multiLevelType w:val="multilevel"/>
    <w:tmpl w:val="B96CE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3365AF2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C233C7"/>
    <w:multiLevelType w:val="hybridMultilevel"/>
    <w:tmpl w:val="178A76A8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84124"/>
    <w:multiLevelType w:val="hybridMultilevel"/>
    <w:tmpl w:val="8A9041AC"/>
    <w:lvl w:ilvl="0" w:tplc="FFFFFFFF">
      <w:start w:val="1"/>
      <w:numFmt w:val="bullet"/>
      <w:lvlText w:val="−"/>
      <w:lvlJc w:val="left"/>
      <w:pPr>
        <w:ind w:left="14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21" w15:restartNumberingAfterBreak="0">
    <w:nsid w:val="6EFB545C"/>
    <w:multiLevelType w:val="multilevel"/>
    <w:tmpl w:val="1090A3FC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4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2" w15:restartNumberingAfterBreak="0">
    <w:nsid w:val="72556763"/>
    <w:multiLevelType w:val="hybridMultilevel"/>
    <w:tmpl w:val="6B1EEDC8"/>
    <w:lvl w:ilvl="0" w:tplc="A044BF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C40ECA"/>
    <w:multiLevelType w:val="hybridMultilevel"/>
    <w:tmpl w:val="EAC8A4C8"/>
    <w:lvl w:ilvl="0" w:tplc="FFFFFFFF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4669C5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A36C1C"/>
    <w:multiLevelType w:val="hybridMultilevel"/>
    <w:tmpl w:val="9A04FBC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6" w15:restartNumberingAfterBreak="0">
    <w:nsid w:val="79435351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B27BAA"/>
    <w:multiLevelType w:val="hybridMultilevel"/>
    <w:tmpl w:val="6B1EEDC8"/>
    <w:lvl w:ilvl="0" w:tplc="A044BF1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7"/>
  </w:num>
  <w:num w:numId="5">
    <w:abstractNumId w:val="5"/>
  </w:num>
  <w:num w:numId="6">
    <w:abstractNumId w:val="3"/>
  </w:num>
  <w:num w:numId="7">
    <w:abstractNumId w:val="19"/>
  </w:num>
  <w:num w:numId="8">
    <w:abstractNumId w:val="16"/>
  </w:num>
  <w:num w:numId="9">
    <w:abstractNumId w:val="23"/>
  </w:num>
  <w:num w:numId="10">
    <w:abstractNumId w:val="15"/>
  </w:num>
  <w:num w:numId="11">
    <w:abstractNumId w:val="8"/>
  </w:num>
  <w:num w:numId="12">
    <w:abstractNumId w:val="1"/>
  </w:num>
  <w:num w:numId="13">
    <w:abstractNumId w:val="21"/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  <w:num w:numId="18">
    <w:abstractNumId w:val="7"/>
  </w:num>
  <w:num w:numId="19">
    <w:abstractNumId w:val="25"/>
  </w:num>
  <w:num w:numId="20">
    <w:abstractNumId w:val="0"/>
  </w:num>
  <w:num w:numId="21">
    <w:abstractNumId w:val="13"/>
  </w:num>
  <w:num w:numId="22">
    <w:abstractNumId w:val="12"/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2"/>
  </w:num>
  <w:num w:numId="27">
    <w:abstractNumId w:val="27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74"/>
    <w:rsid w:val="00066E0C"/>
    <w:rsid w:val="000724E6"/>
    <w:rsid w:val="00084DAE"/>
    <w:rsid w:val="001E0922"/>
    <w:rsid w:val="0024566A"/>
    <w:rsid w:val="00263FD1"/>
    <w:rsid w:val="002D4216"/>
    <w:rsid w:val="0031287B"/>
    <w:rsid w:val="003371FB"/>
    <w:rsid w:val="00394FF5"/>
    <w:rsid w:val="003E0A02"/>
    <w:rsid w:val="00407174"/>
    <w:rsid w:val="0042341A"/>
    <w:rsid w:val="00462AE5"/>
    <w:rsid w:val="004670F6"/>
    <w:rsid w:val="0057485B"/>
    <w:rsid w:val="005C17CE"/>
    <w:rsid w:val="00652B37"/>
    <w:rsid w:val="00660231"/>
    <w:rsid w:val="00660649"/>
    <w:rsid w:val="006847C6"/>
    <w:rsid w:val="006C7DFC"/>
    <w:rsid w:val="006F0865"/>
    <w:rsid w:val="006F7BDE"/>
    <w:rsid w:val="00756FC5"/>
    <w:rsid w:val="007A5D87"/>
    <w:rsid w:val="00901521"/>
    <w:rsid w:val="00935A81"/>
    <w:rsid w:val="00A03B97"/>
    <w:rsid w:val="00A55313"/>
    <w:rsid w:val="00A66CCD"/>
    <w:rsid w:val="00AB250C"/>
    <w:rsid w:val="00B04055"/>
    <w:rsid w:val="00CD1AB2"/>
    <w:rsid w:val="00CE2028"/>
    <w:rsid w:val="00D5290E"/>
    <w:rsid w:val="00D846E3"/>
    <w:rsid w:val="00DC7F6A"/>
    <w:rsid w:val="00E204C5"/>
    <w:rsid w:val="00E474BB"/>
    <w:rsid w:val="00E6547B"/>
    <w:rsid w:val="00E718D4"/>
    <w:rsid w:val="00E7531D"/>
    <w:rsid w:val="00E91A37"/>
    <w:rsid w:val="00ED620B"/>
    <w:rsid w:val="00F521A6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913B"/>
  <w15:chartTrackingRefBased/>
  <w15:docId w15:val="{18750489-470E-4C71-B546-6C0E9449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1"/>
    <w:autoRedefine/>
    <w:qFormat/>
    <w:pPr>
      <w:widowControl w:val="0"/>
      <w:spacing w:before="120" w:after="120" w:line="240" w:lineRule="auto"/>
      <w:ind w:firstLine="567"/>
      <w:jc w:val="right"/>
      <w:outlineLvl w:val="2"/>
    </w:pPr>
    <w:rPr>
      <w:rFonts w:ascii="Garamond" w:eastAsia="Times New Roman" w:hAnsi="Garamond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link w:val="a4"/>
    <w:uiPriority w:val="34"/>
    <w:qFormat/>
    <w:pPr>
      <w:spacing w:before="180" w:after="60" w:line="240" w:lineRule="auto"/>
      <w:ind w:left="720"/>
      <w:contextualSpacing/>
    </w:pPr>
    <w:rPr>
      <w:rFonts w:ascii="Garamond" w:eastAsia="Times New Roman" w:hAnsi="Garamond"/>
      <w:szCs w:val="20"/>
      <w:lang w:val="en-GB"/>
    </w:rPr>
  </w:style>
  <w:style w:type="paragraph" w:styleId="a5">
    <w:name w:val="Body Text"/>
    <w:aliases w:val="body text"/>
    <w:basedOn w:val="a"/>
    <w:link w:val="1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a6">
    <w:name w:val="Основной текст Знак"/>
    <w:basedOn w:val="a0"/>
    <w:uiPriority w:val="99"/>
    <w:semiHidden/>
    <w:rPr>
      <w:rFonts w:ascii="Calibri" w:eastAsia="Calibri" w:hAnsi="Calibri" w:cs="Times New Roman"/>
    </w:rPr>
  </w:style>
  <w:style w:type="character" w:customStyle="1" w:styleId="1">
    <w:name w:val="Основной текст Знак1"/>
    <w:aliases w:val="body text Знак"/>
    <w:link w:val="a5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11">
    <w:name w:val="Обычный + 11 пт"/>
    <w:aliases w:val="По ширине"/>
    <w:basedOn w:val="a"/>
    <w:pPr>
      <w:tabs>
        <w:tab w:val="num" w:pos="1680"/>
      </w:tabs>
      <w:spacing w:after="0" w:line="240" w:lineRule="auto"/>
      <w:ind w:left="1680" w:hanging="114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31">
    <w:name w:val="Заголовок 3 Знак1"/>
    <w:aliases w:val="H3 Знак,Заголовок подпукта (1.1.1) Знак,Level 1 - 1 Знак,o Знак"/>
    <w:link w:val="3"/>
    <w:locked/>
    <w:rPr>
      <w:rFonts w:ascii="Garamond" w:eastAsia="Times New Roman" w:hAnsi="Garamond" w:cs="Times New Roman"/>
      <w:b/>
      <w:color w:val="000000"/>
    </w:rPr>
  </w:style>
  <w:style w:type="character" w:customStyle="1" w:styleId="a4">
    <w:name w:val="Абзац списка Знак"/>
    <w:link w:val="a3"/>
    <w:uiPriority w:val="34"/>
    <w:rPr>
      <w:rFonts w:ascii="Garamond" w:eastAsia="Times New Roman" w:hAnsi="Garamond" w:cs="Times New Roman"/>
      <w:szCs w:val="20"/>
      <w:lang w:val="en-GB"/>
    </w:rPr>
  </w:style>
  <w:style w:type="character" w:customStyle="1" w:styleId="a7">
    <w:name w:val="Основной текст_"/>
    <w:basedOn w:val="a0"/>
    <w:link w:val="10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7"/>
    <w:pPr>
      <w:widowControl w:val="0"/>
      <w:spacing w:after="0" w:line="283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8">
    <w:name w:val="footnote text"/>
    <w:basedOn w:val="a"/>
    <w:link w:val="a9"/>
    <w:uiPriority w:val="99"/>
    <w:unhideWhenUsed/>
    <w:pPr>
      <w:spacing w:after="0" w:line="240" w:lineRule="auto"/>
    </w:pPr>
    <w:rPr>
      <w:rFonts w:ascii="Garamond" w:eastAsia="Times New Roman" w:hAnsi="Garamond"/>
      <w:sz w:val="20"/>
      <w:szCs w:val="20"/>
      <w:lang w:val="en-GB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Garamond" w:eastAsia="Times New Roman" w:hAnsi="Garamond" w:cs="Times New Roman"/>
      <w:sz w:val="20"/>
      <w:szCs w:val="20"/>
      <w:lang w:val="en-GB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21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22">
    <w:name w:val="Текст сноски Знак2"/>
    <w:semiHidden/>
    <w:locked/>
    <w:rPr>
      <w:rFonts w:ascii="Garamond" w:hAnsi="Garamond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BC62-87BB-40D1-994D-36880BB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герой</dc:creator>
  <cp:keywords/>
  <dc:description/>
  <cp:lastModifiedBy>Пряхина Ирина Игоревна</cp:lastModifiedBy>
  <cp:revision>10</cp:revision>
  <dcterms:created xsi:type="dcterms:W3CDTF">2023-01-11T08:31:00Z</dcterms:created>
  <dcterms:modified xsi:type="dcterms:W3CDTF">2023-01-19T07:38:00Z</dcterms:modified>
</cp:coreProperties>
</file>