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83B" w:rsidRDefault="00923D9E" w:rsidP="00A04529">
      <w:pPr>
        <w:widowControl w:val="0"/>
        <w:spacing w:after="0" w:line="240" w:lineRule="auto"/>
        <w:rPr>
          <w:rFonts w:ascii="Garamond" w:hAnsi="Garamond"/>
          <w:b/>
          <w:sz w:val="28"/>
          <w:szCs w:val="28"/>
        </w:rPr>
      </w:pPr>
      <w:bookmarkStart w:id="0" w:name="_Toc525831309"/>
      <w:bookmarkStart w:id="1" w:name="_GoBack"/>
      <w:bookmarkEnd w:id="1"/>
      <w:r>
        <w:rPr>
          <w:rFonts w:ascii="Garamond" w:hAnsi="Garamond"/>
          <w:b/>
          <w:sz w:val="28"/>
          <w:lang w:val="en-US"/>
        </w:rPr>
        <w:t>V</w:t>
      </w:r>
      <w:r w:rsidRPr="00923D9E">
        <w:rPr>
          <w:rFonts w:ascii="Garamond" w:hAnsi="Garamond"/>
          <w:b/>
          <w:sz w:val="28"/>
        </w:rPr>
        <w:t>.1</w:t>
      </w:r>
      <w:r w:rsidR="00FD47CC">
        <w:rPr>
          <w:rFonts w:ascii="Garamond" w:hAnsi="Garamond"/>
          <w:b/>
          <w:sz w:val="28"/>
        </w:rPr>
        <w:t>.</w:t>
      </w:r>
      <w:r w:rsidRPr="00923D9E">
        <w:rPr>
          <w:rFonts w:ascii="Garamond" w:hAnsi="Garamond"/>
          <w:b/>
          <w:sz w:val="28"/>
        </w:rPr>
        <w:t xml:space="preserve"> </w:t>
      </w:r>
      <w:r w:rsidR="008E3836">
        <w:rPr>
          <w:rFonts w:ascii="Garamond" w:hAnsi="Garamond"/>
          <w:b/>
          <w:sz w:val="28"/>
        </w:rPr>
        <w:t xml:space="preserve">Изменения, связанные с порядком взаимодействия участников оптового рынка </w:t>
      </w:r>
      <w:r w:rsidR="004A63B2">
        <w:rPr>
          <w:rFonts w:ascii="Garamond" w:hAnsi="Garamond"/>
          <w:b/>
          <w:sz w:val="28"/>
        </w:rPr>
        <w:t xml:space="preserve">и АО «ЦФР» </w:t>
      </w:r>
      <w:r w:rsidR="008E3836">
        <w:rPr>
          <w:rFonts w:ascii="Garamond" w:hAnsi="Garamond"/>
          <w:b/>
          <w:sz w:val="28"/>
        </w:rPr>
        <w:t>по учету обязательств по оплате</w:t>
      </w:r>
      <w:bookmarkEnd w:id="0"/>
      <w:r w:rsidR="008E3836">
        <w:rPr>
          <w:rFonts w:ascii="Garamond" w:hAnsi="Garamond"/>
          <w:b/>
          <w:sz w:val="28"/>
        </w:rPr>
        <w:t xml:space="preserve"> вне УКО</w:t>
      </w:r>
      <w:r w:rsidR="004A63B2">
        <w:rPr>
          <w:rFonts w:ascii="Garamond" w:hAnsi="Garamond"/>
          <w:b/>
          <w:sz w:val="28"/>
        </w:rPr>
        <w:t xml:space="preserve"> на основании судебного акта</w:t>
      </w:r>
    </w:p>
    <w:p w:rsidR="00F4583B" w:rsidRDefault="00F4583B">
      <w:pPr>
        <w:widowControl w:val="0"/>
        <w:spacing w:after="0" w:line="240" w:lineRule="auto"/>
        <w:jc w:val="right"/>
        <w:rPr>
          <w:rFonts w:ascii="Garamond" w:hAnsi="Garamond"/>
          <w:b/>
          <w:sz w:val="28"/>
          <w:szCs w:val="28"/>
        </w:rPr>
      </w:pPr>
    </w:p>
    <w:p w:rsidR="00F4583B" w:rsidRPr="00923D9E" w:rsidRDefault="008E3836">
      <w:pPr>
        <w:widowControl w:val="0"/>
        <w:spacing w:after="0" w:line="240" w:lineRule="auto"/>
        <w:ind w:right="141"/>
        <w:jc w:val="right"/>
        <w:rPr>
          <w:rFonts w:ascii="Garamond" w:hAnsi="Garamond"/>
          <w:b/>
          <w:sz w:val="28"/>
          <w:szCs w:val="28"/>
          <w:lang w:val="en-US"/>
        </w:rPr>
      </w:pPr>
      <w:r>
        <w:rPr>
          <w:rFonts w:ascii="Garamond" w:hAnsi="Garamond"/>
          <w:b/>
          <w:sz w:val="28"/>
          <w:szCs w:val="28"/>
        </w:rPr>
        <w:t xml:space="preserve">Приложение № </w:t>
      </w:r>
      <w:r w:rsidR="00923D9E">
        <w:rPr>
          <w:rFonts w:ascii="Garamond" w:hAnsi="Garamond"/>
          <w:b/>
          <w:sz w:val="28"/>
          <w:szCs w:val="28"/>
          <w:lang w:val="en-US"/>
        </w:rPr>
        <w:t>5.1</w:t>
      </w:r>
    </w:p>
    <w:p w:rsidR="00F4583B" w:rsidRDefault="00F4583B">
      <w:pPr>
        <w:widowControl w:val="0"/>
        <w:spacing w:after="0" w:line="240" w:lineRule="auto"/>
        <w:jc w:val="right"/>
        <w:rPr>
          <w:rFonts w:ascii="Garamond" w:hAnsi="Garamond"/>
          <w:b/>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F4583B">
        <w:trPr>
          <w:trHeight w:val="386"/>
        </w:trPr>
        <w:tc>
          <w:tcPr>
            <w:tcW w:w="14596" w:type="dxa"/>
            <w:tcBorders>
              <w:top w:val="single" w:sz="4" w:space="0" w:color="auto"/>
              <w:left w:val="single" w:sz="4" w:space="0" w:color="auto"/>
              <w:bottom w:val="single" w:sz="4" w:space="0" w:color="auto"/>
              <w:right w:val="single" w:sz="4" w:space="0" w:color="auto"/>
            </w:tcBorders>
          </w:tcPr>
          <w:p w:rsidR="006E5DAA" w:rsidRPr="006E5DAA" w:rsidRDefault="008E3836" w:rsidP="006E5DAA">
            <w:pPr>
              <w:widowControl w:val="0"/>
              <w:tabs>
                <w:tab w:val="left" w:pos="0"/>
                <w:tab w:val="left" w:pos="3420"/>
              </w:tabs>
              <w:spacing w:after="0" w:line="240" w:lineRule="auto"/>
              <w:rPr>
                <w:rFonts w:ascii="Garamond" w:hAnsi="Garamond"/>
                <w:sz w:val="24"/>
              </w:rPr>
            </w:pPr>
            <w:r>
              <w:rPr>
                <w:rFonts w:ascii="Garamond" w:hAnsi="Garamond"/>
                <w:b/>
                <w:sz w:val="24"/>
              </w:rPr>
              <w:t>Инициатор:</w:t>
            </w:r>
            <w:r w:rsidR="006E5DAA">
              <w:rPr>
                <w:rFonts w:ascii="Garamond" w:hAnsi="Garamond"/>
                <w:b/>
                <w:sz w:val="24"/>
              </w:rPr>
              <w:t xml:space="preserve"> </w:t>
            </w:r>
            <w:r w:rsidR="006E5DAA" w:rsidRPr="00C510FC">
              <w:rPr>
                <w:rFonts w:ascii="Garamond" w:hAnsi="Garamond"/>
                <w:sz w:val="24"/>
              </w:rPr>
              <w:t>ООО «ЛУКОЙЛ-Кубаньэнерго»</w:t>
            </w:r>
            <w:r w:rsidR="00FD47CC">
              <w:rPr>
                <w:rFonts w:ascii="Garamond" w:hAnsi="Garamond"/>
                <w:sz w:val="24"/>
              </w:rPr>
              <w:t>.</w:t>
            </w:r>
          </w:p>
          <w:p w:rsidR="00F4583B" w:rsidRDefault="008E3836">
            <w:pPr>
              <w:autoSpaceDE w:val="0"/>
              <w:autoSpaceDN w:val="0"/>
              <w:adjustRightInd w:val="0"/>
              <w:spacing w:after="0" w:line="240" w:lineRule="auto"/>
              <w:jc w:val="both"/>
              <w:outlineLvl w:val="0"/>
              <w:rPr>
                <w:rFonts w:ascii="Garamond" w:hAnsi="Garamond"/>
                <w:sz w:val="24"/>
              </w:rPr>
            </w:pPr>
            <w:r>
              <w:rPr>
                <w:rFonts w:ascii="Garamond" w:hAnsi="Garamond"/>
                <w:b/>
                <w:sz w:val="24"/>
              </w:rPr>
              <w:t xml:space="preserve">Обоснование: </w:t>
            </w:r>
            <w:r>
              <w:rPr>
                <w:rFonts w:ascii="Garamond" w:hAnsi="Garamond"/>
                <w:sz w:val="24"/>
              </w:rPr>
              <w:t xml:space="preserve">уточнить порядок взаимодействия участников оптового рынка </w:t>
            </w:r>
            <w:r w:rsidR="00463488">
              <w:rPr>
                <w:rFonts w:ascii="Garamond" w:hAnsi="Garamond"/>
                <w:sz w:val="24"/>
              </w:rPr>
              <w:t xml:space="preserve">и АО «ЦФР» </w:t>
            </w:r>
            <w:r>
              <w:rPr>
                <w:rFonts w:ascii="Garamond" w:hAnsi="Garamond"/>
                <w:sz w:val="24"/>
              </w:rPr>
              <w:t xml:space="preserve">по учету обязательств, оплата которых производится вне уполномоченной кредитной организации </w:t>
            </w:r>
            <w:r w:rsidR="004A63B2">
              <w:rPr>
                <w:rFonts w:ascii="Garamond" w:hAnsi="Garamond"/>
                <w:sz w:val="24"/>
              </w:rPr>
              <w:t xml:space="preserve">на основании судебного акта </w:t>
            </w:r>
            <w:r>
              <w:rPr>
                <w:rFonts w:ascii="Garamond" w:hAnsi="Garamond"/>
                <w:sz w:val="24"/>
              </w:rPr>
              <w:t>в соответствии с Регламентом финансовых расчетов на оптовом рынке электроэнергии.</w:t>
            </w:r>
          </w:p>
          <w:p w:rsidR="00F4583B" w:rsidRDefault="008E3836" w:rsidP="00923D9E">
            <w:pPr>
              <w:autoSpaceDE w:val="0"/>
              <w:autoSpaceDN w:val="0"/>
              <w:adjustRightInd w:val="0"/>
              <w:spacing w:after="0" w:line="240" w:lineRule="auto"/>
              <w:jc w:val="both"/>
              <w:outlineLvl w:val="0"/>
              <w:rPr>
                <w:rFonts w:ascii="Garamond" w:hAnsi="Garamond"/>
              </w:rPr>
            </w:pPr>
            <w:r>
              <w:rPr>
                <w:rFonts w:ascii="Garamond" w:hAnsi="Garamond"/>
                <w:b/>
                <w:sz w:val="24"/>
              </w:rPr>
              <w:t>Дата вступления в силу:</w:t>
            </w:r>
            <w:r>
              <w:rPr>
                <w:rFonts w:ascii="Garamond" w:hAnsi="Garamond"/>
                <w:sz w:val="24"/>
              </w:rPr>
              <w:t xml:space="preserve"> </w:t>
            </w:r>
            <w:r w:rsidR="004A63B2">
              <w:rPr>
                <w:rFonts w:ascii="Garamond" w:hAnsi="Garamond"/>
                <w:sz w:val="24"/>
              </w:rPr>
              <w:t>1</w:t>
            </w:r>
            <w:r w:rsidR="00923D9E">
              <w:rPr>
                <w:rFonts w:ascii="Garamond" w:hAnsi="Garamond"/>
                <w:sz w:val="24"/>
              </w:rPr>
              <w:t xml:space="preserve"> августа </w:t>
            </w:r>
            <w:r w:rsidR="004A63B2">
              <w:rPr>
                <w:rFonts w:ascii="Garamond" w:hAnsi="Garamond"/>
                <w:sz w:val="24"/>
              </w:rPr>
              <w:t>2019</w:t>
            </w:r>
            <w:r w:rsidR="00923D9E">
              <w:rPr>
                <w:rFonts w:ascii="Garamond" w:hAnsi="Garamond"/>
                <w:sz w:val="24"/>
              </w:rPr>
              <w:t xml:space="preserve"> года</w:t>
            </w:r>
            <w:r>
              <w:rPr>
                <w:rFonts w:ascii="Garamond" w:hAnsi="Garamond"/>
                <w:sz w:val="24"/>
              </w:rPr>
              <w:t>.</w:t>
            </w:r>
          </w:p>
        </w:tc>
      </w:tr>
    </w:tbl>
    <w:p w:rsidR="00F4583B" w:rsidRDefault="00F4583B">
      <w:pPr>
        <w:widowControl w:val="0"/>
        <w:spacing w:after="0" w:line="240" w:lineRule="auto"/>
        <w:rPr>
          <w:rFonts w:ascii="Garamond" w:hAnsi="Garamond"/>
        </w:rPr>
      </w:pPr>
    </w:p>
    <w:p w:rsidR="00F4583B" w:rsidRDefault="008E3836">
      <w:pPr>
        <w:spacing w:after="0" w:line="240" w:lineRule="auto"/>
        <w:rPr>
          <w:rFonts w:ascii="Garamond" w:hAnsi="Garamond"/>
        </w:rPr>
      </w:pPr>
      <w:r>
        <w:rPr>
          <w:rFonts w:ascii="Garamond" w:hAnsi="Garamond"/>
          <w:b/>
          <w:sz w:val="26"/>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rsidR="00F4583B" w:rsidRDefault="00F4583B">
      <w:pPr>
        <w:tabs>
          <w:tab w:val="left" w:pos="709"/>
        </w:tabs>
        <w:spacing w:after="0" w:line="240" w:lineRule="auto"/>
        <w:jc w:val="center"/>
        <w:rPr>
          <w:rFonts w:ascii="Garamond" w:hAnsi="Garamond"/>
          <w:b/>
          <w:sz w:val="26"/>
          <w:szCs w:val="26"/>
        </w:rPr>
      </w:pPr>
    </w:p>
    <w:tbl>
      <w:tblPr>
        <w:tblW w:w="4897"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6809"/>
        <w:gridCol w:w="6804"/>
      </w:tblGrid>
      <w:tr w:rsidR="002515C0" w:rsidTr="00FD47CC">
        <w:trPr>
          <w:trHeight w:val="646"/>
        </w:trPr>
        <w:tc>
          <w:tcPr>
            <w:tcW w:w="338" w:type="pct"/>
            <w:tcMar>
              <w:top w:w="0" w:type="dxa"/>
              <w:left w:w="57" w:type="dxa"/>
              <w:bottom w:w="0" w:type="dxa"/>
              <w:right w:w="57" w:type="dxa"/>
            </w:tcMar>
            <w:vAlign w:val="center"/>
          </w:tcPr>
          <w:p w:rsidR="002515C0" w:rsidRDefault="002515C0">
            <w:pPr>
              <w:spacing w:after="0" w:line="240" w:lineRule="auto"/>
              <w:jc w:val="center"/>
              <w:rPr>
                <w:rFonts w:ascii="Garamond" w:hAnsi="Garamond" w:cs="Garamond"/>
                <w:b/>
                <w:bCs/>
              </w:rPr>
            </w:pPr>
            <w:r>
              <w:rPr>
                <w:rFonts w:ascii="Garamond" w:hAnsi="Garamond" w:cs="Garamond"/>
                <w:b/>
                <w:bCs/>
              </w:rPr>
              <w:t>№</w:t>
            </w:r>
          </w:p>
          <w:p w:rsidR="002515C0" w:rsidRDefault="002515C0">
            <w:pPr>
              <w:spacing w:after="0" w:line="240" w:lineRule="auto"/>
              <w:jc w:val="center"/>
              <w:rPr>
                <w:rFonts w:ascii="Garamond" w:hAnsi="Garamond" w:cs="Garamond"/>
                <w:b/>
                <w:bCs/>
                <w:lang w:val="en-GB"/>
              </w:rPr>
            </w:pPr>
            <w:r>
              <w:rPr>
                <w:rFonts w:ascii="Garamond" w:hAnsi="Garamond" w:cs="Garamond"/>
                <w:b/>
                <w:bCs/>
              </w:rPr>
              <w:t>пункта</w:t>
            </w:r>
          </w:p>
        </w:tc>
        <w:tc>
          <w:tcPr>
            <w:tcW w:w="2332" w:type="pct"/>
            <w:vAlign w:val="center"/>
          </w:tcPr>
          <w:p w:rsidR="002515C0" w:rsidRPr="002515C0" w:rsidRDefault="002515C0" w:rsidP="002515C0">
            <w:pPr>
              <w:spacing w:after="0" w:line="240" w:lineRule="auto"/>
              <w:jc w:val="center"/>
              <w:rPr>
                <w:rFonts w:ascii="Garamond" w:hAnsi="Garamond" w:cs="Garamond"/>
                <w:b/>
              </w:rPr>
            </w:pPr>
            <w:r w:rsidRPr="002515C0">
              <w:rPr>
                <w:rFonts w:ascii="Garamond" w:hAnsi="Garamond" w:cs="Garamond"/>
                <w:b/>
              </w:rPr>
              <w:t xml:space="preserve">Редакция, действующая на момент </w:t>
            </w:r>
          </w:p>
          <w:p w:rsidR="002515C0" w:rsidRPr="002515C0" w:rsidRDefault="002515C0" w:rsidP="002515C0">
            <w:pPr>
              <w:spacing w:after="0" w:line="240" w:lineRule="auto"/>
              <w:jc w:val="center"/>
              <w:rPr>
                <w:rFonts w:ascii="Garamond" w:hAnsi="Garamond" w:cs="Garamond"/>
              </w:rPr>
            </w:pPr>
            <w:r w:rsidRPr="002515C0">
              <w:rPr>
                <w:rFonts w:ascii="Garamond" w:hAnsi="Garamond" w:cs="Garamond"/>
                <w:b/>
              </w:rPr>
              <w:t>вступления в силу изменений</w:t>
            </w:r>
          </w:p>
        </w:tc>
        <w:tc>
          <w:tcPr>
            <w:tcW w:w="2330" w:type="pct"/>
            <w:vAlign w:val="center"/>
          </w:tcPr>
          <w:p w:rsidR="002515C0" w:rsidRPr="002515C0" w:rsidRDefault="002515C0" w:rsidP="002515C0">
            <w:pPr>
              <w:spacing w:after="0" w:line="240" w:lineRule="auto"/>
              <w:jc w:val="center"/>
              <w:rPr>
                <w:rFonts w:ascii="Garamond" w:hAnsi="Garamond" w:cs="Garamond"/>
                <w:b/>
              </w:rPr>
            </w:pPr>
            <w:r w:rsidRPr="002515C0">
              <w:rPr>
                <w:rFonts w:ascii="Garamond" w:hAnsi="Garamond" w:cs="Garamond"/>
                <w:b/>
              </w:rPr>
              <w:t>Предлагаемая редакция</w:t>
            </w:r>
          </w:p>
          <w:p w:rsidR="002515C0" w:rsidRPr="002515C0" w:rsidRDefault="002515C0" w:rsidP="002515C0">
            <w:pPr>
              <w:spacing w:after="0" w:line="240" w:lineRule="auto"/>
              <w:jc w:val="center"/>
              <w:rPr>
                <w:rFonts w:ascii="Garamond" w:hAnsi="Garamond" w:cs="Garamond"/>
              </w:rPr>
            </w:pPr>
            <w:r w:rsidRPr="002515C0">
              <w:rPr>
                <w:rFonts w:ascii="Garamond" w:hAnsi="Garamond" w:cs="Garamond"/>
              </w:rPr>
              <w:t>(изменения выделены цветом)</w:t>
            </w:r>
          </w:p>
        </w:tc>
      </w:tr>
      <w:tr w:rsidR="002515C0" w:rsidTr="00FD47CC">
        <w:trPr>
          <w:trHeight w:val="435"/>
        </w:trPr>
        <w:tc>
          <w:tcPr>
            <w:tcW w:w="338" w:type="pct"/>
            <w:tcMar>
              <w:top w:w="0" w:type="dxa"/>
              <w:left w:w="57" w:type="dxa"/>
              <w:bottom w:w="0" w:type="dxa"/>
              <w:right w:w="57" w:type="dxa"/>
            </w:tcMar>
            <w:vAlign w:val="center"/>
          </w:tcPr>
          <w:p w:rsidR="002515C0" w:rsidRDefault="002515C0">
            <w:pPr>
              <w:spacing w:before="120" w:after="120" w:line="240" w:lineRule="auto"/>
              <w:jc w:val="center"/>
              <w:rPr>
                <w:rFonts w:ascii="Garamond" w:hAnsi="Garamond" w:cs="Garamond"/>
                <w:b/>
                <w:bCs/>
              </w:rPr>
            </w:pPr>
            <w:r>
              <w:rPr>
                <w:rFonts w:ascii="Garamond" w:hAnsi="Garamond" w:cs="Garamond"/>
                <w:b/>
                <w:bCs/>
              </w:rPr>
              <w:t>Раздел 19</w:t>
            </w:r>
          </w:p>
        </w:tc>
        <w:tc>
          <w:tcPr>
            <w:tcW w:w="2332" w:type="pct"/>
            <w:vAlign w:val="center"/>
          </w:tcPr>
          <w:p w:rsidR="002515C0" w:rsidRPr="002515C0" w:rsidRDefault="002515C0">
            <w:pPr>
              <w:pStyle w:val="1"/>
            </w:pPr>
            <w:r w:rsidRPr="002515C0">
              <w:t>ПОРЯДОК ВЗАИМОДЕЙСТВИЯ ЦФР И УЧАСТНИКОВ ОПТОВОГО РЫНКА ПО УЧЕТУ ОБЯЗАТЕЛЬСТВ ПО ОПЛАТЕ, ИСПОЛНЕНИЕ КОТОРЫХ ОСУЩЕСТВЛЯЕТСЯ ВНЕ УПОЛНОМОЧЕННОЙ КРЕДИТНОЙ ОРГАНИЗАЦИИ</w:t>
            </w:r>
          </w:p>
          <w:p w:rsidR="002515C0" w:rsidRPr="002515C0" w:rsidRDefault="002515C0">
            <w:pPr>
              <w:spacing w:before="120" w:after="120" w:line="240" w:lineRule="auto"/>
              <w:jc w:val="both"/>
              <w:rPr>
                <w:rFonts w:ascii="Garamond" w:hAnsi="Garamond"/>
              </w:rPr>
            </w:pPr>
            <w:r w:rsidRPr="002515C0">
              <w:rPr>
                <w:rFonts w:ascii="Garamond" w:hAnsi="Garamond"/>
              </w:rPr>
              <w:t>19.1. В соответствии с настоящим разделом ЦФР учитывает прекращение обязательств по оплате или прекращает учет обязательств, исполнение которых осуществляется без использования торговых счетов участников оптового рынка, открытых в уполномоченной кредитной организации, в следующих случаях:</w:t>
            </w:r>
          </w:p>
          <w:p w:rsidR="002515C0" w:rsidRPr="002515C0" w:rsidRDefault="002515C0">
            <w:pPr>
              <w:spacing w:before="120" w:after="120" w:line="240" w:lineRule="auto"/>
              <w:ind w:firstLine="710"/>
              <w:jc w:val="both"/>
              <w:rPr>
                <w:rFonts w:ascii="Garamond" w:hAnsi="Garamond"/>
              </w:rPr>
            </w:pPr>
            <w:r w:rsidRPr="002515C0">
              <w:rPr>
                <w:rFonts w:ascii="Garamond" w:hAnsi="Garamond"/>
              </w:rPr>
              <w:t xml:space="preserve">– </w:t>
            </w:r>
            <w:r w:rsidRPr="001A6CD6">
              <w:rPr>
                <w:rFonts w:ascii="Garamond" w:hAnsi="Garamond"/>
                <w:highlight w:val="yellow"/>
              </w:rPr>
              <w:t>вступления в законную</w:t>
            </w:r>
            <w:r w:rsidR="001A6CD6" w:rsidRPr="001A6CD6">
              <w:rPr>
                <w:rFonts w:ascii="Garamond" w:hAnsi="Garamond"/>
                <w:highlight w:val="yellow"/>
              </w:rPr>
              <w:t xml:space="preserve"> </w:t>
            </w:r>
            <w:r w:rsidRPr="001A6CD6">
              <w:rPr>
                <w:rFonts w:ascii="Garamond" w:hAnsi="Garamond"/>
                <w:highlight w:val="yellow"/>
              </w:rPr>
              <w:t>силу</w:t>
            </w:r>
            <w:r w:rsidRPr="002515C0">
              <w:rPr>
                <w:rFonts w:ascii="Garamond" w:hAnsi="Garamond"/>
              </w:rPr>
              <w:t xml:space="preserve"> судебного акта (в том числе решения третейского суда) о взыскании задолженности по договорам, заключенным на оптовом рынке (далее – взыскание задолженности в судебном порядке). В указанном судебном акте в качестве истца и ответчика должны быть указаны участники оптового рынка, ФСК, СО, АТС, ЦФР, являющиеся кредитором и должником в обязательстве по оплате;</w:t>
            </w:r>
          </w:p>
          <w:p w:rsidR="002515C0" w:rsidRPr="002515C0" w:rsidRDefault="002515C0">
            <w:pPr>
              <w:spacing w:before="120" w:after="120" w:line="240" w:lineRule="auto"/>
              <w:ind w:firstLine="710"/>
              <w:jc w:val="both"/>
              <w:rPr>
                <w:rFonts w:ascii="Garamond" w:hAnsi="Garamond"/>
              </w:rPr>
            </w:pPr>
            <w:r w:rsidRPr="002515C0">
              <w:rPr>
                <w:rFonts w:ascii="Garamond" w:hAnsi="Garamond"/>
              </w:rPr>
              <w:t xml:space="preserve">– лишения участника оптового рынка статуса субъекта оптового </w:t>
            </w:r>
            <w:r w:rsidRPr="002515C0">
              <w:rPr>
                <w:rFonts w:ascii="Garamond" w:hAnsi="Garamond"/>
              </w:rPr>
              <w:lastRenderedPageBreak/>
              <w:t>рынка или права участия в торговле электрической энергией (мощностью) на оптовом рынке в отношении всех зарегистрированных за ним ГТП (далее – лишения права на участие или статуса);</w:t>
            </w:r>
          </w:p>
          <w:p w:rsidR="002515C0" w:rsidRPr="002515C0" w:rsidRDefault="002515C0">
            <w:pPr>
              <w:spacing w:before="120" w:after="120" w:line="240" w:lineRule="auto"/>
              <w:ind w:firstLine="710"/>
              <w:jc w:val="both"/>
              <w:rPr>
                <w:rFonts w:ascii="Garamond" w:hAnsi="Garamond"/>
              </w:rPr>
            </w:pPr>
            <w:r w:rsidRPr="002515C0">
              <w:rPr>
                <w:rFonts w:ascii="Garamond" w:hAnsi="Garamond"/>
              </w:rPr>
              <w:t>– заключения дополнительных соглашений к РД о порядке расчетов потребителями с низкой платежной дисциплиной (далее – заключение дополнительных соглашений к РД);</w:t>
            </w:r>
          </w:p>
          <w:p w:rsidR="002515C0" w:rsidRPr="002515C0" w:rsidRDefault="002515C0">
            <w:pPr>
              <w:spacing w:before="120" w:after="120" w:line="240" w:lineRule="auto"/>
              <w:ind w:firstLine="710"/>
              <w:jc w:val="both"/>
              <w:rPr>
                <w:rFonts w:ascii="Garamond" w:hAnsi="Garamond"/>
              </w:rPr>
            </w:pPr>
            <w:r w:rsidRPr="002515C0">
              <w:rPr>
                <w:rFonts w:ascii="Garamond" w:hAnsi="Garamond"/>
              </w:rPr>
              <w:t>– вступления в законную силу судебного акта о признании участника оптового рынка несостоятельным (банкротом) и введения в отношении него процедуры конкурсного производства (далее – признание участника оптового рынка банкротом);</w:t>
            </w:r>
          </w:p>
          <w:p w:rsidR="002515C0" w:rsidRPr="002515C0" w:rsidRDefault="002515C0">
            <w:pPr>
              <w:spacing w:before="120" w:after="120" w:line="240" w:lineRule="auto"/>
              <w:ind w:firstLine="710"/>
              <w:jc w:val="both"/>
              <w:rPr>
                <w:rFonts w:ascii="Garamond" w:hAnsi="Garamond"/>
              </w:rPr>
            </w:pPr>
            <w:r w:rsidRPr="002515C0">
              <w:rPr>
                <w:rFonts w:ascii="Garamond" w:hAnsi="Garamond"/>
              </w:rPr>
              <w:t>– передачи в соответствии с разделом 14 настоящего Регламента участнику оптового рынка, являющемуся комитентом в договорах комиссии, заключенных с ЦФР, прав по неисполненному договору купли-продажи, заключенному с ЦФР.</w:t>
            </w:r>
          </w:p>
          <w:p w:rsidR="002515C0" w:rsidRPr="002515C0" w:rsidRDefault="002515C0">
            <w:pPr>
              <w:spacing w:before="120" w:after="120" w:line="240" w:lineRule="auto"/>
              <w:ind w:firstLine="708"/>
              <w:jc w:val="both"/>
              <w:rPr>
                <w:rFonts w:ascii="Garamond" w:hAnsi="Garamond"/>
              </w:rPr>
            </w:pPr>
            <w:r w:rsidRPr="002515C0">
              <w:rPr>
                <w:rFonts w:ascii="Garamond" w:hAnsi="Garamond"/>
              </w:rPr>
              <w:t>Под обязательствами по оплате в целях настоящего раздела понимаются обязательства по оплате электрической энергии, мощности, услуг по договорам, заключенным на оптовом рынке, обязательства по оплате неустойки (пени), штрафов за нарушение обязательств по договорам, заключенным на оптовом рынке, а также обязательств по оплате денежной суммы, обусловленной отказом от исполнения обязательств по договорам купли-продажи.</w:t>
            </w:r>
          </w:p>
          <w:p w:rsidR="002515C0" w:rsidRPr="00616D0C" w:rsidRDefault="002515C0" w:rsidP="00616D0C">
            <w:pPr>
              <w:spacing w:before="120" w:after="120" w:line="240" w:lineRule="auto"/>
              <w:ind w:firstLine="708"/>
              <w:jc w:val="both"/>
              <w:rPr>
                <w:rFonts w:ascii="Garamond" w:hAnsi="Garamond"/>
              </w:rPr>
            </w:pPr>
            <w:r w:rsidRPr="002515C0">
              <w:rPr>
                <w:rFonts w:ascii="Garamond" w:hAnsi="Garamond"/>
              </w:rPr>
              <w:t>ЦФР учитывает прекращение обязательств по оплате или прекращает учет обязательств при условии предоставления участником оптового рынка, ФСК, СО, АТС (далее – кредитором или должником) в порядке и сроки, предусмотренные настоящим разделом, документов, указанных в пунктах настоящего Регламента.</w:t>
            </w:r>
          </w:p>
        </w:tc>
        <w:tc>
          <w:tcPr>
            <w:tcW w:w="2330" w:type="pct"/>
            <w:vAlign w:val="center"/>
          </w:tcPr>
          <w:p w:rsidR="002515C0" w:rsidRPr="002515C0" w:rsidRDefault="002515C0" w:rsidP="00E75718">
            <w:pPr>
              <w:pStyle w:val="1"/>
            </w:pPr>
            <w:r w:rsidRPr="002515C0">
              <w:lastRenderedPageBreak/>
              <w:t>ПОРЯДОК ВЗАИМОДЕЙСТВИЯ ЦФР И УЧАСТНИКОВ ОПТОВОГО РЫНКА ПО УЧЕТУ ОБЯЗАТЕЛЬСТВ ПО ОПЛАТЕ, ИСПОЛНЕНИЕ КОТОРЫХ ОСУЩЕСТВЛЯЕТСЯ ВНЕ УПОЛНОМОЧЕННОЙ КРЕДИТНОЙ ОРГАНИЗАЦИИ</w:t>
            </w:r>
          </w:p>
          <w:p w:rsidR="002515C0" w:rsidRPr="002515C0" w:rsidRDefault="002515C0" w:rsidP="00E75718">
            <w:pPr>
              <w:spacing w:before="120" w:after="120" w:line="240" w:lineRule="auto"/>
              <w:jc w:val="both"/>
              <w:rPr>
                <w:rFonts w:ascii="Garamond" w:hAnsi="Garamond"/>
              </w:rPr>
            </w:pPr>
            <w:r w:rsidRPr="002515C0">
              <w:rPr>
                <w:rFonts w:ascii="Garamond" w:hAnsi="Garamond"/>
              </w:rPr>
              <w:t>19.1. В соответствии с настоящим разделом ЦФР учитывает прекращение обязательств по оплате или прекращает учет обязательств, исполнение которых осуществляется без использования торговых счетов участников оптового рынка, открытых в уполномоченной кредитной организации, в следующих случаях:</w:t>
            </w:r>
          </w:p>
          <w:p w:rsidR="002515C0" w:rsidRDefault="002515C0" w:rsidP="00E75718">
            <w:pPr>
              <w:spacing w:before="120" w:after="120" w:line="240" w:lineRule="auto"/>
              <w:ind w:firstLine="710"/>
              <w:jc w:val="both"/>
              <w:rPr>
                <w:rFonts w:ascii="Garamond" w:hAnsi="Garamond"/>
              </w:rPr>
            </w:pPr>
            <w:r w:rsidRPr="002515C0">
              <w:rPr>
                <w:rFonts w:ascii="Garamond" w:hAnsi="Garamond"/>
              </w:rPr>
              <w:t xml:space="preserve">– </w:t>
            </w:r>
            <w:r w:rsidRPr="002515C0">
              <w:rPr>
                <w:rFonts w:ascii="Garamond" w:hAnsi="Garamond"/>
                <w:highlight w:val="yellow"/>
              </w:rPr>
              <w:t>принятия</w:t>
            </w:r>
            <w:r w:rsidRPr="002515C0">
              <w:rPr>
                <w:rFonts w:ascii="Garamond" w:hAnsi="Garamond"/>
              </w:rPr>
              <w:t xml:space="preserve"> судебного акта (в том числе решения третейского суда) о взыскании задолженности по договорам, заключенным на оптовом рынке (далее – взыскание задолженности в судебном порядке). В указанном судебном акте в качестве истца и ответчика должны быть указаны участники оптового рынка, ФСК, СО, АТС, ЦФР, являющиеся кредитором и должником в обязательстве по оплате;</w:t>
            </w:r>
          </w:p>
          <w:p w:rsidR="00616D0C" w:rsidRPr="002515C0" w:rsidRDefault="00616D0C" w:rsidP="00E75718">
            <w:pPr>
              <w:spacing w:before="120" w:after="120" w:line="240" w:lineRule="auto"/>
              <w:ind w:firstLine="710"/>
              <w:jc w:val="both"/>
              <w:rPr>
                <w:rFonts w:ascii="Garamond" w:hAnsi="Garamond"/>
              </w:rPr>
            </w:pPr>
          </w:p>
          <w:p w:rsidR="002515C0" w:rsidRPr="002515C0" w:rsidRDefault="002515C0" w:rsidP="00E75718">
            <w:pPr>
              <w:spacing w:before="120" w:after="120" w:line="240" w:lineRule="auto"/>
              <w:ind w:firstLine="710"/>
              <w:jc w:val="both"/>
              <w:rPr>
                <w:rFonts w:ascii="Garamond" w:hAnsi="Garamond"/>
              </w:rPr>
            </w:pPr>
            <w:r w:rsidRPr="002515C0">
              <w:rPr>
                <w:rFonts w:ascii="Garamond" w:hAnsi="Garamond"/>
              </w:rPr>
              <w:lastRenderedPageBreak/>
              <w:t>– лишения участника оптового рынка статуса субъекта оптового рынка или права участия в торговле электрической энергией (мощностью) на оптовом рынке в отношении всех зарегистрированных за ним ГТП (далее – лишения права на участие или статуса);</w:t>
            </w:r>
          </w:p>
          <w:p w:rsidR="002515C0" w:rsidRPr="002515C0" w:rsidRDefault="002515C0" w:rsidP="00E75718">
            <w:pPr>
              <w:spacing w:before="120" w:after="120" w:line="240" w:lineRule="auto"/>
              <w:ind w:firstLine="710"/>
              <w:jc w:val="both"/>
              <w:rPr>
                <w:rFonts w:ascii="Garamond" w:hAnsi="Garamond"/>
              </w:rPr>
            </w:pPr>
            <w:r w:rsidRPr="002515C0">
              <w:rPr>
                <w:rFonts w:ascii="Garamond" w:hAnsi="Garamond"/>
              </w:rPr>
              <w:t>– заключения дополнительных соглашений к РД о порядке расчетов потребителями с низкой платежной дисциплиной (далее – заключение дополнительных соглашений к РД);</w:t>
            </w:r>
          </w:p>
          <w:p w:rsidR="002515C0" w:rsidRPr="002515C0" w:rsidRDefault="002515C0" w:rsidP="00E75718">
            <w:pPr>
              <w:spacing w:before="120" w:after="120" w:line="240" w:lineRule="auto"/>
              <w:ind w:firstLine="710"/>
              <w:jc w:val="both"/>
              <w:rPr>
                <w:rFonts w:ascii="Garamond" w:hAnsi="Garamond"/>
              </w:rPr>
            </w:pPr>
            <w:r w:rsidRPr="002515C0">
              <w:rPr>
                <w:rFonts w:ascii="Garamond" w:hAnsi="Garamond"/>
              </w:rPr>
              <w:t>– вступления в законную силу судебного акта о признании участника оптового рынка несостоятельным (банкротом) и введения в отношении него процедуры конкурсного производства (далее – признание участника оптового рынка банкротом);</w:t>
            </w:r>
          </w:p>
          <w:p w:rsidR="002515C0" w:rsidRPr="002515C0" w:rsidRDefault="002515C0" w:rsidP="00E75718">
            <w:pPr>
              <w:spacing w:before="120" w:after="120" w:line="240" w:lineRule="auto"/>
              <w:ind w:firstLine="710"/>
              <w:jc w:val="both"/>
              <w:rPr>
                <w:rFonts w:ascii="Garamond" w:hAnsi="Garamond"/>
              </w:rPr>
            </w:pPr>
            <w:r w:rsidRPr="002515C0">
              <w:rPr>
                <w:rFonts w:ascii="Garamond" w:hAnsi="Garamond"/>
              </w:rPr>
              <w:t>– передачи в соответствии с разделом 14 настоящего Регламента участнику оптового рынка, являющемуся комитентом в договорах комиссии, заключенных с ЦФР, прав по неисполненному договору купли-продажи, заключенному с ЦФР.</w:t>
            </w:r>
          </w:p>
          <w:p w:rsidR="002515C0" w:rsidRPr="002515C0" w:rsidRDefault="002515C0" w:rsidP="00E75718">
            <w:pPr>
              <w:spacing w:before="120" w:after="120" w:line="240" w:lineRule="auto"/>
              <w:ind w:firstLine="708"/>
              <w:jc w:val="both"/>
              <w:rPr>
                <w:rFonts w:ascii="Garamond" w:hAnsi="Garamond"/>
              </w:rPr>
            </w:pPr>
            <w:r w:rsidRPr="002515C0">
              <w:rPr>
                <w:rFonts w:ascii="Garamond" w:hAnsi="Garamond"/>
              </w:rPr>
              <w:t>Под обязательствами по оплате в целях настоящего раздела понимаются обязательства по оплате электрической энергии, мощности, услуг по договорам, заключенным на оптовом рынке, обязательства по оплате неустойки (пени), штрафов за нарушение обязательств по договорам, заключенным на оптовом рынке, а также обязательств по оплате денежной суммы, обусловленной отказом от исполнения обязательств по договорам купли-продажи.</w:t>
            </w:r>
          </w:p>
          <w:p w:rsidR="002515C0" w:rsidRPr="00616D0C" w:rsidRDefault="002515C0" w:rsidP="00616D0C">
            <w:pPr>
              <w:spacing w:before="120" w:after="120" w:line="240" w:lineRule="auto"/>
              <w:ind w:firstLine="708"/>
              <w:jc w:val="both"/>
              <w:rPr>
                <w:rFonts w:ascii="Garamond" w:hAnsi="Garamond"/>
              </w:rPr>
            </w:pPr>
            <w:r w:rsidRPr="002515C0">
              <w:rPr>
                <w:rFonts w:ascii="Garamond" w:hAnsi="Garamond"/>
              </w:rPr>
              <w:t>ЦФР учитывает прекращение обязательств по оплате или прекращает учет обязательств при условии предоставления участником оптового рынка, ФСК, СО, АТС (далее – кредитором или должником) в порядке и сроки, предусмотренные настоящим разделом, документов, указанных в пунктах настоящего Регламента.</w:t>
            </w:r>
          </w:p>
        </w:tc>
      </w:tr>
    </w:tbl>
    <w:p w:rsidR="00F4583B" w:rsidRDefault="00F4583B">
      <w:pPr>
        <w:widowControl w:val="0"/>
        <w:rPr>
          <w:rFonts w:ascii="Garamond" w:hAnsi="Garamond"/>
          <w:b/>
          <w:sz w:val="24"/>
        </w:rPr>
      </w:pPr>
    </w:p>
    <w:sectPr w:rsidR="00F4583B">
      <w:footerReference w:type="default" r:id="rId8"/>
      <w:footnotePr>
        <w:numRestart w:val="eachPage"/>
      </w:footnotePr>
      <w:type w:val="continuous"/>
      <w:pgSz w:w="16839" w:h="11907" w:orient="landscape" w:code="9"/>
      <w:pgMar w:top="1134" w:right="67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325" w:rsidRDefault="008C1325">
      <w:pPr>
        <w:spacing w:after="0" w:line="240" w:lineRule="auto"/>
      </w:pPr>
      <w:r>
        <w:separator/>
      </w:r>
    </w:p>
  </w:endnote>
  <w:endnote w:type="continuationSeparator" w:id="0">
    <w:p w:rsidR="008C1325" w:rsidRDefault="008C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410026"/>
      <w:docPartObj>
        <w:docPartGallery w:val="Page Numbers (Bottom of Page)"/>
        <w:docPartUnique/>
      </w:docPartObj>
    </w:sdtPr>
    <w:sdtEndPr/>
    <w:sdtContent>
      <w:p w:rsidR="00997373" w:rsidRDefault="00997373">
        <w:pPr>
          <w:pStyle w:val="a3"/>
          <w:jc w:val="right"/>
        </w:pPr>
        <w:r>
          <w:fldChar w:fldCharType="begin"/>
        </w:r>
        <w:r>
          <w:instrText>PAGE   \* MERGEFORMAT</w:instrText>
        </w:r>
        <w:r>
          <w:fldChar w:fldCharType="separate"/>
        </w:r>
        <w:r w:rsidR="00FD47CC">
          <w:rPr>
            <w:noProof/>
          </w:rPr>
          <w:t>1</w:t>
        </w:r>
        <w:r>
          <w:fldChar w:fldCharType="end"/>
        </w:r>
      </w:p>
    </w:sdtContent>
  </w:sdt>
  <w:p w:rsidR="00997373" w:rsidRDefault="0099737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325" w:rsidRDefault="008C1325">
      <w:pPr>
        <w:spacing w:after="0" w:line="240" w:lineRule="auto"/>
      </w:pPr>
      <w:r>
        <w:separator/>
      </w:r>
    </w:p>
  </w:footnote>
  <w:footnote w:type="continuationSeparator" w:id="0">
    <w:p w:rsidR="008C1325" w:rsidRDefault="008C13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F020D"/>
    <w:multiLevelType w:val="hybridMultilevel"/>
    <w:tmpl w:val="E81AC3CC"/>
    <w:lvl w:ilvl="0" w:tplc="0419000F">
      <w:start w:val="1"/>
      <w:numFmt w:val="decimal"/>
      <w:lvlText w:val="%1."/>
      <w:lvlJc w:val="left"/>
      <w:pPr>
        <w:ind w:left="720" w:hanging="360"/>
      </w:pPr>
      <w:rPr>
        <w:rFonts w:hint="default"/>
        <w:b w:val="0"/>
        <w:i w:val="0"/>
        <w:sz w:val="20"/>
        <w:szCs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1621E77"/>
    <w:multiLevelType w:val="hybridMultilevel"/>
    <w:tmpl w:val="E81AC3CC"/>
    <w:lvl w:ilvl="0" w:tplc="0419000F">
      <w:start w:val="1"/>
      <w:numFmt w:val="decimal"/>
      <w:lvlText w:val="%1."/>
      <w:lvlJc w:val="left"/>
      <w:pPr>
        <w:ind w:left="720" w:hanging="360"/>
      </w:pPr>
      <w:rPr>
        <w:rFonts w:hint="default"/>
        <w:b w:val="0"/>
        <w:i w:val="0"/>
        <w:sz w:val="20"/>
        <w:szCs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C551DC"/>
    <w:multiLevelType w:val="hybridMultilevel"/>
    <w:tmpl w:val="E81AC3CC"/>
    <w:lvl w:ilvl="0" w:tplc="0419000F">
      <w:start w:val="1"/>
      <w:numFmt w:val="decimal"/>
      <w:lvlText w:val="%1."/>
      <w:lvlJc w:val="left"/>
      <w:pPr>
        <w:ind w:left="720" w:hanging="360"/>
      </w:pPr>
      <w:rPr>
        <w:rFonts w:hint="default"/>
        <w:b w:val="0"/>
        <w:i w:val="0"/>
        <w:sz w:val="20"/>
        <w:szCs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035004B"/>
    <w:multiLevelType w:val="hybridMultilevel"/>
    <w:tmpl w:val="CFAEC71C"/>
    <w:lvl w:ilvl="0" w:tplc="07129EC0">
      <w:start w:val="1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2B13CD8"/>
    <w:multiLevelType w:val="hybridMultilevel"/>
    <w:tmpl w:val="C9AA38AE"/>
    <w:lvl w:ilvl="0" w:tplc="6D969B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B1D5E75"/>
    <w:multiLevelType w:val="hybridMultilevel"/>
    <w:tmpl w:val="06789476"/>
    <w:lvl w:ilvl="0" w:tplc="FFFFFFFF">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3B"/>
    <w:rsid w:val="001A6CD6"/>
    <w:rsid w:val="0022666D"/>
    <w:rsid w:val="002515C0"/>
    <w:rsid w:val="0035730F"/>
    <w:rsid w:val="00446C75"/>
    <w:rsid w:val="00463488"/>
    <w:rsid w:val="004802E0"/>
    <w:rsid w:val="00485DBB"/>
    <w:rsid w:val="004A31A0"/>
    <w:rsid w:val="004A63B2"/>
    <w:rsid w:val="004F1979"/>
    <w:rsid w:val="005F29CF"/>
    <w:rsid w:val="00616D0C"/>
    <w:rsid w:val="006E5DAA"/>
    <w:rsid w:val="007F6CE6"/>
    <w:rsid w:val="00852019"/>
    <w:rsid w:val="008C1325"/>
    <w:rsid w:val="008E3836"/>
    <w:rsid w:val="00923D9E"/>
    <w:rsid w:val="00997373"/>
    <w:rsid w:val="009D3D40"/>
    <w:rsid w:val="00A04529"/>
    <w:rsid w:val="00AF39CA"/>
    <w:rsid w:val="00B10053"/>
    <w:rsid w:val="00C367FC"/>
    <w:rsid w:val="00C510FC"/>
    <w:rsid w:val="00CD6481"/>
    <w:rsid w:val="00E80D30"/>
    <w:rsid w:val="00ED30D4"/>
    <w:rsid w:val="00F4583B"/>
    <w:rsid w:val="00FD4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BC101-FC65-4B5B-94C1-1968502E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aliases w:val="Заголовок параграфа (1.),Section,level2 hdg,111"/>
    <w:basedOn w:val="a"/>
    <w:link w:val="10"/>
    <w:autoRedefine/>
    <w:qFormat/>
    <w:pPr>
      <w:keepNext/>
      <w:spacing w:before="120" w:after="120" w:line="240" w:lineRule="auto"/>
      <w:ind w:left="-3"/>
      <w:outlineLvl w:val="0"/>
    </w:pPr>
    <w:rPr>
      <w:rFonts w:ascii="Garamond" w:eastAsia="Times New Roman" w:hAnsi="Garamond" w:cs="Garamond"/>
      <w:b/>
      <w:caps/>
      <w:color w:val="000000"/>
      <w:kern w:val="28"/>
    </w:rPr>
  </w:style>
  <w:style w:type="paragraph" w:styleId="3">
    <w:name w:val="heading 3"/>
    <w:aliases w:val="H3,Заголовок подпукта (1.1.1),Level 1 - 1,o"/>
    <w:basedOn w:val="a"/>
    <w:link w:val="30"/>
    <w:autoRedefine/>
    <w:qFormat/>
    <w:pPr>
      <w:widowControl w:val="0"/>
      <w:spacing w:before="120" w:after="0" w:line="240" w:lineRule="auto"/>
      <w:ind w:firstLine="316"/>
      <w:jc w:val="both"/>
      <w:outlineLvl w:val="2"/>
    </w:pPr>
    <w:rPr>
      <w:rFonts w:ascii="Garamond" w:eastAsia="Times New Roman" w:hAnsi="Garamond"/>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level2 hdg Знак,111 Знак"/>
    <w:link w:val="1"/>
    <w:rPr>
      <w:rFonts w:ascii="Garamond" w:eastAsia="Times New Roman" w:hAnsi="Garamond" w:cs="Garamond"/>
      <w:b/>
      <w:caps/>
      <w:color w:val="000000"/>
      <w:kern w:val="28"/>
      <w:sz w:val="22"/>
      <w:szCs w:val="22"/>
      <w:lang w:eastAsia="en-US"/>
    </w:rPr>
  </w:style>
  <w:style w:type="character" w:customStyle="1" w:styleId="30">
    <w:name w:val="Заголовок 3 Знак"/>
    <w:aliases w:val="H3 Знак,Заголовок подпукта (1.1.1) Знак,Level 1 - 1 Знак,o Знак"/>
    <w:link w:val="3"/>
    <w:rPr>
      <w:rFonts w:ascii="Garamond" w:eastAsia="Times New Roman" w:hAnsi="Garamond"/>
      <w:b/>
      <w:color w:val="000000"/>
      <w:sz w:val="24"/>
      <w:szCs w:val="22"/>
      <w:lang w:eastAsia="en-US"/>
    </w:rPr>
  </w:style>
  <w:style w:type="paragraph" w:styleId="a3">
    <w:name w:val="footer"/>
    <w:basedOn w:val="a"/>
    <w:link w:val="a4"/>
    <w:uiPriority w:val="9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link w:val="a3"/>
    <w:uiPriority w:val="99"/>
    <w:rPr>
      <w:rFonts w:ascii="Times New Roman" w:eastAsia="Times New Roman" w:hAnsi="Times New Roman" w:cs="Times New Roman"/>
      <w:sz w:val="24"/>
      <w:szCs w:val="24"/>
      <w:lang w:eastAsia="ru-RU"/>
    </w:rPr>
  </w:style>
  <w:style w:type="character" w:styleId="a5">
    <w:name w:val="annotation reference"/>
    <w:rPr>
      <w:sz w:val="16"/>
      <w:szCs w:val="16"/>
    </w:rPr>
  </w:style>
  <w:style w:type="paragraph" w:styleId="a6">
    <w:name w:val="annotation text"/>
    <w:basedOn w:val="a"/>
    <w:link w:val="a7"/>
    <w:pPr>
      <w:spacing w:after="0" w:line="240" w:lineRule="auto"/>
    </w:pPr>
    <w:rPr>
      <w:rFonts w:ascii="Times New Roman" w:eastAsia="Times New Roman" w:hAnsi="Times New Roman"/>
      <w:sz w:val="20"/>
      <w:szCs w:val="20"/>
      <w:lang w:eastAsia="ru-RU"/>
    </w:rPr>
  </w:style>
  <w:style w:type="character" w:customStyle="1" w:styleId="a7">
    <w:name w:val="Текст примечания Знак"/>
    <w:link w:val="a6"/>
    <w:rPr>
      <w:rFonts w:ascii="Times New Roman" w:eastAsia="Times New Roman" w:hAnsi="Times New Roman" w:cs="Times New Roman"/>
      <w:sz w:val="20"/>
      <w:szCs w:val="20"/>
      <w:lang w:eastAsia="ru-RU"/>
    </w:rPr>
  </w:style>
  <w:style w:type="paragraph" w:styleId="a8">
    <w:name w:val="List Paragraph"/>
    <w:basedOn w:val="a"/>
    <w:uiPriority w:val="34"/>
    <w:qFormat/>
    <w:pPr>
      <w:spacing w:after="0" w:line="240" w:lineRule="auto"/>
      <w:ind w:left="720"/>
      <w:contextualSpacing/>
    </w:pPr>
    <w:rPr>
      <w:rFonts w:ascii="Times New Roman" w:eastAsia="Times New Roman" w:hAnsi="Times New Roman"/>
      <w:sz w:val="24"/>
      <w:szCs w:val="24"/>
      <w:lang w:eastAsia="ru-RU"/>
    </w:rPr>
  </w:style>
  <w:style w:type="paragraph" w:styleId="a9">
    <w:name w:val="Body Text"/>
    <w:aliases w:val="body text"/>
    <w:basedOn w:val="a"/>
    <w:link w:val="2"/>
    <w:pPr>
      <w:spacing w:before="120" w:after="120" w:line="240" w:lineRule="auto"/>
      <w:jc w:val="both"/>
    </w:pPr>
    <w:rPr>
      <w:rFonts w:ascii="Times New Roman" w:eastAsia="Times New Roman" w:hAnsi="Times New Roman"/>
      <w:szCs w:val="20"/>
      <w:lang w:val="en-GB"/>
    </w:rPr>
  </w:style>
  <w:style w:type="character" w:customStyle="1" w:styleId="aa">
    <w:name w:val="Основной текст Знак"/>
    <w:basedOn w:val="a0"/>
    <w:uiPriority w:val="99"/>
    <w:semiHidden/>
  </w:style>
  <w:style w:type="character" w:customStyle="1" w:styleId="2">
    <w:name w:val="Основной текст Знак2"/>
    <w:aliases w:val="body text Знак1"/>
    <w:link w:val="a9"/>
    <w:rPr>
      <w:rFonts w:ascii="Times New Roman" w:eastAsia="Times New Roman" w:hAnsi="Times New Roman" w:cs="Times New Roman"/>
      <w:szCs w:val="20"/>
      <w:lang w:val="en-GB"/>
    </w:rPr>
  </w:style>
  <w:style w:type="character" w:styleId="ab">
    <w:name w:val="Hyperlink"/>
    <w:uiPriority w:val="99"/>
    <w:rPr>
      <w:color w:val="0000FF"/>
      <w:u w:val="single"/>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Pr>
      <w:rFonts w:ascii="Segoe UI" w:hAnsi="Segoe UI" w:cs="Segoe UI"/>
      <w:sz w:val="18"/>
      <w:szCs w:val="18"/>
    </w:rPr>
  </w:style>
  <w:style w:type="paragraph" w:styleId="ae">
    <w:name w:val="annotation subject"/>
    <w:basedOn w:val="a6"/>
    <w:next w:val="a6"/>
    <w:link w:val="af"/>
    <w:uiPriority w:val="99"/>
    <w:semiHidden/>
    <w:unhideWhenUsed/>
    <w:pPr>
      <w:spacing w:after="160" w:line="259" w:lineRule="auto"/>
    </w:pPr>
    <w:rPr>
      <w:rFonts w:ascii="Calibri" w:eastAsia="Calibri" w:hAnsi="Calibri"/>
      <w:b/>
      <w:bCs/>
      <w:lang w:eastAsia="en-US"/>
    </w:rPr>
  </w:style>
  <w:style w:type="character" w:customStyle="1" w:styleId="af">
    <w:name w:val="Тема примечания Знак"/>
    <w:link w:val="ae"/>
    <w:uiPriority w:val="99"/>
    <w:semiHidden/>
    <w:rPr>
      <w:rFonts w:ascii="Times New Roman" w:eastAsia="Times New Roman" w:hAnsi="Times New Roman" w:cs="Times New Roman"/>
      <w:b/>
      <w:bCs/>
      <w:sz w:val="20"/>
      <w:szCs w:val="20"/>
      <w:lang w:eastAsia="en-US"/>
    </w:rPr>
  </w:style>
  <w:style w:type="paragraph" w:styleId="af0">
    <w:name w:val="footnote text"/>
    <w:basedOn w:val="a"/>
    <w:link w:val="af1"/>
    <w:uiPriority w:val="99"/>
    <w:semiHidden/>
    <w:unhideWhenUsed/>
    <w:rPr>
      <w:sz w:val="20"/>
      <w:szCs w:val="20"/>
    </w:rPr>
  </w:style>
  <w:style w:type="character" w:customStyle="1" w:styleId="af1">
    <w:name w:val="Текст сноски Знак"/>
    <w:link w:val="af0"/>
    <w:uiPriority w:val="99"/>
    <w:semiHidden/>
    <w:rPr>
      <w:lang w:eastAsia="en-US"/>
    </w:rPr>
  </w:style>
  <w:style w:type="character" w:styleId="af2">
    <w:name w:val="footnote reference"/>
    <w:uiPriority w:val="99"/>
    <w:semiHidden/>
    <w:unhideWhenUsed/>
    <w:rPr>
      <w:vertAlign w:val="superscript"/>
    </w:rPr>
  </w:style>
  <w:style w:type="character" w:customStyle="1" w:styleId="11">
    <w:name w:val="Основной текст Знак1"/>
    <w:aliases w:val="body text Знак"/>
    <w:uiPriority w:val="99"/>
    <w:locked/>
    <w:rPr>
      <w:rFonts w:ascii="Times New Roman" w:eastAsia="Times New Roman" w:hAnsi="Times New Roman" w:cs="Times New Roman"/>
      <w:sz w:val="20"/>
      <w:szCs w:val="20"/>
      <w:lang w:val="en-GB" w:eastAsia="ru-RU"/>
    </w:rPr>
  </w:style>
  <w:style w:type="paragraph" w:styleId="af3">
    <w:name w:val="Revision"/>
    <w:hidden/>
    <w:uiPriority w:val="99"/>
    <w:semiHidden/>
    <w:rPr>
      <w:sz w:val="22"/>
      <w:szCs w:val="22"/>
      <w:lang w:eastAsia="en-US"/>
    </w:rPr>
  </w:style>
  <w:style w:type="paragraph" w:styleId="af4">
    <w:name w:val="header"/>
    <w:basedOn w:val="a"/>
    <w:link w:val="af5"/>
    <w:uiPriority w:val="99"/>
    <w:unhideWhenUsed/>
    <w:rsid w:val="00997373"/>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997373"/>
    <w:rPr>
      <w:sz w:val="22"/>
      <w:szCs w:val="22"/>
      <w:lang w:eastAsia="en-US"/>
    </w:rPr>
  </w:style>
  <w:style w:type="paragraph" w:styleId="af6">
    <w:name w:val="Plain Text"/>
    <w:basedOn w:val="a"/>
    <w:link w:val="af7"/>
    <w:uiPriority w:val="99"/>
    <w:unhideWhenUsed/>
    <w:rsid w:val="004A63B2"/>
    <w:pPr>
      <w:spacing w:after="0" w:line="240" w:lineRule="auto"/>
    </w:pPr>
    <w:rPr>
      <w:rFonts w:eastAsiaTheme="minorHAnsi" w:cstheme="minorBidi"/>
      <w:szCs w:val="21"/>
    </w:rPr>
  </w:style>
  <w:style w:type="character" w:customStyle="1" w:styleId="af7">
    <w:name w:val="Текст Знак"/>
    <w:basedOn w:val="a0"/>
    <w:link w:val="af6"/>
    <w:uiPriority w:val="99"/>
    <w:rsid w:val="004A63B2"/>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48DC9-5897-477E-93EE-CF6A8ADA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843</Words>
  <Characters>4810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5642</CharactersWithSpaces>
  <SharedDoc>false</SharedDoc>
  <HLinks>
    <vt:vector size="6" baseType="variant">
      <vt:variant>
        <vt:i4>524381</vt:i4>
      </vt:variant>
      <vt:variant>
        <vt:i4>0</vt:i4>
      </vt:variant>
      <vt:variant>
        <vt:i4>0</vt:i4>
      </vt:variant>
      <vt:variant>
        <vt:i4>5</vt:i4>
      </vt:variant>
      <vt:variant>
        <vt:lpwstr>http://kad.arbitr.ru/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Маргарита Вячеславовна</dc:creator>
  <cp:keywords/>
  <dc:description/>
  <cp:lastModifiedBy>Ирина Пряхина</cp:lastModifiedBy>
  <cp:revision>19</cp:revision>
  <cp:lastPrinted>2019-04-05T11:41:00Z</cp:lastPrinted>
  <dcterms:created xsi:type="dcterms:W3CDTF">2019-04-25T12:16:00Z</dcterms:created>
  <dcterms:modified xsi:type="dcterms:W3CDTF">2019-07-11T12:30:00Z</dcterms:modified>
</cp:coreProperties>
</file>