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77AA3" w14:textId="77777777" w:rsidR="009652EF" w:rsidRDefault="009652EF">
      <w:pPr>
        <w:spacing w:after="0" w:line="240" w:lineRule="auto"/>
        <w:ind w:right="-31"/>
        <w:jc w:val="right"/>
        <w:rPr>
          <w:rFonts w:ascii="Garamond" w:hAnsi="Garamond"/>
          <w:b/>
          <w:iCs/>
          <w:sz w:val="28"/>
          <w:szCs w:val="28"/>
          <w:highlight w:val="magenta"/>
        </w:rPr>
      </w:pPr>
    </w:p>
    <w:p w14:paraId="59AEACE3" w14:textId="516731AD" w:rsidR="00EF5537" w:rsidRPr="00EF5537" w:rsidRDefault="00EF5537" w:rsidP="00EF5537">
      <w:pPr>
        <w:spacing w:line="252" w:lineRule="auto"/>
        <w:ind w:left="57"/>
        <w:contextualSpacing/>
        <w:jc w:val="right"/>
        <w:rPr>
          <w:rFonts w:ascii="Times New Roman" w:eastAsia="Calibri" w:hAnsi="Times New Roman" w:cs="Times New Roman"/>
          <w:sz w:val="24"/>
          <w:szCs w:val="24"/>
        </w:rPr>
      </w:pPr>
      <w:r w:rsidRPr="00EF5537">
        <w:rPr>
          <w:rFonts w:ascii="Times New Roman" w:eastAsia="Calibri" w:hAnsi="Times New Roman" w:cs="Times New Roman"/>
          <w:caps/>
          <w:sz w:val="24"/>
          <w:szCs w:val="24"/>
        </w:rPr>
        <w:t>Приложение</w:t>
      </w:r>
      <w:r w:rsidRPr="00EF5537">
        <w:rPr>
          <w:rFonts w:ascii="Times New Roman" w:eastAsia="Calibri" w:hAnsi="Times New Roman" w:cs="Times New Roman"/>
          <w:sz w:val="24"/>
          <w:szCs w:val="24"/>
        </w:rPr>
        <w:t xml:space="preserve"> № 1.</w:t>
      </w:r>
      <w:r>
        <w:rPr>
          <w:rFonts w:ascii="Times New Roman" w:eastAsia="Calibri" w:hAnsi="Times New Roman" w:cs="Times New Roman"/>
          <w:sz w:val="24"/>
          <w:szCs w:val="24"/>
        </w:rPr>
        <w:t>6</w:t>
      </w:r>
      <w:bookmarkStart w:id="0" w:name="_GoBack"/>
      <w:bookmarkEnd w:id="0"/>
    </w:p>
    <w:p w14:paraId="1D2B6A7E" w14:textId="77777777" w:rsidR="00EF5537" w:rsidRPr="00EF5537" w:rsidRDefault="00EF5537" w:rsidP="00EF5537">
      <w:pPr>
        <w:spacing w:line="252" w:lineRule="auto"/>
        <w:ind w:left="57"/>
        <w:contextualSpacing/>
        <w:jc w:val="right"/>
        <w:rPr>
          <w:rFonts w:ascii="Times New Roman" w:eastAsia="Calibri" w:hAnsi="Times New Roman" w:cs="Times New Roman"/>
          <w:sz w:val="24"/>
          <w:szCs w:val="24"/>
        </w:rPr>
      </w:pPr>
      <w:r w:rsidRPr="00EF5537">
        <w:rPr>
          <w:rFonts w:ascii="Times New Roman" w:eastAsia="Calibri" w:hAnsi="Times New Roman" w:cs="Times New Roman"/>
          <w:sz w:val="24"/>
          <w:szCs w:val="24"/>
        </w:rPr>
        <w:t xml:space="preserve">к Протоколу № 20/2020 заседания Наблюдательного совета </w:t>
      </w:r>
    </w:p>
    <w:p w14:paraId="20EE7877" w14:textId="25A11813" w:rsidR="00EF5537" w:rsidRPr="00EF5537" w:rsidRDefault="00EF5537" w:rsidP="00EF5537">
      <w:pPr>
        <w:autoSpaceDE w:val="0"/>
        <w:autoSpaceDN w:val="0"/>
        <w:adjustRightInd w:val="0"/>
        <w:spacing w:after="0" w:line="240" w:lineRule="auto"/>
        <w:jc w:val="right"/>
        <w:outlineLvl w:val="0"/>
        <w:rPr>
          <w:rFonts w:ascii="Garamond" w:hAnsi="Garamond"/>
          <w:b/>
          <w:iCs/>
          <w:sz w:val="28"/>
          <w:szCs w:val="28"/>
        </w:rPr>
      </w:pPr>
      <w:r w:rsidRPr="00EF5537">
        <w:rPr>
          <w:rFonts w:ascii="Times New Roman" w:eastAsia="Calibri" w:hAnsi="Times New Roman" w:cs="Times New Roman"/>
          <w:sz w:val="24"/>
          <w:szCs w:val="24"/>
        </w:rPr>
        <w:t>Ассоциации «НП Совет рынка» от 21 августа 2020 года.</w:t>
      </w:r>
    </w:p>
    <w:p w14:paraId="7790244D" w14:textId="77777777" w:rsidR="00EF5537" w:rsidRPr="00EF5537" w:rsidRDefault="00EF5537" w:rsidP="000103BB">
      <w:pPr>
        <w:autoSpaceDE w:val="0"/>
        <w:autoSpaceDN w:val="0"/>
        <w:adjustRightInd w:val="0"/>
        <w:spacing w:after="0" w:line="240" w:lineRule="auto"/>
        <w:outlineLvl w:val="0"/>
        <w:rPr>
          <w:rFonts w:ascii="Garamond" w:hAnsi="Garamond"/>
          <w:b/>
          <w:iCs/>
          <w:sz w:val="28"/>
          <w:szCs w:val="28"/>
        </w:rPr>
      </w:pPr>
    </w:p>
    <w:p w14:paraId="61887AEE" w14:textId="6D62ACC8" w:rsidR="009652EF" w:rsidRDefault="007F29A3" w:rsidP="000103BB">
      <w:pPr>
        <w:autoSpaceDE w:val="0"/>
        <w:autoSpaceDN w:val="0"/>
        <w:adjustRightInd w:val="0"/>
        <w:spacing w:after="0" w:line="240" w:lineRule="auto"/>
        <w:outlineLvl w:val="0"/>
        <w:rPr>
          <w:rFonts w:ascii="Garamond" w:hAnsi="Garamond"/>
          <w:b/>
          <w:bCs/>
          <w:sz w:val="28"/>
          <w:szCs w:val="28"/>
        </w:rPr>
      </w:pPr>
      <w:r>
        <w:rPr>
          <w:rFonts w:ascii="Garamond" w:hAnsi="Garamond"/>
          <w:b/>
          <w:iCs/>
          <w:sz w:val="28"/>
          <w:szCs w:val="28"/>
          <w:lang w:val="en-US"/>
        </w:rPr>
        <w:t>V</w:t>
      </w:r>
      <w:r>
        <w:rPr>
          <w:rFonts w:ascii="Garamond" w:hAnsi="Garamond"/>
          <w:b/>
          <w:iCs/>
          <w:sz w:val="28"/>
          <w:szCs w:val="28"/>
        </w:rPr>
        <w:t>.5</w:t>
      </w:r>
      <w:r w:rsidRPr="007F29A3">
        <w:rPr>
          <w:rFonts w:ascii="Garamond" w:hAnsi="Garamond"/>
          <w:b/>
          <w:iCs/>
          <w:sz w:val="28"/>
          <w:szCs w:val="28"/>
        </w:rPr>
        <w:t xml:space="preserve">. </w:t>
      </w:r>
      <w:r w:rsidR="00EC2E1E">
        <w:rPr>
          <w:rFonts w:ascii="Garamond" w:hAnsi="Garamond"/>
          <w:b/>
          <w:iCs/>
          <w:sz w:val="28"/>
          <w:szCs w:val="28"/>
        </w:rPr>
        <w:t xml:space="preserve">Изменения, связанные с </w:t>
      </w:r>
      <w:r w:rsidR="00EC2E1E">
        <w:rPr>
          <w:rFonts w:ascii="Garamond" w:hAnsi="Garamond"/>
          <w:b/>
          <w:bCs/>
          <w:sz w:val="28"/>
          <w:szCs w:val="28"/>
        </w:rPr>
        <w:t>уточнением порядка предоставления информации участниками оптового рынка</w:t>
      </w:r>
      <w:r w:rsidR="000103BB">
        <w:rPr>
          <w:rFonts w:ascii="Garamond" w:hAnsi="Garamond"/>
          <w:b/>
          <w:bCs/>
          <w:sz w:val="28"/>
          <w:szCs w:val="28"/>
        </w:rPr>
        <w:t xml:space="preserve"> о </w:t>
      </w:r>
      <w:r w:rsidR="00105D0B">
        <w:rPr>
          <w:rFonts w:ascii="Garamond" w:hAnsi="Garamond"/>
          <w:b/>
          <w:bCs/>
          <w:sz w:val="28"/>
          <w:szCs w:val="28"/>
        </w:rPr>
        <w:t>расчетах на розничных рынках</w:t>
      </w:r>
      <w:r w:rsidR="00EC2E1E">
        <w:rPr>
          <w:rFonts w:ascii="Garamond" w:hAnsi="Garamond"/>
          <w:b/>
          <w:bCs/>
          <w:sz w:val="28"/>
          <w:szCs w:val="28"/>
        </w:rPr>
        <w:t xml:space="preserve"> в АО «ЦФР»</w:t>
      </w:r>
    </w:p>
    <w:p w14:paraId="4BE0F3BF" w14:textId="77777777" w:rsidR="009652EF" w:rsidRDefault="009652EF" w:rsidP="000103BB">
      <w:pPr>
        <w:spacing w:after="0" w:line="240" w:lineRule="auto"/>
        <w:ind w:right="-31"/>
        <w:jc w:val="right"/>
        <w:rPr>
          <w:rFonts w:ascii="Garamond" w:hAnsi="Garamond"/>
          <w:b/>
          <w:iCs/>
          <w:sz w:val="28"/>
          <w:szCs w:val="28"/>
        </w:rPr>
      </w:pPr>
    </w:p>
    <w:p w14:paraId="0FF3C6D3" w14:textId="4307E524" w:rsidR="009652EF" w:rsidRPr="00EF5537" w:rsidRDefault="00EC2E1E" w:rsidP="000103BB">
      <w:pPr>
        <w:spacing w:after="0" w:line="240" w:lineRule="auto"/>
        <w:ind w:right="-31"/>
        <w:jc w:val="right"/>
        <w:rPr>
          <w:rFonts w:ascii="Garamond" w:hAnsi="Garamond"/>
          <w:b/>
          <w:iCs/>
          <w:sz w:val="28"/>
          <w:szCs w:val="28"/>
          <w:lang w:val="en-US"/>
        </w:rPr>
      </w:pPr>
      <w:r>
        <w:rPr>
          <w:rFonts w:ascii="Garamond" w:hAnsi="Garamond"/>
          <w:b/>
          <w:iCs/>
          <w:sz w:val="28"/>
          <w:szCs w:val="28"/>
        </w:rPr>
        <w:t>Приложение №</w:t>
      </w:r>
      <w:r w:rsidR="007F29A3" w:rsidRPr="000103BB">
        <w:rPr>
          <w:rFonts w:ascii="Garamond" w:hAnsi="Garamond"/>
          <w:b/>
          <w:iCs/>
          <w:sz w:val="28"/>
          <w:szCs w:val="28"/>
        </w:rPr>
        <w:t xml:space="preserve"> </w:t>
      </w:r>
      <w:r w:rsidR="00EF5537" w:rsidRPr="00EF5537">
        <w:rPr>
          <w:rFonts w:ascii="Garamond" w:hAnsi="Garamond"/>
          <w:b/>
          <w:iCs/>
          <w:sz w:val="28"/>
          <w:szCs w:val="28"/>
        </w:rPr>
        <w:t>1</w:t>
      </w:r>
      <w:r w:rsidR="00EF5537">
        <w:rPr>
          <w:rFonts w:ascii="Garamond" w:hAnsi="Garamond"/>
          <w:b/>
          <w:iCs/>
          <w:sz w:val="28"/>
          <w:szCs w:val="28"/>
          <w:lang w:val="en-US"/>
        </w:rPr>
        <w:t>.6</w:t>
      </w:r>
    </w:p>
    <w:p w14:paraId="161F375D" w14:textId="77777777" w:rsidR="009652EF" w:rsidRDefault="009652EF" w:rsidP="000103BB">
      <w:pPr>
        <w:spacing w:after="0" w:line="240" w:lineRule="auto"/>
        <w:ind w:right="-31"/>
        <w:jc w:val="right"/>
        <w:rPr>
          <w:rFonts w:ascii="Garamond" w:hAnsi="Garamond"/>
          <w:b/>
          <w:iCs/>
        </w:rPr>
      </w:pPr>
    </w:p>
    <w:p w14:paraId="469BB2CB" w14:textId="77777777" w:rsidR="009652EF" w:rsidRDefault="00EC2E1E" w:rsidP="000103BB">
      <w:pPr>
        <w:pBdr>
          <w:top w:val="single" w:sz="4" w:space="1" w:color="auto"/>
          <w:left w:val="single" w:sz="4" w:space="1" w:color="auto"/>
          <w:bottom w:val="single" w:sz="4" w:space="0" w:color="auto"/>
          <w:right w:val="single" w:sz="4" w:space="1" w:color="auto"/>
        </w:pBdr>
        <w:spacing w:after="0" w:line="240" w:lineRule="auto"/>
        <w:rPr>
          <w:rFonts w:ascii="Garamond" w:hAnsi="Garamond" w:cs="Garamond"/>
          <w:bCs/>
          <w:sz w:val="24"/>
          <w:szCs w:val="24"/>
        </w:rPr>
      </w:pPr>
      <w:r>
        <w:rPr>
          <w:rFonts w:ascii="Garamond" w:hAnsi="Garamond" w:cs="Garamond"/>
          <w:b/>
          <w:bCs/>
          <w:sz w:val="24"/>
          <w:szCs w:val="24"/>
        </w:rPr>
        <w:t xml:space="preserve">Инициатор: </w:t>
      </w:r>
      <w:r>
        <w:rPr>
          <w:rFonts w:ascii="Garamond" w:hAnsi="Garamond" w:cs="Garamond"/>
          <w:bCs/>
          <w:sz w:val="24"/>
          <w:szCs w:val="24"/>
        </w:rPr>
        <w:t>Ассоциация «НП Совет рынка».</w:t>
      </w:r>
    </w:p>
    <w:p w14:paraId="0834BDDA" w14:textId="33B8D931" w:rsidR="002D0486" w:rsidRDefault="00EC2E1E" w:rsidP="000103BB">
      <w:pPr>
        <w:pStyle w:val="a3"/>
        <w:pBdr>
          <w:top w:val="single" w:sz="4" w:space="1" w:color="auto"/>
          <w:left w:val="single" w:sz="4" w:space="1" w:color="auto"/>
          <w:bottom w:val="single" w:sz="4" w:space="0" w:color="auto"/>
          <w:right w:val="single" w:sz="4" w:space="1" w:color="auto"/>
        </w:pBdr>
        <w:jc w:val="both"/>
        <w:rPr>
          <w:rFonts w:ascii="Garamond" w:hAnsi="Garamond" w:cs="Garamond"/>
          <w:bCs/>
          <w:sz w:val="24"/>
          <w:szCs w:val="24"/>
        </w:rPr>
      </w:pPr>
      <w:r>
        <w:rPr>
          <w:rFonts w:ascii="Garamond" w:hAnsi="Garamond" w:cs="Garamond"/>
          <w:b/>
          <w:bCs/>
          <w:sz w:val="24"/>
          <w:szCs w:val="24"/>
        </w:rPr>
        <w:t xml:space="preserve">Обоснование: </w:t>
      </w:r>
      <w:r w:rsidRPr="002D0486">
        <w:rPr>
          <w:rFonts w:ascii="Garamond" w:hAnsi="Garamond" w:cs="Garamond"/>
          <w:bCs/>
          <w:sz w:val="24"/>
          <w:szCs w:val="24"/>
        </w:rPr>
        <w:t>изменения разработаны</w:t>
      </w:r>
      <w:r w:rsidR="002D0486" w:rsidRPr="002D0486">
        <w:rPr>
          <w:rFonts w:ascii="Garamond" w:hAnsi="Garamond" w:cs="Garamond"/>
          <w:bCs/>
          <w:sz w:val="24"/>
          <w:szCs w:val="24"/>
        </w:rPr>
        <w:t xml:space="preserve"> с целью </w:t>
      </w:r>
      <w:r w:rsidR="002D0486" w:rsidRPr="005C34C1">
        <w:rPr>
          <w:rFonts w:ascii="Garamond" w:hAnsi="Garamond" w:cs="Garamond"/>
          <w:bCs/>
          <w:sz w:val="24"/>
          <w:szCs w:val="24"/>
        </w:rPr>
        <w:t xml:space="preserve">уточнения </w:t>
      </w:r>
      <w:r w:rsidR="00FE0E22">
        <w:rPr>
          <w:rFonts w:ascii="Garamond" w:hAnsi="Garamond" w:cs="Garamond"/>
          <w:bCs/>
          <w:sz w:val="24"/>
          <w:szCs w:val="24"/>
        </w:rPr>
        <w:t>М</w:t>
      </w:r>
      <w:r w:rsidR="002D0486" w:rsidRPr="005C34C1">
        <w:rPr>
          <w:rFonts w:ascii="Garamond" w:hAnsi="Garamond" w:cs="Garamond"/>
          <w:bCs/>
          <w:sz w:val="24"/>
          <w:szCs w:val="24"/>
        </w:rPr>
        <w:t>етод</w:t>
      </w:r>
      <w:r w:rsidR="00FE0E22">
        <w:rPr>
          <w:rFonts w:ascii="Garamond" w:hAnsi="Garamond" w:cs="Garamond"/>
          <w:bCs/>
          <w:sz w:val="24"/>
          <w:szCs w:val="24"/>
        </w:rPr>
        <w:t>ики</w:t>
      </w:r>
      <w:r w:rsidR="002D0486" w:rsidRPr="005C34C1">
        <w:rPr>
          <w:rFonts w:ascii="Garamond" w:hAnsi="Garamond" w:cs="Garamond"/>
          <w:bCs/>
          <w:sz w:val="24"/>
          <w:szCs w:val="24"/>
        </w:rPr>
        <w:t xml:space="preserve"> сбора, подготовки и обработки информации по расчетам на розничных рынках электроэнергии, предоставляемой в соответствии </w:t>
      </w:r>
      <w:r w:rsidR="0059624A">
        <w:rPr>
          <w:rFonts w:ascii="Garamond" w:hAnsi="Garamond" w:cs="Garamond"/>
          <w:bCs/>
          <w:sz w:val="24"/>
          <w:szCs w:val="24"/>
        </w:rPr>
        <w:t xml:space="preserve">с </w:t>
      </w:r>
      <w:r w:rsidR="002D0486" w:rsidRPr="005C34C1">
        <w:rPr>
          <w:rFonts w:ascii="Garamond" w:hAnsi="Garamond" w:cs="Garamond"/>
          <w:bCs/>
          <w:sz w:val="24"/>
          <w:szCs w:val="24"/>
        </w:rPr>
        <w:t>фо</w:t>
      </w:r>
      <w:r w:rsidR="006D3857">
        <w:rPr>
          <w:rFonts w:ascii="Garamond" w:hAnsi="Garamond" w:cs="Garamond"/>
          <w:bCs/>
          <w:sz w:val="24"/>
          <w:szCs w:val="24"/>
        </w:rPr>
        <w:t>рмой, являющейся приложением 47а</w:t>
      </w:r>
      <w:r w:rsidR="002D0486" w:rsidRPr="005C34C1">
        <w:rPr>
          <w:rFonts w:ascii="Garamond" w:hAnsi="Garamond" w:cs="Garamond"/>
          <w:bCs/>
          <w:sz w:val="24"/>
          <w:szCs w:val="24"/>
        </w:rPr>
        <w:t xml:space="preserve"> к Регламенту финансовых расчетов на оптовом рынке электроэнергии (Приложение № 16 к Договору о присоединении к торговой системе оптового рынка, далее – форма 47а)</w:t>
      </w:r>
      <w:r w:rsidR="00FE0E22">
        <w:rPr>
          <w:rFonts w:ascii="Garamond" w:hAnsi="Garamond" w:cs="Garamond"/>
          <w:bCs/>
          <w:sz w:val="24"/>
          <w:szCs w:val="24"/>
        </w:rPr>
        <w:t>,</w:t>
      </w:r>
      <w:r w:rsidR="002D0486" w:rsidRPr="005C34C1">
        <w:rPr>
          <w:rFonts w:ascii="Garamond" w:hAnsi="Garamond" w:cs="Garamond"/>
          <w:bCs/>
          <w:sz w:val="24"/>
          <w:szCs w:val="24"/>
        </w:rPr>
        <w:t xml:space="preserve"> в части представления в форме 47а данных о дебиторской задолженности и резерва по сомнительным долгам.</w:t>
      </w:r>
    </w:p>
    <w:p w14:paraId="14359C86" w14:textId="55BF8B95" w:rsidR="009652EF" w:rsidRDefault="00EC2E1E" w:rsidP="000103BB">
      <w:pPr>
        <w:pBdr>
          <w:top w:val="single" w:sz="4" w:space="1" w:color="auto"/>
          <w:left w:val="single" w:sz="4" w:space="1" w:color="auto"/>
          <w:bottom w:val="single" w:sz="4" w:space="0" w:color="auto"/>
          <w:right w:val="single" w:sz="4" w:space="1" w:color="auto"/>
        </w:pBdr>
        <w:spacing w:after="0" w:line="240" w:lineRule="auto"/>
        <w:rPr>
          <w:rFonts w:ascii="Garamond" w:hAnsi="Garamond" w:cs="Garamond"/>
          <w:bCs/>
          <w:sz w:val="24"/>
          <w:szCs w:val="24"/>
        </w:rPr>
      </w:pPr>
      <w:r>
        <w:rPr>
          <w:rFonts w:ascii="Garamond" w:hAnsi="Garamond" w:cs="Garamond"/>
          <w:b/>
          <w:bCs/>
          <w:sz w:val="24"/>
          <w:szCs w:val="24"/>
        </w:rPr>
        <w:t>Дата вступления в силу:</w:t>
      </w:r>
      <w:r>
        <w:rPr>
          <w:rFonts w:ascii="Garamond" w:hAnsi="Garamond" w:cs="Garamond"/>
          <w:bCs/>
          <w:sz w:val="24"/>
          <w:szCs w:val="24"/>
        </w:rPr>
        <w:t xml:space="preserve"> </w:t>
      </w:r>
      <w:r w:rsidR="00FB51B2" w:rsidRPr="0086327D">
        <w:rPr>
          <w:rFonts w:ascii="Garamond" w:hAnsi="Garamond" w:cs="Times New Roman"/>
          <w:color w:val="000000"/>
          <w:sz w:val="24"/>
          <w:szCs w:val="24"/>
        </w:rPr>
        <w:t>с 2</w:t>
      </w:r>
      <w:r w:rsidR="00FB51B2" w:rsidRPr="00FB51B2">
        <w:rPr>
          <w:rFonts w:ascii="Garamond" w:hAnsi="Garamond" w:cs="Times New Roman"/>
          <w:color w:val="000000"/>
          <w:sz w:val="24"/>
          <w:szCs w:val="24"/>
        </w:rPr>
        <w:t>1</w:t>
      </w:r>
      <w:r w:rsidR="00FB51B2" w:rsidRPr="0086327D">
        <w:rPr>
          <w:rFonts w:ascii="Garamond" w:hAnsi="Garamond" w:cs="Times New Roman"/>
          <w:color w:val="000000"/>
          <w:sz w:val="24"/>
          <w:szCs w:val="24"/>
        </w:rPr>
        <w:t xml:space="preserve"> </w:t>
      </w:r>
      <w:r w:rsidR="00FB51B2">
        <w:rPr>
          <w:rFonts w:ascii="Garamond" w:hAnsi="Garamond" w:cs="Times New Roman"/>
          <w:color w:val="000000"/>
          <w:sz w:val="24"/>
          <w:szCs w:val="24"/>
        </w:rPr>
        <w:t>августа</w:t>
      </w:r>
      <w:r w:rsidR="00FB51B2" w:rsidRPr="0086327D">
        <w:rPr>
          <w:rFonts w:ascii="Garamond" w:hAnsi="Garamond" w:cs="Times New Roman"/>
          <w:color w:val="000000"/>
          <w:sz w:val="24"/>
          <w:szCs w:val="24"/>
        </w:rPr>
        <w:t xml:space="preserve"> 2020 года </w:t>
      </w:r>
      <w:r w:rsidR="00FB51B2" w:rsidRPr="0086327D">
        <w:rPr>
          <w:rFonts w:ascii="Garamond" w:hAnsi="Garamond"/>
          <w:sz w:val="24"/>
          <w:szCs w:val="24"/>
        </w:rPr>
        <w:t xml:space="preserve">и распространяют свое действие на отношения сторон по Договору о присоединении к торговой системе оптового рынка, возникшие с 1 </w:t>
      </w:r>
      <w:r w:rsidR="00E1150C">
        <w:rPr>
          <w:rFonts w:ascii="Garamond" w:hAnsi="Garamond"/>
          <w:sz w:val="24"/>
          <w:szCs w:val="24"/>
        </w:rPr>
        <w:t>августа</w:t>
      </w:r>
      <w:r w:rsidR="00FB51B2" w:rsidRPr="0086327D">
        <w:rPr>
          <w:rFonts w:ascii="Garamond" w:hAnsi="Garamond"/>
          <w:sz w:val="24"/>
          <w:szCs w:val="24"/>
        </w:rPr>
        <w:t xml:space="preserve"> 2020 года.</w:t>
      </w:r>
    </w:p>
    <w:p w14:paraId="67C28277" w14:textId="77777777" w:rsidR="009652EF" w:rsidRDefault="009652EF" w:rsidP="000103BB">
      <w:pPr>
        <w:pStyle w:val="a3"/>
        <w:jc w:val="both"/>
        <w:rPr>
          <w:rFonts w:ascii="Garamond" w:hAnsi="Garamond"/>
          <w:b/>
          <w:sz w:val="26"/>
          <w:szCs w:val="26"/>
        </w:rPr>
      </w:pPr>
    </w:p>
    <w:p w14:paraId="15A44966" w14:textId="62F37081" w:rsidR="009652EF" w:rsidRDefault="00EC2E1E" w:rsidP="000103BB">
      <w:pPr>
        <w:pStyle w:val="a3"/>
        <w:rPr>
          <w:rFonts w:ascii="Garamond" w:hAnsi="Garamond"/>
          <w:b/>
          <w:sz w:val="26"/>
          <w:szCs w:val="26"/>
        </w:rPr>
      </w:pPr>
      <w:r>
        <w:rPr>
          <w:rFonts w:ascii="Garamond" w:hAnsi="Garamond"/>
          <w:b/>
          <w:sz w:val="26"/>
          <w:szCs w:val="26"/>
        </w:rPr>
        <w:t>Предложения по изменениям и дополнениям в РЕГЛАМЕНТ МОНИТОРИНГА ЭНЕРГОСБЫТОВОЙ ДЕЯТЕЛЬНОСТИ ГАРАНТИРУЮЩИХ ПОСТАВЩИКОВ И ЭНЕРГОСБЫТОВЫХ ОРГАНИЗАЦИЙ (Приложение</w:t>
      </w:r>
      <w:r w:rsidR="00216662">
        <w:rPr>
          <w:rFonts w:ascii="Garamond" w:hAnsi="Garamond"/>
          <w:b/>
          <w:sz w:val="26"/>
          <w:szCs w:val="26"/>
        </w:rPr>
        <w:t> </w:t>
      </w:r>
      <w:r>
        <w:rPr>
          <w:rFonts w:ascii="Garamond" w:hAnsi="Garamond"/>
          <w:b/>
          <w:sz w:val="26"/>
          <w:szCs w:val="26"/>
        </w:rPr>
        <w:t>№ 29 к Договору о присоединении к торговой системе оптового рынка)</w:t>
      </w:r>
    </w:p>
    <w:p w14:paraId="5AA0971C" w14:textId="77777777" w:rsidR="009652EF" w:rsidRDefault="009652EF" w:rsidP="000103BB">
      <w:pPr>
        <w:pStyle w:val="a3"/>
        <w:jc w:val="both"/>
        <w:rPr>
          <w:rFonts w:ascii="Garamond" w:hAnsi="Garamond"/>
          <w:b/>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6520"/>
        <w:gridCol w:w="7371"/>
      </w:tblGrid>
      <w:tr w:rsidR="009652EF" w14:paraId="4EB64F6A" w14:textId="77777777">
        <w:tc>
          <w:tcPr>
            <w:tcW w:w="988" w:type="dxa"/>
            <w:vAlign w:val="center"/>
          </w:tcPr>
          <w:p w14:paraId="5DD1EAD5" w14:textId="77777777" w:rsidR="009652EF" w:rsidRDefault="00EC2E1E" w:rsidP="000103BB">
            <w:pPr>
              <w:pStyle w:val="a3"/>
              <w:ind w:left="-108" w:right="-108"/>
              <w:jc w:val="center"/>
              <w:rPr>
                <w:rFonts w:ascii="Garamond" w:hAnsi="Garamond"/>
                <w:b/>
              </w:rPr>
            </w:pPr>
            <w:r>
              <w:rPr>
                <w:rFonts w:ascii="Garamond" w:hAnsi="Garamond"/>
                <w:b/>
              </w:rPr>
              <w:t>№</w:t>
            </w:r>
          </w:p>
          <w:p w14:paraId="592AC92A" w14:textId="77777777" w:rsidR="009652EF" w:rsidRDefault="00EC2E1E" w:rsidP="000103BB">
            <w:pPr>
              <w:pStyle w:val="a3"/>
              <w:ind w:left="-108" w:right="-108"/>
              <w:jc w:val="center"/>
              <w:rPr>
                <w:rFonts w:ascii="Garamond" w:hAnsi="Garamond"/>
              </w:rPr>
            </w:pPr>
            <w:r>
              <w:rPr>
                <w:rFonts w:ascii="Garamond" w:hAnsi="Garamond"/>
                <w:b/>
              </w:rPr>
              <w:t>пункта</w:t>
            </w:r>
          </w:p>
        </w:tc>
        <w:tc>
          <w:tcPr>
            <w:tcW w:w="6520" w:type="dxa"/>
          </w:tcPr>
          <w:p w14:paraId="59743DA7" w14:textId="77777777" w:rsidR="009652EF" w:rsidRDefault="00EC2E1E" w:rsidP="000103BB">
            <w:pPr>
              <w:pStyle w:val="a3"/>
              <w:ind w:left="-108" w:right="-137"/>
              <w:jc w:val="center"/>
              <w:rPr>
                <w:rFonts w:ascii="Garamond" w:hAnsi="Garamond"/>
                <w:b/>
              </w:rPr>
            </w:pPr>
            <w:r>
              <w:rPr>
                <w:rFonts w:ascii="Garamond" w:hAnsi="Garamond"/>
                <w:b/>
              </w:rPr>
              <w:t xml:space="preserve">Редакция, действующая на момент </w:t>
            </w:r>
          </w:p>
          <w:p w14:paraId="5B6E1100" w14:textId="77777777" w:rsidR="009652EF" w:rsidRDefault="00EC2E1E" w:rsidP="000103BB">
            <w:pPr>
              <w:pStyle w:val="a3"/>
              <w:ind w:left="-108" w:right="-137"/>
              <w:jc w:val="center"/>
              <w:rPr>
                <w:rFonts w:ascii="Garamond" w:hAnsi="Garamond"/>
                <w:b/>
              </w:rPr>
            </w:pPr>
            <w:r>
              <w:rPr>
                <w:rFonts w:ascii="Garamond" w:hAnsi="Garamond"/>
                <w:b/>
              </w:rPr>
              <w:t>вступления в силу изменений</w:t>
            </w:r>
          </w:p>
        </w:tc>
        <w:tc>
          <w:tcPr>
            <w:tcW w:w="7371" w:type="dxa"/>
            <w:vAlign w:val="center"/>
          </w:tcPr>
          <w:p w14:paraId="288F04F8" w14:textId="77777777" w:rsidR="009652EF" w:rsidRDefault="00EC2E1E" w:rsidP="000103BB">
            <w:pPr>
              <w:pStyle w:val="a3"/>
              <w:jc w:val="center"/>
              <w:rPr>
                <w:rFonts w:ascii="Garamond" w:hAnsi="Garamond"/>
                <w:b/>
              </w:rPr>
            </w:pPr>
            <w:r>
              <w:rPr>
                <w:rFonts w:ascii="Garamond" w:hAnsi="Garamond"/>
                <w:b/>
              </w:rPr>
              <w:t>Предлагаемая редакция</w:t>
            </w:r>
          </w:p>
          <w:p w14:paraId="11BE5B03" w14:textId="77777777" w:rsidR="009652EF" w:rsidRDefault="00EC2E1E" w:rsidP="000103BB">
            <w:pPr>
              <w:pStyle w:val="a3"/>
              <w:jc w:val="center"/>
              <w:rPr>
                <w:rFonts w:ascii="Garamond" w:hAnsi="Garamond"/>
              </w:rPr>
            </w:pPr>
            <w:r>
              <w:rPr>
                <w:rFonts w:ascii="Garamond" w:hAnsi="Garamond"/>
              </w:rPr>
              <w:t>(изменения выделены цветом)</w:t>
            </w:r>
          </w:p>
        </w:tc>
      </w:tr>
      <w:tr w:rsidR="009652EF" w14:paraId="330A5BC6" w14:textId="77777777">
        <w:tc>
          <w:tcPr>
            <w:tcW w:w="988" w:type="dxa"/>
          </w:tcPr>
          <w:p w14:paraId="431180BB" w14:textId="77777777" w:rsidR="009652EF" w:rsidRDefault="00EC2E1E">
            <w:pPr>
              <w:pStyle w:val="a3"/>
              <w:ind w:left="-108" w:right="-108"/>
              <w:jc w:val="center"/>
              <w:rPr>
                <w:rFonts w:ascii="Garamond" w:hAnsi="Garamond"/>
                <w:b/>
              </w:rPr>
            </w:pPr>
            <w:proofErr w:type="spellStart"/>
            <w:r>
              <w:rPr>
                <w:rFonts w:ascii="Garamond" w:hAnsi="Garamond"/>
                <w:b/>
              </w:rPr>
              <w:t>Прило</w:t>
            </w:r>
            <w:proofErr w:type="spellEnd"/>
            <w:r>
              <w:rPr>
                <w:rFonts w:ascii="Garamond" w:hAnsi="Garamond"/>
                <w:b/>
              </w:rPr>
              <w:t>-</w:t>
            </w:r>
          </w:p>
          <w:p w14:paraId="11845D01" w14:textId="1862AD26" w:rsidR="009652EF" w:rsidRDefault="00EC2E1E">
            <w:pPr>
              <w:pStyle w:val="a3"/>
              <w:ind w:left="-108" w:right="-108"/>
              <w:jc w:val="center"/>
              <w:rPr>
                <w:rFonts w:ascii="Garamond" w:hAnsi="Garamond"/>
                <w:b/>
              </w:rPr>
            </w:pPr>
            <w:proofErr w:type="spellStart"/>
            <w:r>
              <w:rPr>
                <w:rFonts w:ascii="Garamond" w:hAnsi="Garamond"/>
                <w:b/>
              </w:rPr>
              <w:t>жение</w:t>
            </w:r>
            <w:proofErr w:type="spellEnd"/>
            <w:r>
              <w:rPr>
                <w:rFonts w:ascii="Garamond" w:hAnsi="Garamond"/>
                <w:b/>
              </w:rPr>
              <w:t xml:space="preserve"> 1</w:t>
            </w:r>
            <w:r w:rsidR="00C00646">
              <w:rPr>
                <w:rFonts w:ascii="Garamond" w:hAnsi="Garamond"/>
                <w:b/>
              </w:rPr>
              <w:t>,</w:t>
            </w:r>
          </w:p>
          <w:p w14:paraId="1DF0A564" w14:textId="2F24B566" w:rsidR="009652EF" w:rsidRDefault="000103BB">
            <w:pPr>
              <w:pStyle w:val="a3"/>
              <w:ind w:left="-108" w:right="-108"/>
              <w:jc w:val="center"/>
              <w:rPr>
                <w:rFonts w:ascii="Garamond" w:hAnsi="Garamond"/>
                <w:b/>
              </w:rPr>
            </w:pPr>
            <w:r>
              <w:rPr>
                <w:rFonts w:ascii="Garamond" w:hAnsi="Garamond"/>
                <w:b/>
              </w:rPr>
              <w:t>р</w:t>
            </w:r>
            <w:r w:rsidR="00EC2E1E">
              <w:rPr>
                <w:rFonts w:ascii="Garamond" w:hAnsi="Garamond"/>
                <w:b/>
              </w:rPr>
              <w:t>аздел 5, п.</w:t>
            </w:r>
            <w:r>
              <w:rPr>
                <w:rFonts w:ascii="Garamond" w:hAnsi="Garamond"/>
                <w:b/>
              </w:rPr>
              <w:t xml:space="preserve"> 5.14</w:t>
            </w:r>
          </w:p>
        </w:tc>
        <w:tc>
          <w:tcPr>
            <w:tcW w:w="6520" w:type="dxa"/>
          </w:tcPr>
          <w:p w14:paraId="34059F62" w14:textId="77777777" w:rsidR="009652EF" w:rsidRDefault="00EC2E1E">
            <w:pPr>
              <w:spacing w:before="120" w:after="120" w:line="240" w:lineRule="auto"/>
              <w:jc w:val="both"/>
              <w:rPr>
                <w:rFonts w:ascii="Garamond" w:hAnsi="Garamond"/>
                <w:i/>
              </w:rPr>
            </w:pPr>
            <w:r>
              <w:rPr>
                <w:rFonts w:ascii="Garamond" w:hAnsi="Garamond"/>
              </w:rPr>
              <w:t xml:space="preserve">Колонка 11 </w:t>
            </w:r>
            <w:r>
              <w:rPr>
                <w:rFonts w:ascii="Garamond" w:hAnsi="Garamond"/>
                <w:i/>
              </w:rPr>
              <w:t xml:space="preserve">«В </w:t>
            </w:r>
            <w:proofErr w:type="spellStart"/>
            <w:r>
              <w:rPr>
                <w:rFonts w:ascii="Garamond" w:hAnsi="Garamond"/>
                <w:i/>
              </w:rPr>
              <w:t>т.ч</w:t>
            </w:r>
            <w:proofErr w:type="spellEnd"/>
            <w:r>
              <w:rPr>
                <w:rFonts w:ascii="Garamond" w:hAnsi="Garamond"/>
                <w:i/>
              </w:rPr>
              <w:t xml:space="preserve">. Дебиторская задолженность на конец отчетного периода ВСЕГО»: </w:t>
            </w:r>
            <w:r>
              <w:rPr>
                <w:rFonts w:ascii="Garamond" w:hAnsi="Garamond"/>
              </w:rPr>
              <w:t>параметр «в т.ч. дебиторская задолженность на конец отчетного периода» формируется расчетным путем, как сумма данных колонок 12 «Дебиторская задолженность на конец отчетного периода, Текущая», 13 «Дебиторская задолженность на конец отчетного периода, Реструктурированная», 14 «Дебиторская задолженность на конец отчетного периода, Просроченная Рабочая, ВСЕГО» , 17 «Дебиторская задолженность на конец отчетного периода, Просроченная, Мораторная» и 18 «Дебиторская задолженность на конец отчетного периода, Просроченная, Безнадежная».</w:t>
            </w:r>
          </w:p>
          <w:p w14:paraId="56C032F7" w14:textId="77777777" w:rsidR="009652EF" w:rsidRDefault="009652EF">
            <w:pPr>
              <w:spacing w:before="120" w:after="120" w:line="240" w:lineRule="auto"/>
              <w:rPr>
                <w:rFonts w:ascii="Garamond" w:hAnsi="Garamond"/>
                <w:b/>
                <w:snapToGrid w:val="0"/>
                <w:color w:val="000000"/>
              </w:rPr>
            </w:pPr>
          </w:p>
        </w:tc>
        <w:tc>
          <w:tcPr>
            <w:tcW w:w="7371" w:type="dxa"/>
          </w:tcPr>
          <w:p w14:paraId="267008B2" w14:textId="77777777" w:rsidR="009652EF" w:rsidRDefault="00EC2E1E" w:rsidP="00840925">
            <w:pPr>
              <w:spacing w:before="120" w:after="120" w:line="240" w:lineRule="auto"/>
              <w:jc w:val="both"/>
              <w:rPr>
                <w:rFonts w:ascii="Garamond" w:hAnsi="Garamond"/>
                <w:b/>
                <w:snapToGrid w:val="0"/>
                <w:color w:val="000000"/>
              </w:rPr>
            </w:pPr>
            <w:r>
              <w:rPr>
                <w:rFonts w:ascii="Garamond" w:hAnsi="Garamond"/>
              </w:rPr>
              <w:t xml:space="preserve">Колонка 11 </w:t>
            </w:r>
            <w:r>
              <w:rPr>
                <w:rFonts w:ascii="Garamond" w:hAnsi="Garamond"/>
                <w:i/>
              </w:rPr>
              <w:t xml:space="preserve">«В т.ч. Дебиторская задолженность на конец отчетного периода ВСЕГО»: </w:t>
            </w:r>
            <w:r>
              <w:rPr>
                <w:rFonts w:ascii="Garamond" w:hAnsi="Garamond"/>
              </w:rPr>
              <w:t xml:space="preserve">параметр «в т.ч. дебиторская задолженность на конец отчетного периода» формируется расчетным путем, как сумма данных колонок 12 «Дебиторская задолженность на конец отчетного периода, Текущая», 13 «Дебиторская задолженность на конец отчетного периода, Реструктурированная», 14 «Дебиторская задолженность на конец отчетного периода, Просроченная Рабочая, ВСЕГО» , 17 «Дебиторская задолженность на конец отчетного периода, Просроченная, Мораторная» и 18 «Дебиторская задолженность на конец отчетного периода, Просроченная, Безнадежная». </w:t>
            </w:r>
            <w:r w:rsidR="00840925">
              <w:rPr>
                <w:rFonts w:ascii="Garamond" w:hAnsi="Garamond"/>
                <w:highlight w:val="yellow"/>
              </w:rPr>
              <w:t>Величина</w:t>
            </w:r>
            <w:r w:rsidR="00840925" w:rsidRPr="00840925">
              <w:rPr>
                <w:rFonts w:ascii="Garamond" w:hAnsi="Garamond"/>
                <w:highlight w:val="yellow"/>
              </w:rPr>
              <w:t xml:space="preserve"> дебиторской задолженности</w:t>
            </w:r>
            <w:r w:rsidR="00840925">
              <w:rPr>
                <w:rFonts w:ascii="Garamond" w:hAnsi="Garamond"/>
                <w:highlight w:val="yellow"/>
              </w:rPr>
              <w:t>,</w:t>
            </w:r>
            <w:r w:rsidR="00840925" w:rsidRPr="00840925">
              <w:rPr>
                <w:rFonts w:ascii="Garamond" w:hAnsi="Garamond"/>
                <w:highlight w:val="yellow"/>
              </w:rPr>
              <w:t xml:space="preserve"> указанн</w:t>
            </w:r>
            <w:r w:rsidR="00840925">
              <w:rPr>
                <w:rFonts w:ascii="Garamond" w:hAnsi="Garamond"/>
                <w:highlight w:val="yellow"/>
              </w:rPr>
              <w:t>ая</w:t>
            </w:r>
            <w:r w:rsidR="00840925" w:rsidRPr="00840925">
              <w:rPr>
                <w:rFonts w:ascii="Garamond" w:hAnsi="Garamond"/>
                <w:highlight w:val="yellow"/>
              </w:rPr>
              <w:t xml:space="preserve"> в данной колонке, а также </w:t>
            </w:r>
            <w:r w:rsidR="00840925">
              <w:rPr>
                <w:rFonts w:ascii="Garamond" w:hAnsi="Garamond"/>
                <w:highlight w:val="yellow"/>
              </w:rPr>
              <w:t>ее</w:t>
            </w:r>
            <w:r w:rsidR="00840925" w:rsidRPr="00840925">
              <w:rPr>
                <w:rFonts w:ascii="Garamond" w:hAnsi="Garamond"/>
                <w:highlight w:val="yellow"/>
              </w:rPr>
              <w:t xml:space="preserve"> составляющие должны включать в себя </w:t>
            </w:r>
            <w:r w:rsidR="00840925">
              <w:rPr>
                <w:rFonts w:ascii="Garamond" w:hAnsi="Garamond"/>
                <w:highlight w:val="yellow"/>
              </w:rPr>
              <w:t xml:space="preserve">в том числе </w:t>
            </w:r>
            <w:r w:rsidR="00840925" w:rsidRPr="00840925">
              <w:rPr>
                <w:rFonts w:ascii="Garamond" w:hAnsi="Garamond"/>
                <w:highlight w:val="yellow"/>
              </w:rPr>
              <w:t>дебиторскую задолженность, на которую сформирован резерв по сомнительным долгам.</w:t>
            </w:r>
          </w:p>
        </w:tc>
      </w:tr>
      <w:tr w:rsidR="009652EF" w14:paraId="2461FC3B" w14:textId="77777777">
        <w:tc>
          <w:tcPr>
            <w:tcW w:w="988" w:type="dxa"/>
          </w:tcPr>
          <w:p w14:paraId="2F6F7CDE" w14:textId="77777777" w:rsidR="009652EF" w:rsidRDefault="00EC2E1E">
            <w:pPr>
              <w:pStyle w:val="a3"/>
              <w:ind w:left="-108" w:right="-108"/>
              <w:jc w:val="center"/>
              <w:rPr>
                <w:rFonts w:ascii="Garamond" w:hAnsi="Garamond"/>
                <w:b/>
              </w:rPr>
            </w:pPr>
            <w:proofErr w:type="spellStart"/>
            <w:r>
              <w:rPr>
                <w:rFonts w:ascii="Garamond" w:hAnsi="Garamond"/>
                <w:b/>
              </w:rPr>
              <w:lastRenderedPageBreak/>
              <w:t>Прило</w:t>
            </w:r>
            <w:proofErr w:type="spellEnd"/>
            <w:r>
              <w:rPr>
                <w:rFonts w:ascii="Garamond" w:hAnsi="Garamond"/>
                <w:b/>
              </w:rPr>
              <w:t>-</w:t>
            </w:r>
          </w:p>
          <w:p w14:paraId="6316247E" w14:textId="1985CC0F" w:rsidR="009652EF" w:rsidRDefault="00EC2E1E">
            <w:pPr>
              <w:pStyle w:val="a3"/>
              <w:ind w:left="-108" w:right="-108"/>
              <w:jc w:val="center"/>
              <w:rPr>
                <w:rFonts w:ascii="Garamond" w:hAnsi="Garamond"/>
                <w:b/>
              </w:rPr>
            </w:pPr>
            <w:proofErr w:type="spellStart"/>
            <w:r>
              <w:rPr>
                <w:rFonts w:ascii="Garamond" w:hAnsi="Garamond"/>
                <w:b/>
              </w:rPr>
              <w:t>жение</w:t>
            </w:r>
            <w:proofErr w:type="spellEnd"/>
            <w:r>
              <w:rPr>
                <w:rFonts w:ascii="Garamond" w:hAnsi="Garamond"/>
                <w:b/>
              </w:rPr>
              <w:t xml:space="preserve"> 1</w:t>
            </w:r>
            <w:r w:rsidR="000103BB">
              <w:rPr>
                <w:rFonts w:ascii="Garamond" w:hAnsi="Garamond"/>
                <w:b/>
              </w:rPr>
              <w:t>,</w:t>
            </w:r>
          </w:p>
          <w:p w14:paraId="6382D96D" w14:textId="6663B0E2" w:rsidR="009652EF" w:rsidRDefault="000103BB">
            <w:pPr>
              <w:pStyle w:val="a3"/>
              <w:ind w:left="-108" w:right="-108"/>
              <w:jc w:val="center"/>
              <w:rPr>
                <w:rFonts w:ascii="Garamond" w:hAnsi="Garamond"/>
                <w:b/>
              </w:rPr>
            </w:pPr>
            <w:r>
              <w:rPr>
                <w:rFonts w:ascii="Garamond" w:hAnsi="Garamond"/>
                <w:b/>
              </w:rPr>
              <w:t>р</w:t>
            </w:r>
            <w:r w:rsidR="00EC2E1E">
              <w:rPr>
                <w:rFonts w:ascii="Garamond" w:hAnsi="Garamond"/>
                <w:b/>
              </w:rPr>
              <w:t>аздел 5, п.</w:t>
            </w:r>
            <w:r>
              <w:rPr>
                <w:rFonts w:ascii="Garamond" w:hAnsi="Garamond"/>
                <w:b/>
              </w:rPr>
              <w:t xml:space="preserve"> </w:t>
            </w:r>
            <w:r w:rsidR="00EC2E1E">
              <w:rPr>
                <w:rFonts w:ascii="Garamond" w:hAnsi="Garamond"/>
                <w:b/>
              </w:rPr>
              <w:t>5.</w:t>
            </w:r>
            <w:r>
              <w:rPr>
                <w:rFonts w:ascii="Garamond" w:hAnsi="Garamond"/>
                <w:b/>
              </w:rPr>
              <w:t>22</w:t>
            </w:r>
          </w:p>
        </w:tc>
        <w:tc>
          <w:tcPr>
            <w:tcW w:w="6520" w:type="dxa"/>
          </w:tcPr>
          <w:p w14:paraId="2DDC1AC4" w14:textId="77777777" w:rsidR="009652EF" w:rsidRDefault="00EC2E1E">
            <w:pPr>
              <w:spacing w:before="120" w:after="120" w:line="240" w:lineRule="auto"/>
              <w:jc w:val="both"/>
              <w:rPr>
                <w:rFonts w:ascii="Garamond" w:hAnsi="Garamond"/>
                <w:b/>
                <w:snapToGrid w:val="0"/>
                <w:color w:val="000000"/>
              </w:rPr>
            </w:pPr>
            <w:r>
              <w:rPr>
                <w:rFonts w:ascii="Garamond" w:hAnsi="Garamond"/>
              </w:rPr>
              <w:t xml:space="preserve">Колонка 19 </w:t>
            </w:r>
            <w:r>
              <w:rPr>
                <w:rFonts w:ascii="Garamond" w:hAnsi="Garamond"/>
                <w:i/>
              </w:rPr>
              <w:t>«</w:t>
            </w:r>
            <w:r>
              <w:rPr>
                <w:rFonts w:ascii="Garamond" w:hAnsi="Garamond"/>
                <w:i/>
                <w:lang w:val="en-US"/>
              </w:rPr>
              <w:t>C</w:t>
            </w:r>
            <w:r>
              <w:rPr>
                <w:rFonts w:ascii="Garamond" w:hAnsi="Garamond"/>
                <w:i/>
              </w:rPr>
              <w:t>правочно: Дебиторская задолженность (на которую сформирован резерв по сомнительным долгам), ВСЕГО»:</w:t>
            </w:r>
            <w:r>
              <w:rPr>
                <w:rFonts w:ascii="Garamond" w:hAnsi="Garamond"/>
              </w:rPr>
              <w:t xml:space="preserve"> указывается величина денежных средств, на которую </w:t>
            </w:r>
            <w:r w:rsidRPr="00FE0E22">
              <w:rPr>
                <w:rFonts w:ascii="Garamond" w:hAnsi="Garamond"/>
                <w:highlight w:val="yellow"/>
              </w:rPr>
              <w:t>был</w:t>
            </w:r>
            <w:r>
              <w:rPr>
                <w:rFonts w:ascii="Garamond" w:hAnsi="Garamond"/>
              </w:rPr>
              <w:t xml:space="preserve"> фактически сформирован </w:t>
            </w:r>
            <w:r w:rsidRPr="00FE0E22">
              <w:rPr>
                <w:rFonts w:ascii="Garamond" w:hAnsi="Garamond"/>
                <w:highlight w:val="yellow"/>
              </w:rPr>
              <w:t>реестр сомнительных долгов энергосбытовой компании) за отчетный период</w:t>
            </w:r>
            <w:r>
              <w:rPr>
                <w:rFonts w:ascii="Garamond" w:hAnsi="Garamond"/>
              </w:rPr>
              <w:t xml:space="preserve"> по указанным группам потребителей и в заполняемых подстроках «в том числе потери (МРСК и прочие ТСО)».</w:t>
            </w:r>
          </w:p>
        </w:tc>
        <w:tc>
          <w:tcPr>
            <w:tcW w:w="7371" w:type="dxa"/>
          </w:tcPr>
          <w:p w14:paraId="6FFBA7D1" w14:textId="7F1EA0CF" w:rsidR="009652EF" w:rsidRDefault="00EC2E1E" w:rsidP="00854F6D">
            <w:pPr>
              <w:spacing w:before="120" w:after="120" w:line="240" w:lineRule="auto"/>
              <w:jc w:val="both"/>
              <w:rPr>
                <w:rFonts w:ascii="Garamond" w:hAnsi="Garamond"/>
                <w:b/>
                <w:snapToGrid w:val="0"/>
                <w:color w:val="000000"/>
              </w:rPr>
            </w:pPr>
            <w:r>
              <w:rPr>
                <w:rFonts w:ascii="Garamond" w:hAnsi="Garamond"/>
              </w:rPr>
              <w:t xml:space="preserve">Колонка 19 </w:t>
            </w:r>
            <w:r>
              <w:rPr>
                <w:rFonts w:ascii="Garamond" w:hAnsi="Garamond"/>
                <w:i/>
              </w:rPr>
              <w:t>«</w:t>
            </w:r>
            <w:r>
              <w:rPr>
                <w:rFonts w:ascii="Garamond" w:hAnsi="Garamond"/>
                <w:i/>
                <w:lang w:val="en-US"/>
              </w:rPr>
              <w:t>C</w:t>
            </w:r>
            <w:r>
              <w:rPr>
                <w:rFonts w:ascii="Garamond" w:hAnsi="Garamond"/>
                <w:i/>
              </w:rPr>
              <w:t>правочно: Дебиторская задолженность (на которую сформирован резерв по сомнительным долгам), ВСЕГО»:</w:t>
            </w:r>
            <w:r>
              <w:rPr>
                <w:rFonts w:ascii="Garamond" w:hAnsi="Garamond"/>
              </w:rPr>
              <w:t xml:space="preserve"> указывается величина денежных средств, на которую</w:t>
            </w:r>
            <w:r w:rsidR="00854F6D">
              <w:rPr>
                <w:rFonts w:ascii="Garamond" w:hAnsi="Garamond"/>
              </w:rPr>
              <w:t xml:space="preserve"> </w:t>
            </w:r>
            <w:r w:rsidR="00854F6D" w:rsidRPr="00854F6D">
              <w:rPr>
                <w:rFonts w:ascii="Garamond" w:hAnsi="Garamond"/>
                <w:highlight w:val="yellow"/>
              </w:rPr>
              <w:t>в соответствии с законодательством о бухгалтерском учете Российской Федерации</w:t>
            </w:r>
            <w:r>
              <w:rPr>
                <w:rFonts w:ascii="Garamond" w:hAnsi="Garamond"/>
              </w:rPr>
              <w:t xml:space="preserve"> фактически сформирован </w:t>
            </w:r>
            <w:r w:rsidR="00FA0A88" w:rsidRPr="00FA0A88">
              <w:rPr>
                <w:rFonts w:ascii="Garamond" w:hAnsi="Garamond"/>
                <w:highlight w:val="yellow"/>
              </w:rPr>
              <w:t xml:space="preserve">резерв по сомнительным </w:t>
            </w:r>
            <w:r w:rsidR="00FA0A88" w:rsidRPr="00854F6D">
              <w:rPr>
                <w:rFonts w:ascii="Garamond" w:hAnsi="Garamond"/>
                <w:highlight w:val="yellow"/>
              </w:rPr>
              <w:t>долгам</w:t>
            </w:r>
            <w:r w:rsidR="00854F6D" w:rsidRPr="00854F6D">
              <w:rPr>
                <w:rFonts w:ascii="Garamond" w:hAnsi="Garamond"/>
                <w:highlight w:val="yellow"/>
              </w:rPr>
              <w:t xml:space="preserve"> на конец отчетного периода</w:t>
            </w:r>
            <w:r w:rsidR="00FA0A88">
              <w:rPr>
                <w:rFonts w:ascii="Garamond" w:hAnsi="Garamond"/>
              </w:rPr>
              <w:t xml:space="preserve"> </w:t>
            </w:r>
            <w:r>
              <w:rPr>
                <w:rFonts w:ascii="Garamond" w:hAnsi="Garamond"/>
              </w:rPr>
              <w:t>по указанным группам потребителей и в заполняемых подстроках «в том чис</w:t>
            </w:r>
            <w:r w:rsidR="00854F6D">
              <w:rPr>
                <w:rFonts w:ascii="Garamond" w:hAnsi="Garamond"/>
              </w:rPr>
              <w:t>ле потери (МРСК и прочие ТСО)».</w:t>
            </w:r>
          </w:p>
        </w:tc>
      </w:tr>
      <w:tr w:rsidR="009652EF" w14:paraId="4CFBF917" w14:textId="77777777">
        <w:tc>
          <w:tcPr>
            <w:tcW w:w="988" w:type="dxa"/>
          </w:tcPr>
          <w:p w14:paraId="5E162E49" w14:textId="77777777" w:rsidR="009652EF" w:rsidRDefault="00EC2E1E">
            <w:pPr>
              <w:pStyle w:val="a3"/>
              <w:ind w:left="-108" w:right="-108"/>
              <w:jc w:val="center"/>
              <w:rPr>
                <w:rFonts w:ascii="Garamond" w:hAnsi="Garamond"/>
                <w:b/>
              </w:rPr>
            </w:pPr>
            <w:proofErr w:type="spellStart"/>
            <w:r>
              <w:rPr>
                <w:rFonts w:ascii="Garamond" w:hAnsi="Garamond"/>
                <w:b/>
              </w:rPr>
              <w:t>Прило</w:t>
            </w:r>
            <w:proofErr w:type="spellEnd"/>
            <w:r>
              <w:rPr>
                <w:rFonts w:ascii="Garamond" w:hAnsi="Garamond"/>
                <w:b/>
              </w:rPr>
              <w:t>-</w:t>
            </w:r>
          </w:p>
          <w:p w14:paraId="13FA91F8" w14:textId="2E4FCD0B" w:rsidR="009652EF" w:rsidRDefault="00EC2E1E">
            <w:pPr>
              <w:pStyle w:val="a3"/>
              <w:ind w:left="-108" w:right="-108"/>
              <w:jc w:val="center"/>
              <w:rPr>
                <w:rFonts w:ascii="Garamond" w:hAnsi="Garamond"/>
                <w:b/>
              </w:rPr>
            </w:pPr>
            <w:proofErr w:type="spellStart"/>
            <w:r>
              <w:rPr>
                <w:rFonts w:ascii="Garamond" w:hAnsi="Garamond"/>
                <w:b/>
              </w:rPr>
              <w:t>жение</w:t>
            </w:r>
            <w:proofErr w:type="spellEnd"/>
            <w:r>
              <w:rPr>
                <w:rFonts w:ascii="Garamond" w:hAnsi="Garamond"/>
                <w:b/>
              </w:rPr>
              <w:t xml:space="preserve"> 1</w:t>
            </w:r>
            <w:r w:rsidR="000103BB">
              <w:rPr>
                <w:rFonts w:ascii="Garamond" w:hAnsi="Garamond"/>
                <w:b/>
              </w:rPr>
              <w:t>,</w:t>
            </w:r>
          </w:p>
          <w:p w14:paraId="0EBE9CB5" w14:textId="4CC56406" w:rsidR="009652EF" w:rsidRDefault="000103BB">
            <w:pPr>
              <w:pStyle w:val="a3"/>
              <w:ind w:left="-108" w:right="-108"/>
              <w:jc w:val="center"/>
              <w:rPr>
                <w:rFonts w:ascii="Garamond" w:hAnsi="Garamond"/>
              </w:rPr>
            </w:pPr>
            <w:r>
              <w:rPr>
                <w:rFonts w:ascii="Garamond" w:hAnsi="Garamond"/>
                <w:b/>
              </w:rPr>
              <w:t>р</w:t>
            </w:r>
            <w:r w:rsidR="00EC2E1E">
              <w:rPr>
                <w:rFonts w:ascii="Garamond" w:hAnsi="Garamond"/>
                <w:b/>
              </w:rPr>
              <w:t>аздел 8</w:t>
            </w:r>
          </w:p>
        </w:tc>
        <w:tc>
          <w:tcPr>
            <w:tcW w:w="6520" w:type="dxa"/>
          </w:tcPr>
          <w:tbl>
            <w:tblPr>
              <w:tblStyle w:val="a4"/>
              <w:tblW w:w="0" w:type="auto"/>
              <w:tblInd w:w="33" w:type="dxa"/>
              <w:tblLook w:val="04A0" w:firstRow="1" w:lastRow="0" w:firstColumn="1" w:lastColumn="0" w:noHBand="0" w:noVBand="1"/>
            </w:tblPr>
            <w:tblGrid>
              <w:gridCol w:w="2405"/>
              <w:gridCol w:w="3856"/>
            </w:tblGrid>
            <w:tr w:rsidR="009652EF" w14:paraId="28A1D186" w14:textId="77777777" w:rsidTr="00C00646">
              <w:tc>
                <w:tcPr>
                  <w:tcW w:w="2405" w:type="dxa"/>
                </w:tcPr>
                <w:p w14:paraId="418E756A" w14:textId="77777777" w:rsidR="009652EF" w:rsidRDefault="00EC2E1E">
                  <w:pPr>
                    <w:spacing w:before="120" w:after="120"/>
                    <w:rPr>
                      <w:rFonts w:ascii="Garamond" w:hAnsi="Garamond"/>
                      <w:snapToGrid w:val="0"/>
                      <w:color w:val="000000"/>
                    </w:rPr>
                  </w:pPr>
                  <w:r>
                    <w:rPr>
                      <w:rFonts w:ascii="Garamond" w:hAnsi="Garamond"/>
                      <w:b/>
                      <w:snapToGrid w:val="0"/>
                      <w:color w:val="000000"/>
                    </w:rPr>
                    <w:t>Дебиторская задолженность</w:t>
                  </w:r>
                  <w:r>
                    <w:rPr>
                      <w:rFonts w:ascii="Garamond" w:hAnsi="Garamond"/>
                      <w:snapToGrid w:val="0"/>
                      <w:color w:val="000000"/>
                    </w:rPr>
                    <w:t xml:space="preserve"> </w:t>
                  </w:r>
                  <w:r>
                    <w:rPr>
                      <w:rFonts w:ascii="Garamond" w:hAnsi="Garamond"/>
                      <w:b/>
                      <w:snapToGrid w:val="0"/>
                      <w:color w:val="000000"/>
                      <w:highlight w:val="yellow"/>
                    </w:rPr>
                    <w:t>на конец отчетного периода</w:t>
                  </w:r>
                  <w:r>
                    <w:rPr>
                      <w:rFonts w:ascii="Garamond" w:hAnsi="Garamond"/>
                      <w:snapToGrid w:val="0"/>
                      <w:color w:val="000000"/>
                    </w:rPr>
                    <w:t xml:space="preserve"> </w:t>
                  </w:r>
                </w:p>
              </w:tc>
              <w:tc>
                <w:tcPr>
                  <w:tcW w:w="3856" w:type="dxa"/>
                </w:tcPr>
                <w:p w14:paraId="113B3D0D" w14:textId="77777777" w:rsidR="009652EF" w:rsidRDefault="00EC2E1E">
                  <w:pPr>
                    <w:spacing w:before="120" w:after="120"/>
                    <w:jc w:val="both"/>
                    <w:rPr>
                      <w:rFonts w:ascii="Garamond" w:hAnsi="Garamond"/>
                      <w:snapToGrid w:val="0"/>
                      <w:color w:val="000000"/>
                    </w:rPr>
                  </w:pPr>
                  <w:r>
                    <w:rPr>
                      <w:rFonts w:ascii="Garamond" w:hAnsi="Garamond"/>
                      <w:snapToGrid w:val="0"/>
                      <w:color w:val="000000"/>
                    </w:rPr>
                    <w:t xml:space="preserve">Абонентская дебиторская задолженность – дебиторская задолженность за потребленную электрическую энергию, отраженная </w:t>
                  </w:r>
                  <w:r>
                    <w:rPr>
                      <w:rFonts w:ascii="Garamond" w:hAnsi="Garamond"/>
                      <w:snapToGrid w:val="0"/>
                      <w:color w:val="000000"/>
                      <w:highlight w:val="yellow"/>
                    </w:rPr>
                    <w:t xml:space="preserve">по строке </w:t>
                  </w:r>
                  <w:r w:rsidRPr="009C76A8">
                    <w:rPr>
                      <w:rFonts w:ascii="Garamond" w:hAnsi="Garamond"/>
                      <w:snapToGrid w:val="0"/>
                      <w:highlight w:val="yellow"/>
                    </w:rPr>
                    <w:t xml:space="preserve">1230 (в т.ч. по ее составляющим, направленным в сектор расчетов за электроэнергию) бухгалтерского баланса (форма </w:t>
                  </w:r>
                  <w:r w:rsidRPr="009C76A8">
                    <w:rPr>
                      <w:rFonts w:ascii="Garamond" w:hAnsi="Garamond"/>
                      <w:highlight w:val="yellow"/>
                    </w:rPr>
                    <w:t>№</w:t>
                  </w:r>
                  <w:r w:rsidRPr="009C76A8">
                    <w:rPr>
                      <w:rFonts w:ascii="Garamond" w:hAnsi="Garamond"/>
                      <w:snapToGrid w:val="0"/>
                      <w:highlight w:val="yellow"/>
                    </w:rPr>
                    <w:t xml:space="preserve">1) </w:t>
                  </w:r>
                  <w:r w:rsidRPr="00321144">
                    <w:rPr>
                      <w:rFonts w:ascii="Garamond" w:hAnsi="Garamond"/>
                      <w:snapToGrid w:val="0"/>
                      <w:highlight w:val="yellow"/>
                    </w:rPr>
                    <w:t xml:space="preserve">по состоянию на конец </w:t>
                  </w:r>
                  <w:r w:rsidRPr="00321144">
                    <w:rPr>
                      <w:rFonts w:ascii="Garamond" w:hAnsi="Garamond"/>
                      <w:snapToGrid w:val="0"/>
                      <w:color w:val="000000"/>
                      <w:highlight w:val="yellow"/>
                    </w:rPr>
                    <w:t>отчетного периода (т.е. сумма долгов, причитающихся организации (энергосбытовой компании) от юридических или физических лиц.</w:t>
                  </w:r>
                </w:p>
              </w:tc>
            </w:tr>
          </w:tbl>
          <w:p w14:paraId="62EFC530" w14:textId="77777777" w:rsidR="009652EF" w:rsidRDefault="009652EF">
            <w:pPr>
              <w:spacing w:before="120" w:after="120"/>
              <w:ind w:left="33" w:firstLine="600"/>
              <w:jc w:val="both"/>
              <w:rPr>
                <w:rFonts w:ascii="Garamond" w:hAnsi="Garamond"/>
              </w:rPr>
            </w:pPr>
          </w:p>
        </w:tc>
        <w:tc>
          <w:tcPr>
            <w:tcW w:w="7371" w:type="dxa"/>
          </w:tcPr>
          <w:tbl>
            <w:tblPr>
              <w:tblStyle w:val="a4"/>
              <w:tblW w:w="0" w:type="auto"/>
              <w:tblLook w:val="04A0" w:firstRow="1" w:lastRow="0" w:firstColumn="1" w:lastColumn="0" w:noHBand="0" w:noVBand="1"/>
            </w:tblPr>
            <w:tblGrid>
              <w:gridCol w:w="3006"/>
              <w:gridCol w:w="4139"/>
            </w:tblGrid>
            <w:tr w:rsidR="009652EF" w14:paraId="7C2610C5" w14:textId="77777777" w:rsidTr="00C00646">
              <w:tc>
                <w:tcPr>
                  <w:tcW w:w="3006" w:type="dxa"/>
                </w:tcPr>
                <w:p w14:paraId="236CB588" w14:textId="77777777" w:rsidR="009652EF" w:rsidRDefault="00EC2E1E" w:rsidP="00FA0A88">
                  <w:pPr>
                    <w:spacing w:before="120" w:after="120"/>
                    <w:rPr>
                      <w:rFonts w:ascii="Garamond" w:hAnsi="Garamond"/>
                      <w:snapToGrid w:val="0"/>
                      <w:color w:val="000000"/>
                    </w:rPr>
                  </w:pPr>
                  <w:r>
                    <w:rPr>
                      <w:rFonts w:ascii="Garamond" w:hAnsi="Garamond"/>
                      <w:b/>
                      <w:snapToGrid w:val="0"/>
                      <w:color w:val="000000"/>
                    </w:rPr>
                    <w:t>Дебиторская задолженность</w:t>
                  </w:r>
                </w:p>
              </w:tc>
              <w:tc>
                <w:tcPr>
                  <w:tcW w:w="4139" w:type="dxa"/>
                </w:tcPr>
                <w:p w14:paraId="1C7CD5E2" w14:textId="7CDD9C95" w:rsidR="009652EF" w:rsidRPr="00E336D0" w:rsidRDefault="00EC2E1E" w:rsidP="00E336D0">
                  <w:pPr>
                    <w:spacing w:before="120" w:after="120"/>
                    <w:jc w:val="both"/>
                    <w:rPr>
                      <w:rFonts w:ascii="Garamond" w:hAnsi="Garamond"/>
                      <w:snapToGrid w:val="0"/>
                      <w:color w:val="FF0000"/>
                    </w:rPr>
                  </w:pPr>
                  <w:r>
                    <w:rPr>
                      <w:rFonts w:ascii="Garamond" w:hAnsi="Garamond"/>
                      <w:snapToGrid w:val="0"/>
                      <w:color w:val="000000"/>
                    </w:rPr>
                    <w:t>Абонентская дебиторская задолженность – дебиторская задолженность за потребленную электрическую энергию, отраженная</w:t>
                  </w:r>
                  <w:r>
                    <w:rPr>
                      <w:rFonts w:ascii="Garamond" w:hAnsi="Garamond"/>
                      <w:snapToGrid w:val="0"/>
                      <w:color w:val="000000"/>
                      <w:highlight w:val="yellow"/>
                    </w:rPr>
                    <w:t xml:space="preserve"> в учете гарантирующего поставщика, энергосбытовой компании</w:t>
                  </w:r>
                  <w:r w:rsidR="007130AC">
                    <w:rPr>
                      <w:rFonts w:ascii="Garamond" w:hAnsi="Garamond"/>
                      <w:snapToGrid w:val="0"/>
                      <w:color w:val="000000"/>
                      <w:highlight w:val="yellow"/>
                    </w:rPr>
                    <w:t xml:space="preserve"> (включая величину дебиторской задолженности, на которую сформирован резерв по </w:t>
                  </w:r>
                  <w:r w:rsidR="007130AC" w:rsidRPr="00E336D0">
                    <w:rPr>
                      <w:rFonts w:ascii="Garamond" w:hAnsi="Garamond"/>
                      <w:snapToGrid w:val="0"/>
                      <w:highlight w:val="yellow"/>
                    </w:rPr>
                    <w:t>сомнительным долгам)</w:t>
                  </w:r>
                  <w:r w:rsidR="002A6747">
                    <w:rPr>
                      <w:rFonts w:ascii="Garamond" w:hAnsi="Garamond"/>
                      <w:snapToGrid w:val="0"/>
                      <w:highlight w:val="yellow"/>
                    </w:rPr>
                    <w:t>,</w:t>
                  </w:r>
                  <w:r w:rsidR="00E336D0" w:rsidRPr="00E336D0">
                    <w:rPr>
                      <w:rFonts w:ascii="Garamond" w:hAnsi="Garamond"/>
                      <w:snapToGrid w:val="0"/>
                      <w:highlight w:val="yellow"/>
                    </w:rPr>
                    <w:t xml:space="preserve"> равная сумме долгов за электрическую энергию</w:t>
                  </w:r>
                  <w:r w:rsidR="00854F6D">
                    <w:rPr>
                      <w:rFonts w:ascii="Garamond" w:hAnsi="Garamond"/>
                      <w:snapToGrid w:val="0"/>
                      <w:highlight w:val="yellow"/>
                    </w:rPr>
                    <w:t xml:space="preserve">, </w:t>
                  </w:r>
                  <w:r w:rsidR="00E336D0" w:rsidRPr="00E336D0">
                    <w:rPr>
                      <w:rFonts w:ascii="Garamond" w:hAnsi="Garamond"/>
                      <w:snapToGrid w:val="0"/>
                      <w:highlight w:val="yellow"/>
                    </w:rPr>
                    <w:t>причитающихся гарантирующему поставщику, энергосбытовой компании от юридических или физических лиц.</w:t>
                  </w:r>
                </w:p>
              </w:tc>
            </w:tr>
          </w:tbl>
          <w:p w14:paraId="5B5E5551" w14:textId="77777777" w:rsidR="009652EF" w:rsidRDefault="009652EF">
            <w:pPr>
              <w:pStyle w:val="a3"/>
              <w:ind w:firstLine="601"/>
              <w:rPr>
                <w:rFonts w:ascii="Garamond" w:hAnsi="Garamond"/>
              </w:rPr>
            </w:pPr>
          </w:p>
        </w:tc>
      </w:tr>
    </w:tbl>
    <w:p w14:paraId="798FBA13" w14:textId="77777777" w:rsidR="009652EF" w:rsidRDefault="009652EF">
      <w:pPr>
        <w:pStyle w:val="a3"/>
        <w:jc w:val="both"/>
        <w:rPr>
          <w:rFonts w:ascii="Garamond" w:hAnsi="Garamond"/>
          <w:b/>
        </w:rPr>
      </w:pPr>
    </w:p>
    <w:p w14:paraId="19E25920" w14:textId="77777777" w:rsidR="009652EF" w:rsidRDefault="009652EF">
      <w:pPr>
        <w:pStyle w:val="a3"/>
        <w:jc w:val="both"/>
        <w:rPr>
          <w:rFonts w:ascii="Garamond" w:hAnsi="Garamond"/>
          <w:b/>
        </w:rPr>
      </w:pPr>
    </w:p>
    <w:p w14:paraId="1B81DB99" w14:textId="77777777" w:rsidR="009652EF" w:rsidRDefault="009652EF">
      <w:pPr>
        <w:jc w:val="both"/>
        <w:rPr>
          <w:rFonts w:ascii="Garamond" w:hAnsi="Garamond"/>
          <w:b/>
          <w:iCs/>
          <w:sz w:val="26"/>
          <w:szCs w:val="26"/>
        </w:rPr>
      </w:pPr>
    </w:p>
    <w:sectPr w:rsidR="009652EF" w:rsidSect="000103BB">
      <w:footerReference w:type="default" r:id="rId8"/>
      <w:pgSz w:w="16838" w:h="11906" w:orient="landscape"/>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23CA43" w14:textId="77777777" w:rsidR="007B24C5" w:rsidRDefault="007B24C5">
      <w:pPr>
        <w:spacing w:after="0" w:line="240" w:lineRule="auto"/>
      </w:pPr>
      <w:r>
        <w:separator/>
      </w:r>
    </w:p>
  </w:endnote>
  <w:endnote w:type="continuationSeparator" w:id="0">
    <w:p w14:paraId="6914E4FD" w14:textId="77777777" w:rsidR="007B24C5" w:rsidRDefault="007B2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3654380"/>
      <w:docPartObj>
        <w:docPartGallery w:val="Page Numbers (Bottom of Page)"/>
        <w:docPartUnique/>
      </w:docPartObj>
    </w:sdtPr>
    <w:sdtEndPr/>
    <w:sdtContent>
      <w:p w14:paraId="3E964382" w14:textId="77777777" w:rsidR="009652EF" w:rsidRDefault="00EC2E1E">
        <w:pPr>
          <w:pStyle w:val="a5"/>
          <w:tabs>
            <w:tab w:val="left" w:pos="9540"/>
            <w:tab w:val="right" w:pos="14570"/>
          </w:tabs>
        </w:pPr>
        <w:r>
          <w:tab/>
        </w:r>
        <w:r>
          <w:tab/>
        </w:r>
        <w:r>
          <w:tab/>
        </w:r>
        <w:r>
          <w:tab/>
        </w:r>
        <w:r>
          <w:fldChar w:fldCharType="begin"/>
        </w:r>
        <w:r>
          <w:instrText>PAGE   \* MERGEFORMAT</w:instrText>
        </w:r>
        <w:r>
          <w:fldChar w:fldCharType="separate"/>
        </w:r>
        <w:r w:rsidR="00EF5537">
          <w:rPr>
            <w:noProof/>
          </w:rPr>
          <w:t>2</w:t>
        </w:r>
        <w:r>
          <w:fldChar w:fldCharType="end"/>
        </w:r>
      </w:p>
    </w:sdtContent>
  </w:sdt>
  <w:p w14:paraId="25A8978A" w14:textId="77777777" w:rsidR="009652EF" w:rsidRDefault="009652E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629271" w14:textId="77777777" w:rsidR="007B24C5" w:rsidRDefault="007B24C5">
      <w:pPr>
        <w:spacing w:after="0" w:line="240" w:lineRule="auto"/>
      </w:pPr>
      <w:r>
        <w:separator/>
      </w:r>
    </w:p>
  </w:footnote>
  <w:footnote w:type="continuationSeparator" w:id="0">
    <w:p w14:paraId="41E2265F" w14:textId="77777777" w:rsidR="007B24C5" w:rsidRDefault="007B24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D4EA7"/>
    <w:multiLevelType w:val="hybridMultilevel"/>
    <w:tmpl w:val="41164FE6"/>
    <w:lvl w:ilvl="0" w:tplc="D03C4C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430999"/>
    <w:multiLevelType w:val="multilevel"/>
    <w:tmpl w:val="40EC1848"/>
    <w:lvl w:ilvl="0">
      <w:start w:val="1"/>
      <w:numFmt w:val="decimal"/>
      <w:lvlText w:val="%1."/>
      <w:lvlJc w:val="left"/>
      <w:pPr>
        <w:tabs>
          <w:tab w:val="num" w:pos="720"/>
        </w:tabs>
        <w:ind w:left="720" w:hanging="360"/>
      </w:pPr>
      <w:rPr>
        <w:rFonts w:cs="Times New Roman" w:hint="default"/>
      </w:rPr>
    </w:lvl>
    <w:lvl w:ilvl="1">
      <w:start w:val="6"/>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 w15:restartNumberingAfterBreak="0">
    <w:nsid w:val="143855AA"/>
    <w:multiLevelType w:val="hybridMultilevel"/>
    <w:tmpl w:val="5E0C7014"/>
    <w:lvl w:ilvl="0" w:tplc="FFFFFFFF">
      <w:start w:val="1"/>
      <w:numFmt w:val="bullet"/>
      <w:lvlText w:val="­"/>
      <w:lvlJc w:val="left"/>
      <w:pPr>
        <w:ind w:left="1287" w:hanging="360"/>
      </w:pPr>
      <w:rPr>
        <w:rFonts w:ascii="Courier New" w:hAnsi="Courier New"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0D26322"/>
    <w:multiLevelType w:val="multilevel"/>
    <w:tmpl w:val="BD447328"/>
    <w:lvl w:ilvl="0">
      <w:start w:val="1"/>
      <w:numFmt w:val="decimal"/>
      <w:lvlText w:val="%1."/>
      <w:lvlJc w:val="left"/>
      <w:pPr>
        <w:ind w:left="360" w:hanging="360"/>
      </w:pPr>
    </w:lvl>
    <w:lvl w:ilvl="1">
      <w:start w:val="1"/>
      <w:numFmt w:val="decimal"/>
      <w:lvlText w:val="%1.%2."/>
      <w:lvlJc w:val="left"/>
      <w:pPr>
        <w:ind w:left="792" w:hanging="432"/>
      </w:pPr>
      <w:rPr>
        <w:b/>
        <w:sz w:val="22"/>
        <w:szCs w:val="22"/>
      </w:rPr>
    </w:lvl>
    <w:lvl w:ilvl="2">
      <w:start w:val="1"/>
      <w:numFmt w:val="decimal"/>
      <w:lvlText w:val="%1.%2.%3."/>
      <w:lvlJc w:val="left"/>
      <w:pPr>
        <w:ind w:left="121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A5A41"/>
    <w:multiLevelType w:val="hybridMultilevel"/>
    <w:tmpl w:val="A626994E"/>
    <w:lvl w:ilvl="0" w:tplc="FFFFFFFF">
      <w:start w:val="1"/>
      <w:numFmt w:val="bullet"/>
      <w:lvlText w:val="­"/>
      <w:lvlJc w:val="left"/>
      <w:pPr>
        <w:ind w:left="1429" w:hanging="360"/>
      </w:pPr>
      <w:rPr>
        <w:rFonts w:ascii="Courier New" w:hAnsi="Courier New"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4C12033"/>
    <w:multiLevelType w:val="hybridMultilevel"/>
    <w:tmpl w:val="1146F7B4"/>
    <w:lvl w:ilvl="0" w:tplc="B5BC7E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4CA5E13"/>
    <w:multiLevelType w:val="hybridMultilevel"/>
    <w:tmpl w:val="904EA7AA"/>
    <w:lvl w:ilvl="0" w:tplc="FFFFFFFF">
      <w:start w:val="1"/>
      <w:numFmt w:val="bullet"/>
      <w:lvlText w:val="­"/>
      <w:lvlJc w:val="left"/>
      <w:pPr>
        <w:ind w:left="612" w:hanging="360"/>
      </w:pPr>
      <w:rPr>
        <w:rFonts w:ascii="Courier New" w:hAnsi="Courier New" w:hint="default"/>
        <w:color w:val="auto"/>
      </w:rPr>
    </w:lvl>
    <w:lvl w:ilvl="1" w:tplc="04190003" w:tentative="1">
      <w:start w:val="1"/>
      <w:numFmt w:val="bullet"/>
      <w:lvlText w:val="o"/>
      <w:lvlJc w:val="left"/>
      <w:pPr>
        <w:ind w:left="1332" w:hanging="360"/>
      </w:pPr>
      <w:rPr>
        <w:rFonts w:ascii="Courier New" w:hAnsi="Courier New" w:cs="Courier New" w:hint="default"/>
      </w:rPr>
    </w:lvl>
    <w:lvl w:ilvl="2" w:tplc="04190005" w:tentative="1">
      <w:start w:val="1"/>
      <w:numFmt w:val="bullet"/>
      <w:lvlText w:val=""/>
      <w:lvlJc w:val="left"/>
      <w:pPr>
        <w:ind w:left="2052" w:hanging="360"/>
      </w:pPr>
      <w:rPr>
        <w:rFonts w:ascii="Wingdings" w:hAnsi="Wingdings" w:hint="default"/>
      </w:rPr>
    </w:lvl>
    <w:lvl w:ilvl="3" w:tplc="04190001" w:tentative="1">
      <w:start w:val="1"/>
      <w:numFmt w:val="bullet"/>
      <w:lvlText w:val=""/>
      <w:lvlJc w:val="left"/>
      <w:pPr>
        <w:ind w:left="2772" w:hanging="360"/>
      </w:pPr>
      <w:rPr>
        <w:rFonts w:ascii="Symbol" w:hAnsi="Symbol" w:hint="default"/>
      </w:rPr>
    </w:lvl>
    <w:lvl w:ilvl="4" w:tplc="04190003" w:tentative="1">
      <w:start w:val="1"/>
      <w:numFmt w:val="bullet"/>
      <w:lvlText w:val="o"/>
      <w:lvlJc w:val="left"/>
      <w:pPr>
        <w:ind w:left="3492" w:hanging="360"/>
      </w:pPr>
      <w:rPr>
        <w:rFonts w:ascii="Courier New" w:hAnsi="Courier New" w:cs="Courier New" w:hint="default"/>
      </w:rPr>
    </w:lvl>
    <w:lvl w:ilvl="5" w:tplc="04190005" w:tentative="1">
      <w:start w:val="1"/>
      <w:numFmt w:val="bullet"/>
      <w:lvlText w:val=""/>
      <w:lvlJc w:val="left"/>
      <w:pPr>
        <w:ind w:left="4212" w:hanging="360"/>
      </w:pPr>
      <w:rPr>
        <w:rFonts w:ascii="Wingdings" w:hAnsi="Wingdings" w:hint="default"/>
      </w:rPr>
    </w:lvl>
    <w:lvl w:ilvl="6" w:tplc="04190001" w:tentative="1">
      <w:start w:val="1"/>
      <w:numFmt w:val="bullet"/>
      <w:lvlText w:val=""/>
      <w:lvlJc w:val="left"/>
      <w:pPr>
        <w:ind w:left="4932" w:hanging="360"/>
      </w:pPr>
      <w:rPr>
        <w:rFonts w:ascii="Symbol" w:hAnsi="Symbol" w:hint="default"/>
      </w:rPr>
    </w:lvl>
    <w:lvl w:ilvl="7" w:tplc="04190003" w:tentative="1">
      <w:start w:val="1"/>
      <w:numFmt w:val="bullet"/>
      <w:lvlText w:val="o"/>
      <w:lvlJc w:val="left"/>
      <w:pPr>
        <w:ind w:left="5652" w:hanging="360"/>
      </w:pPr>
      <w:rPr>
        <w:rFonts w:ascii="Courier New" w:hAnsi="Courier New" w:cs="Courier New" w:hint="default"/>
      </w:rPr>
    </w:lvl>
    <w:lvl w:ilvl="8" w:tplc="04190005" w:tentative="1">
      <w:start w:val="1"/>
      <w:numFmt w:val="bullet"/>
      <w:lvlText w:val=""/>
      <w:lvlJc w:val="left"/>
      <w:pPr>
        <w:ind w:left="6372" w:hanging="360"/>
      </w:pPr>
      <w:rPr>
        <w:rFonts w:ascii="Wingdings" w:hAnsi="Wingdings" w:hint="default"/>
      </w:rPr>
    </w:lvl>
  </w:abstractNum>
  <w:abstractNum w:abstractNumId="7" w15:restartNumberingAfterBreak="0">
    <w:nsid w:val="3778466D"/>
    <w:multiLevelType w:val="hybridMultilevel"/>
    <w:tmpl w:val="0504C50C"/>
    <w:lvl w:ilvl="0" w:tplc="D03C4C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FD341CC"/>
    <w:multiLevelType w:val="hybridMultilevel"/>
    <w:tmpl w:val="D7CC3DB8"/>
    <w:lvl w:ilvl="0" w:tplc="04C68898">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456D1EED"/>
    <w:multiLevelType w:val="hybridMultilevel"/>
    <w:tmpl w:val="4F98F110"/>
    <w:lvl w:ilvl="0" w:tplc="6C0A3BF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5AD3CD7"/>
    <w:multiLevelType w:val="hybridMultilevel"/>
    <w:tmpl w:val="B3FEB93E"/>
    <w:lvl w:ilvl="0" w:tplc="403CBC5C">
      <w:start w:val="1"/>
      <w:numFmt w:val="decimal"/>
      <w:lvlText w:val="%1."/>
      <w:lvlJc w:val="left"/>
      <w:pPr>
        <w:ind w:left="536" w:hanging="360"/>
      </w:pPr>
    </w:lvl>
    <w:lvl w:ilvl="1" w:tplc="04190019">
      <w:start w:val="1"/>
      <w:numFmt w:val="lowerLetter"/>
      <w:lvlText w:val="%2."/>
      <w:lvlJc w:val="left"/>
      <w:pPr>
        <w:ind w:left="1256" w:hanging="360"/>
      </w:pPr>
    </w:lvl>
    <w:lvl w:ilvl="2" w:tplc="0419001B">
      <w:start w:val="1"/>
      <w:numFmt w:val="lowerRoman"/>
      <w:lvlText w:val="%3."/>
      <w:lvlJc w:val="right"/>
      <w:pPr>
        <w:ind w:left="1976" w:hanging="180"/>
      </w:pPr>
    </w:lvl>
    <w:lvl w:ilvl="3" w:tplc="0419000F">
      <w:start w:val="1"/>
      <w:numFmt w:val="decimal"/>
      <w:lvlText w:val="%4."/>
      <w:lvlJc w:val="left"/>
      <w:pPr>
        <w:ind w:left="2696" w:hanging="360"/>
      </w:pPr>
    </w:lvl>
    <w:lvl w:ilvl="4" w:tplc="04190019">
      <w:start w:val="1"/>
      <w:numFmt w:val="lowerLetter"/>
      <w:lvlText w:val="%5."/>
      <w:lvlJc w:val="left"/>
      <w:pPr>
        <w:ind w:left="3416" w:hanging="360"/>
      </w:pPr>
    </w:lvl>
    <w:lvl w:ilvl="5" w:tplc="0419001B">
      <w:start w:val="1"/>
      <w:numFmt w:val="lowerRoman"/>
      <w:lvlText w:val="%6."/>
      <w:lvlJc w:val="right"/>
      <w:pPr>
        <w:ind w:left="4136" w:hanging="180"/>
      </w:pPr>
    </w:lvl>
    <w:lvl w:ilvl="6" w:tplc="0419000F">
      <w:start w:val="1"/>
      <w:numFmt w:val="decimal"/>
      <w:lvlText w:val="%7."/>
      <w:lvlJc w:val="left"/>
      <w:pPr>
        <w:ind w:left="4856" w:hanging="360"/>
      </w:pPr>
    </w:lvl>
    <w:lvl w:ilvl="7" w:tplc="04190019">
      <w:start w:val="1"/>
      <w:numFmt w:val="lowerLetter"/>
      <w:lvlText w:val="%8."/>
      <w:lvlJc w:val="left"/>
      <w:pPr>
        <w:ind w:left="5576" w:hanging="360"/>
      </w:pPr>
    </w:lvl>
    <w:lvl w:ilvl="8" w:tplc="0419001B">
      <w:start w:val="1"/>
      <w:numFmt w:val="lowerRoman"/>
      <w:lvlText w:val="%9."/>
      <w:lvlJc w:val="right"/>
      <w:pPr>
        <w:ind w:left="6296" w:hanging="180"/>
      </w:pPr>
    </w:lvl>
  </w:abstractNum>
  <w:abstractNum w:abstractNumId="11" w15:restartNumberingAfterBreak="0">
    <w:nsid w:val="579410A0"/>
    <w:multiLevelType w:val="multilevel"/>
    <w:tmpl w:val="ED72F6C8"/>
    <w:lvl w:ilvl="0">
      <w:start w:val="12"/>
      <w:numFmt w:val="decimal"/>
      <w:lvlText w:val="%1."/>
      <w:lvlJc w:val="left"/>
      <w:pPr>
        <w:tabs>
          <w:tab w:val="num" w:pos="0"/>
        </w:tabs>
        <w:ind w:left="480" w:hanging="480"/>
      </w:pPr>
      <w:rPr>
        <w:rFonts w:cs="Times New Roman" w:hint="default"/>
      </w:rPr>
    </w:lvl>
    <w:lvl w:ilvl="1">
      <w:start w:val="1"/>
      <w:numFmt w:val="decimal"/>
      <w:lvlText w:val="13.%2."/>
      <w:lvlJc w:val="left"/>
      <w:pPr>
        <w:tabs>
          <w:tab w:val="num" w:pos="-720"/>
        </w:tabs>
        <w:ind w:left="480" w:hanging="480"/>
      </w:pPr>
      <w:rPr>
        <w:rFonts w:cs="Times New Roman" w:hint="default"/>
      </w:rPr>
    </w:lvl>
    <w:lvl w:ilvl="2">
      <w:start w:val="1"/>
      <w:numFmt w:val="decimal"/>
      <w:lvlText w:val="%1.%2.%3."/>
      <w:lvlJc w:val="left"/>
      <w:pPr>
        <w:tabs>
          <w:tab w:val="num" w:pos="0"/>
        </w:tabs>
        <w:ind w:left="2160" w:hanging="720"/>
      </w:pPr>
      <w:rPr>
        <w:rFonts w:cs="Times New Roman" w:hint="default"/>
      </w:rPr>
    </w:lvl>
    <w:lvl w:ilvl="3">
      <w:start w:val="1"/>
      <w:numFmt w:val="decimal"/>
      <w:lvlText w:val="%1.%2.%3.%4."/>
      <w:lvlJc w:val="left"/>
      <w:pPr>
        <w:tabs>
          <w:tab w:val="num" w:pos="0"/>
        </w:tabs>
        <w:ind w:left="2880" w:hanging="720"/>
      </w:pPr>
      <w:rPr>
        <w:rFonts w:cs="Times New Roman" w:hint="default"/>
      </w:rPr>
    </w:lvl>
    <w:lvl w:ilvl="4">
      <w:start w:val="1"/>
      <w:numFmt w:val="decimal"/>
      <w:lvlText w:val="%1.%2.%3.%4.%5."/>
      <w:lvlJc w:val="left"/>
      <w:pPr>
        <w:tabs>
          <w:tab w:val="num" w:pos="0"/>
        </w:tabs>
        <w:ind w:left="3960" w:hanging="1080"/>
      </w:pPr>
      <w:rPr>
        <w:rFonts w:cs="Times New Roman" w:hint="default"/>
      </w:rPr>
    </w:lvl>
    <w:lvl w:ilvl="5">
      <w:start w:val="1"/>
      <w:numFmt w:val="decimal"/>
      <w:lvlText w:val="%1.%2.%3.%4.%5.%6."/>
      <w:lvlJc w:val="left"/>
      <w:pPr>
        <w:tabs>
          <w:tab w:val="num" w:pos="0"/>
        </w:tabs>
        <w:ind w:left="4680" w:hanging="1080"/>
      </w:pPr>
      <w:rPr>
        <w:rFonts w:cs="Times New Roman" w:hint="default"/>
      </w:rPr>
    </w:lvl>
    <w:lvl w:ilvl="6">
      <w:start w:val="1"/>
      <w:numFmt w:val="decimal"/>
      <w:lvlText w:val="%1.%2.%3.%4.%5.%6.%7."/>
      <w:lvlJc w:val="left"/>
      <w:pPr>
        <w:tabs>
          <w:tab w:val="num" w:pos="0"/>
        </w:tabs>
        <w:ind w:left="5760" w:hanging="1440"/>
      </w:pPr>
      <w:rPr>
        <w:rFonts w:cs="Times New Roman" w:hint="default"/>
      </w:rPr>
    </w:lvl>
    <w:lvl w:ilvl="7">
      <w:start w:val="1"/>
      <w:numFmt w:val="decimal"/>
      <w:lvlText w:val="%1.%2.%3.%4.%5.%6.%7.%8."/>
      <w:lvlJc w:val="left"/>
      <w:pPr>
        <w:tabs>
          <w:tab w:val="num" w:pos="0"/>
        </w:tabs>
        <w:ind w:left="6480" w:hanging="1440"/>
      </w:pPr>
      <w:rPr>
        <w:rFonts w:cs="Times New Roman" w:hint="default"/>
      </w:rPr>
    </w:lvl>
    <w:lvl w:ilvl="8">
      <w:start w:val="1"/>
      <w:numFmt w:val="decimal"/>
      <w:lvlText w:val="%1.%2.%3.%4.%5.%6.%7.%8.%9."/>
      <w:lvlJc w:val="left"/>
      <w:pPr>
        <w:tabs>
          <w:tab w:val="num" w:pos="0"/>
        </w:tabs>
        <w:ind w:left="7560" w:hanging="1800"/>
      </w:pPr>
      <w:rPr>
        <w:rFonts w:cs="Times New Roman" w:hint="default"/>
      </w:rPr>
    </w:lvl>
  </w:abstractNum>
  <w:abstractNum w:abstractNumId="12" w15:restartNumberingAfterBreak="0">
    <w:nsid w:val="583663F4"/>
    <w:multiLevelType w:val="hybridMultilevel"/>
    <w:tmpl w:val="C3C04014"/>
    <w:lvl w:ilvl="0" w:tplc="D03C4C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05C0197"/>
    <w:multiLevelType w:val="hybridMultilevel"/>
    <w:tmpl w:val="6E5E64FE"/>
    <w:lvl w:ilvl="0" w:tplc="FFFFFFFF">
      <w:start w:val="1"/>
      <w:numFmt w:val="bullet"/>
      <w:lvlText w:val="­"/>
      <w:lvlJc w:val="left"/>
      <w:pPr>
        <w:ind w:left="720" w:hanging="360"/>
      </w:pPr>
      <w:rPr>
        <w:rFonts w:ascii="Courier New" w:hAnsi="Courier New"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49C068C"/>
    <w:multiLevelType w:val="hybridMultilevel"/>
    <w:tmpl w:val="9EF0E97A"/>
    <w:lvl w:ilvl="0" w:tplc="B5BC7E4A">
      <w:start w:val="1"/>
      <w:numFmt w:val="bullet"/>
      <w:lvlText w:val=""/>
      <w:lvlJc w:val="left"/>
      <w:pPr>
        <w:ind w:left="896" w:hanging="360"/>
      </w:pPr>
      <w:rPr>
        <w:rFonts w:ascii="Symbol" w:hAnsi="Symbol"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15" w15:restartNumberingAfterBreak="0">
    <w:nsid w:val="653333C9"/>
    <w:multiLevelType w:val="hybridMultilevel"/>
    <w:tmpl w:val="A64E7B62"/>
    <w:lvl w:ilvl="0" w:tplc="B5BC7E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5E83351"/>
    <w:multiLevelType w:val="hybridMultilevel"/>
    <w:tmpl w:val="D256A5EE"/>
    <w:lvl w:ilvl="0" w:tplc="B5BC7E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DA2C65"/>
    <w:multiLevelType w:val="hybridMultilevel"/>
    <w:tmpl w:val="A9141796"/>
    <w:lvl w:ilvl="0" w:tplc="B5BC7E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D3266DD"/>
    <w:multiLevelType w:val="hybridMultilevel"/>
    <w:tmpl w:val="E74E2A00"/>
    <w:lvl w:ilvl="0" w:tplc="11B4820E">
      <w:start w:val="10"/>
      <w:numFmt w:val="bullet"/>
      <w:lvlText w:val="–"/>
      <w:lvlJc w:val="left"/>
      <w:pPr>
        <w:tabs>
          <w:tab w:val="num" w:pos="0"/>
        </w:tabs>
        <w:ind w:left="1287" w:hanging="360"/>
      </w:pPr>
      <w:rPr>
        <w:rFonts w:ascii="Garamond" w:eastAsia="Times New Roman" w:hAnsi="Garamond" w:cs="Times New Roman" w:hint="default"/>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9" w15:restartNumberingAfterBreak="0">
    <w:nsid w:val="70AE093A"/>
    <w:multiLevelType w:val="hybridMultilevel"/>
    <w:tmpl w:val="8DD82F28"/>
    <w:lvl w:ilvl="0" w:tplc="B5BC7E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2CE1EB5"/>
    <w:multiLevelType w:val="hybridMultilevel"/>
    <w:tmpl w:val="901280F0"/>
    <w:lvl w:ilvl="0" w:tplc="FFFFFFFF">
      <w:start w:val="1"/>
      <w:numFmt w:val="decimal"/>
      <w:lvlText w:val="%1)"/>
      <w:lvlJc w:val="left"/>
      <w:pPr>
        <w:tabs>
          <w:tab w:val="num" w:pos="1190"/>
        </w:tabs>
        <w:ind w:left="1190" w:hanging="453"/>
      </w:pPr>
      <w:rPr>
        <w:rFonts w:cs="Times New Roman" w:hint="default"/>
      </w:rPr>
    </w:lvl>
    <w:lvl w:ilvl="1" w:tplc="FFFFFFFF">
      <w:start w:val="1"/>
      <w:numFmt w:val="bullet"/>
      <w:lvlText w:val="-"/>
      <w:lvlJc w:val="left"/>
      <w:pPr>
        <w:tabs>
          <w:tab w:val="num" w:pos="2029"/>
        </w:tabs>
        <w:ind w:left="2029" w:hanging="360"/>
      </w:pPr>
      <w:rPr>
        <w:rFonts w:ascii="Times New Roman" w:eastAsia="Times New Roman" w:hAnsi="Times New Roman" w:hint="default"/>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1" w15:restartNumberingAfterBreak="0">
    <w:nsid w:val="7C37140C"/>
    <w:multiLevelType w:val="hybridMultilevel"/>
    <w:tmpl w:val="FA726ABC"/>
    <w:lvl w:ilvl="0" w:tplc="775A22B6">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num>
  <w:num w:numId="2">
    <w:abstractNumId w:val="11"/>
  </w:num>
  <w:num w:numId="3">
    <w:abstractNumId w:val="2"/>
  </w:num>
  <w:num w:numId="4">
    <w:abstractNumId w:val="20"/>
  </w:num>
  <w:num w:numId="5">
    <w:abstractNumId w:val="9"/>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4"/>
  </w:num>
  <w:num w:numId="9">
    <w:abstractNumId w:val="3"/>
  </w:num>
  <w:num w:numId="10">
    <w:abstractNumId w:val="21"/>
  </w:num>
  <w:num w:numId="11">
    <w:abstractNumId w:val="8"/>
  </w:num>
  <w:num w:numId="12">
    <w:abstractNumId w:val="19"/>
  </w:num>
  <w:num w:numId="13">
    <w:abstractNumId w:val="17"/>
  </w:num>
  <w:num w:numId="14">
    <w:abstractNumId w:val="15"/>
  </w:num>
  <w:num w:numId="15">
    <w:abstractNumId w:val="5"/>
  </w:num>
  <w:num w:numId="16">
    <w:abstractNumId w:val="16"/>
  </w:num>
  <w:num w:numId="17">
    <w:abstractNumId w:val="18"/>
  </w:num>
  <w:num w:numId="18">
    <w:abstractNumId w:val="6"/>
  </w:num>
  <w:num w:numId="19">
    <w:abstractNumId w:val="1"/>
  </w:num>
  <w:num w:numId="20">
    <w:abstractNumId w:val="0"/>
  </w:num>
  <w:num w:numId="21">
    <w:abstractNumId w:val="12"/>
  </w:num>
  <w:num w:numId="22">
    <w:abstractNumId w:val="7"/>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2EF"/>
    <w:rsid w:val="000103BB"/>
    <w:rsid w:val="00105D0B"/>
    <w:rsid w:val="00216662"/>
    <w:rsid w:val="00247A9B"/>
    <w:rsid w:val="002A6747"/>
    <w:rsid w:val="002D0486"/>
    <w:rsid w:val="00301A22"/>
    <w:rsid w:val="00321144"/>
    <w:rsid w:val="003E5BCE"/>
    <w:rsid w:val="00456430"/>
    <w:rsid w:val="004A0591"/>
    <w:rsid w:val="004E3075"/>
    <w:rsid w:val="0059624A"/>
    <w:rsid w:val="005C34C1"/>
    <w:rsid w:val="00692FCB"/>
    <w:rsid w:val="006A3F9F"/>
    <w:rsid w:val="006D3857"/>
    <w:rsid w:val="007130AC"/>
    <w:rsid w:val="007B24C5"/>
    <w:rsid w:val="007F29A3"/>
    <w:rsid w:val="00840925"/>
    <w:rsid w:val="00854F6D"/>
    <w:rsid w:val="008C48C3"/>
    <w:rsid w:val="009652EF"/>
    <w:rsid w:val="009C4B75"/>
    <w:rsid w:val="009C76A8"/>
    <w:rsid w:val="00BD048E"/>
    <w:rsid w:val="00C00646"/>
    <w:rsid w:val="00CC5075"/>
    <w:rsid w:val="00E1150C"/>
    <w:rsid w:val="00E336D0"/>
    <w:rsid w:val="00EC2E1E"/>
    <w:rsid w:val="00EF5537"/>
    <w:rsid w:val="00F016D4"/>
    <w:rsid w:val="00FA0A88"/>
    <w:rsid w:val="00FB51B2"/>
    <w:rsid w:val="00FE0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DEC2"/>
  <w15:chartTrackingRefBased/>
  <w15:docId w15:val="{1E0F8E43-A20C-405B-873A-6FFA35006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h2,h21,Заголовок пункта (1.1),5,Reset numbering,222"/>
    <w:basedOn w:val="a"/>
    <w:next w:val="a"/>
    <w:link w:val="20"/>
    <w:uiPriority w:val="99"/>
    <w:qFormat/>
    <w:pPr>
      <w:keepNext/>
      <w:spacing w:before="240" w:after="60" w:line="360" w:lineRule="auto"/>
      <w:jc w:val="both"/>
      <w:outlineLvl w:val="1"/>
    </w:pPr>
    <w:rPr>
      <w:rFonts w:ascii="Times New Roman" w:eastAsia="Times New Roman" w:hAnsi="Times New Roman" w:cs="Arial"/>
      <w:bCs/>
      <w:iCs/>
      <w:sz w:val="24"/>
      <w:szCs w:val="28"/>
      <w:lang w:eastAsia="ru-RU"/>
    </w:rPr>
  </w:style>
  <w:style w:type="paragraph" w:styleId="3">
    <w:name w:val="heading 3"/>
    <w:basedOn w:val="a"/>
    <w:next w:val="a"/>
    <w:link w:val="30"/>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Pr>
      <w:rFonts w:asciiTheme="majorHAnsi" w:eastAsiaTheme="majorEastAsia" w:hAnsiTheme="majorHAnsi" w:cstheme="majorBidi"/>
      <w:color w:val="2E74B5" w:themeColor="accent1" w:themeShade="BF"/>
      <w:sz w:val="32"/>
      <w:szCs w:val="32"/>
    </w:rPr>
  </w:style>
  <w:style w:type="character" w:customStyle="1" w:styleId="20">
    <w:name w:val="Заголовок 2 Знак"/>
    <w:aliases w:val="h2 Знак,h21 Знак,Заголовок пункта (1.1) Знак,5 Знак,Reset numbering Знак,222 Знак"/>
    <w:basedOn w:val="a0"/>
    <w:link w:val="2"/>
    <w:uiPriority w:val="99"/>
    <w:rPr>
      <w:rFonts w:ascii="Times New Roman" w:eastAsia="Times New Roman" w:hAnsi="Times New Roman" w:cs="Arial"/>
      <w:bCs/>
      <w:iCs/>
      <w:sz w:val="24"/>
      <w:szCs w:val="28"/>
      <w:lang w:eastAsia="ru-RU"/>
    </w:rPr>
  </w:style>
  <w:style w:type="character" w:customStyle="1" w:styleId="30">
    <w:name w:val="Заголовок 3 Знак"/>
    <w:basedOn w:val="a0"/>
    <w:link w:val="3"/>
    <w:uiPriority w:val="9"/>
    <w:rPr>
      <w:rFonts w:asciiTheme="majorHAnsi" w:eastAsiaTheme="majorEastAsia" w:hAnsiTheme="majorHAnsi" w:cstheme="majorBidi"/>
      <w:color w:val="1F4D78" w:themeColor="accent1" w:themeShade="7F"/>
      <w:sz w:val="24"/>
      <w:szCs w:val="24"/>
    </w:rPr>
  </w:style>
  <w:style w:type="paragraph" w:styleId="a3">
    <w:name w:val="No Spacing"/>
    <w:uiPriority w:val="1"/>
    <w:qFormat/>
    <w:pPr>
      <w:spacing w:after="0" w:line="240" w:lineRule="auto"/>
    </w:pPr>
  </w:style>
  <w:style w:type="table" w:styleId="a4">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a"/>
    <w:pPr>
      <w:spacing w:after="0" w:line="240" w:lineRule="auto"/>
      <w:ind w:left="720"/>
      <w:jc w:val="both"/>
    </w:pPr>
    <w:rPr>
      <w:rFonts w:ascii="Garamond" w:eastAsia="Times New Roman" w:hAnsi="Garamond" w:cs="Times New Roman"/>
      <w:szCs w:val="24"/>
      <w:lang w:eastAsia="ru-RU"/>
    </w:rPr>
  </w:style>
  <w:style w:type="paragraph" w:styleId="31">
    <w:name w:val="Body Text 3"/>
    <w:basedOn w:val="a"/>
    <w:link w:val="32"/>
    <w:pPr>
      <w:spacing w:after="120" w:line="240" w:lineRule="auto"/>
      <w:jc w:val="both"/>
    </w:pPr>
    <w:rPr>
      <w:rFonts w:ascii="Garamond" w:eastAsia="Times New Roman" w:hAnsi="Garamond" w:cs="Times New Roman"/>
      <w:sz w:val="16"/>
      <w:szCs w:val="16"/>
      <w:lang w:eastAsia="ru-RU"/>
    </w:rPr>
  </w:style>
  <w:style w:type="character" w:customStyle="1" w:styleId="32">
    <w:name w:val="Основной текст 3 Знак"/>
    <w:basedOn w:val="a0"/>
    <w:link w:val="31"/>
    <w:rPr>
      <w:rFonts w:ascii="Garamond" w:eastAsia="Times New Roman" w:hAnsi="Garamond" w:cs="Times New Roman"/>
      <w:sz w:val="16"/>
      <w:szCs w:val="16"/>
      <w:lang w:eastAsia="ru-RU"/>
    </w:rPr>
  </w:style>
  <w:style w:type="paragraph" w:styleId="a5">
    <w:name w:val="footer"/>
    <w:basedOn w:val="a"/>
    <w:link w:val="a6"/>
    <w:uiPriority w:val="99"/>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tyle>
  <w:style w:type="paragraph" w:customStyle="1" w:styleId="11">
    <w:name w:val="Абзац списка1"/>
    <w:basedOn w:val="a"/>
    <w:pPr>
      <w:spacing w:after="0" w:line="240" w:lineRule="auto"/>
      <w:ind w:left="708"/>
      <w:jc w:val="both"/>
    </w:pPr>
    <w:rPr>
      <w:rFonts w:ascii="Garamond" w:eastAsia="Times New Roman" w:hAnsi="Garamond" w:cs="Times New Roman"/>
      <w:szCs w:val="24"/>
      <w:lang w:eastAsia="ru-RU"/>
    </w:rPr>
  </w:style>
  <w:style w:type="paragraph" w:styleId="a7">
    <w:name w:val="List Paragraph"/>
    <w:basedOn w:val="a"/>
    <w:uiPriority w:val="99"/>
    <w:qFormat/>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2">
    <w:name w:val="Обычный1"/>
    <w:uiPriority w:val="99"/>
    <w:pPr>
      <w:spacing w:after="0" w:line="240" w:lineRule="auto"/>
    </w:pPr>
    <w:rPr>
      <w:rFonts w:ascii="Times New Roman CYR" w:eastAsia="Times New Roman" w:hAnsi="Times New Roman CYR" w:cs="Times New Roman"/>
      <w:sz w:val="20"/>
      <w:szCs w:val="20"/>
      <w:lang w:val="en-US" w:eastAsia="ru-RU"/>
    </w:rPr>
  </w:style>
  <w:style w:type="paragraph" w:styleId="a8">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Pr>
      <w:rFonts w:ascii="Segoe UI" w:hAnsi="Segoe UI" w:cs="Segoe UI"/>
      <w:sz w:val="18"/>
      <w:szCs w:val="18"/>
    </w:rPr>
  </w:style>
  <w:style w:type="paragraph" w:customStyle="1" w:styleId="normal0">
    <w:name w:val="normal0"/>
    <w:basedOn w:val="a"/>
    <w:uiPriority w:val="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Обычный2"/>
    <w:basedOn w:val="a"/>
    <w:uiPriority w:val="99"/>
    <w:pPr>
      <w:spacing w:after="0" w:line="240" w:lineRule="auto"/>
    </w:pPr>
    <w:rPr>
      <w:rFonts w:ascii="Times New Roman CYR" w:eastAsia="Times New Roman" w:hAnsi="Times New Roman CYR" w:cs="Times New Roman CYR"/>
      <w:sz w:val="20"/>
      <w:szCs w:val="20"/>
      <w:lang w:eastAsia="ru-RU"/>
    </w:rPr>
  </w:style>
  <w:style w:type="paragraph" w:styleId="ab">
    <w:name w:val="header"/>
    <w:basedOn w:val="a"/>
    <w:link w:val="ac"/>
    <w:uiPriority w:val="99"/>
    <w:unhideWhenUsed/>
    <w:pPr>
      <w:tabs>
        <w:tab w:val="center" w:pos="4677"/>
        <w:tab w:val="right" w:pos="9355"/>
      </w:tabs>
      <w:spacing w:after="0" w:line="240" w:lineRule="auto"/>
    </w:pPr>
  </w:style>
  <w:style w:type="character" w:customStyle="1" w:styleId="ac">
    <w:name w:val="Верхний колонтитул Знак"/>
    <w:basedOn w:val="a0"/>
    <w:link w:val="ab"/>
    <w:uiPriority w:val="99"/>
  </w:style>
  <w:style w:type="character" w:styleId="ad">
    <w:name w:val="annotation reference"/>
    <w:basedOn w:val="a0"/>
    <w:uiPriority w:val="99"/>
    <w:semiHidden/>
    <w:unhideWhenUsed/>
    <w:rPr>
      <w:sz w:val="16"/>
      <w:szCs w:val="16"/>
    </w:rPr>
  </w:style>
  <w:style w:type="paragraph" w:styleId="ae">
    <w:name w:val="annotation text"/>
    <w:basedOn w:val="a"/>
    <w:link w:val="af"/>
    <w:uiPriority w:val="99"/>
    <w:semiHidden/>
    <w:unhideWhenUsed/>
    <w:pPr>
      <w:spacing w:before="180" w:after="60" w:line="240" w:lineRule="auto"/>
    </w:pPr>
    <w:rPr>
      <w:rFonts w:ascii="Garamond" w:eastAsia="Times New Roman" w:hAnsi="Garamond" w:cs="Times New Roman"/>
      <w:sz w:val="20"/>
      <w:szCs w:val="20"/>
      <w:lang w:val="en-GB"/>
    </w:rPr>
  </w:style>
  <w:style w:type="character" w:customStyle="1" w:styleId="af">
    <w:name w:val="Текст примечания Знак"/>
    <w:basedOn w:val="a0"/>
    <w:link w:val="ae"/>
    <w:uiPriority w:val="99"/>
    <w:semiHidden/>
    <w:rPr>
      <w:rFonts w:ascii="Garamond" w:eastAsia="Times New Roman" w:hAnsi="Garamond" w:cs="Times New Roman"/>
      <w:sz w:val="20"/>
      <w:szCs w:val="20"/>
      <w:lang w:val="en-GB"/>
    </w:rPr>
  </w:style>
  <w:style w:type="paragraph" w:styleId="af0">
    <w:name w:val="Body Text"/>
    <w:basedOn w:val="a"/>
    <w:link w:val="af1"/>
    <w:uiPriority w:val="99"/>
    <w:unhideWhenUsed/>
    <w:pPr>
      <w:spacing w:after="120"/>
    </w:pPr>
  </w:style>
  <w:style w:type="character" w:customStyle="1" w:styleId="af1">
    <w:name w:val="Основной текст Знак"/>
    <w:basedOn w:val="a0"/>
    <w:link w:val="af0"/>
    <w:uiPriority w:val="99"/>
  </w:style>
  <w:style w:type="paragraph" w:styleId="af2">
    <w:name w:val="annotation subject"/>
    <w:basedOn w:val="ae"/>
    <w:next w:val="ae"/>
    <w:link w:val="af3"/>
    <w:uiPriority w:val="99"/>
    <w:semiHidden/>
    <w:unhideWhenUsed/>
    <w:pPr>
      <w:spacing w:before="0" w:after="160"/>
    </w:pPr>
    <w:rPr>
      <w:rFonts w:asciiTheme="minorHAnsi" w:eastAsiaTheme="minorHAnsi" w:hAnsiTheme="minorHAnsi" w:cstheme="minorBidi"/>
      <w:b/>
      <w:bCs/>
      <w:lang w:val="ru-RU"/>
    </w:rPr>
  </w:style>
  <w:style w:type="character" w:customStyle="1" w:styleId="af3">
    <w:name w:val="Тема примечания Знак"/>
    <w:basedOn w:val="af"/>
    <w:link w:val="af2"/>
    <w:uiPriority w:val="99"/>
    <w:semiHidden/>
    <w:rPr>
      <w:rFonts w:ascii="Garamond" w:eastAsia="Times New Roman" w:hAnsi="Garamond" w:cs="Times New Roman"/>
      <w:b/>
      <w:bCs/>
      <w:sz w:val="20"/>
      <w:szCs w:val="20"/>
      <w:lang w:val="en-GB"/>
    </w:rPr>
  </w:style>
  <w:style w:type="paragraph" w:customStyle="1" w:styleId="af4">
    <w:name w:val="ЭАА"/>
    <w:basedOn w:val="1"/>
    <w:link w:val="af5"/>
    <w:uiPriority w:val="99"/>
    <w:pPr>
      <w:keepLines w:val="0"/>
      <w:tabs>
        <w:tab w:val="num" w:pos="1080"/>
      </w:tabs>
      <w:spacing w:before="0" w:line="240" w:lineRule="auto"/>
      <w:ind w:firstLine="851"/>
      <w:jc w:val="right"/>
    </w:pPr>
    <w:rPr>
      <w:rFonts w:ascii="Garamond" w:eastAsia="Calibri" w:hAnsi="Garamond" w:cs="Times New Roman"/>
      <w:b/>
      <w:color w:val="auto"/>
      <w:sz w:val="22"/>
      <w:szCs w:val="20"/>
      <w:lang w:eastAsia="ru-RU"/>
    </w:rPr>
  </w:style>
  <w:style w:type="character" w:customStyle="1" w:styleId="af5">
    <w:name w:val="ЭАА Знак"/>
    <w:link w:val="af4"/>
    <w:uiPriority w:val="99"/>
    <w:locked/>
    <w:rPr>
      <w:rFonts w:ascii="Garamond" w:eastAsia="Calibri" w:hAnsi="Garamond" w:cs="Times New Roman"/>
      <w:b/>
      <w:szCs w:val="20"/>
      <w:lang w:eastAsia="ru-RU"/>
    </w:rPr>
  </w:style>
  <w:style w:type="paragraph" w:customStyle="1" w:styleId="22">
    <w:name w:val="Абзац списка2"/>
    <w:basedOn w:val="a"/>
    <w:pPr>
      <w:spacing w:after="200" w:line="276" w:lineRule="auto"/>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729145">
      <w:bodyDiv w:val="1"/>
      <w:marLeft w:val="0"/>
      <w:marRight w:val="0"/>
      <w:marTop w:val="0"/>
      <w:marBottom w:val="0"/>
      <w:divBdr>
        <w:top w:val="none" w:sz="0" w:space="0" w:color="auto"/>
        <w:left w:val="none" w:sz="0" w:space="0" w:color="auto"/>
        <w:bottom w:val="none" w:sz="0" w:space="0" w:color="auto"/>
        <w:right w:val="none" w:sz="0" w:space="0" w:color="auto"/>
      </w:divBdr>
    </w:div>
    <w:div w:id="428745221">
      <w:bodyDiv w:val="1"/>
      <w:marLeft w:val="0"/>
      <w:marRight w:val="0"/>
      <w:marTop w:val="0"/>
      <w:marBottom w:val="0"/>
      <w:divBdr>
        <w:top w:val="none" w:sz="0" w:space="0" w:color="auto"/>
        <w:left w:val="none" w:sz="0" w:space="0" w:color="auto"/>
        <w:bottom w:val="none" w:sz="0" w:space="0" w:color="auto"/>
        <w:right w:val="none" w:sz="0" w:space="0" w:color="auto"/>
      </w:divBdr>
    </w:div>
    <w:div w:id="501240308">
      <w:bodyDiv w:val="1"/>
      <w:marLeft w:val="0"/>
      <w:marRight w:val="0"/>
      <w:marTop w:val="0"/>
      <w:marBottom w:val="0"/>
      <w:divBdr>
        <w:top w:val="none" w:sz="0" w:space="0" w:color="auto"/>
        <w:left w:val="none" w:sz="0" w:space="0" w:color="auto"/>
        <w:bottom w:val="none" w:sz="0" w:space="0" w:color="auto"/>
        <w:right w:val="none" w:sz="0" w:space="0" w:color="auto"/>
      </w:divBdr>
    </w:div>
    <w:div w:id="609123797">
      <w:bodyDiv w:val="1"/>
      <w:marLeft w:val="0"/>
      <w:marRight w:val="0"/>
      <w:marTop w:val="0"/>
      <w:marBottom w:val="0"/>
      <w:divBdr>
        <w:top w:val="none" w:sz="0" w:space="0" w:color="auto"/>
        <w:left w:val="none" w:sz="0" w:space="0" w:color="auto"/>
        <w:bottom w:val="none" w:sz="0" w:space="0" w:color="auto"/>
        <w:right w:val="none" w:sz="0" w:space="0" w:color="auto"/>
      </w:divBdr>
    </w:div>
    <w:div w:id="979962699">
      <w:bodyDiv w:val="1"/>
      <w:marLeft w:val="0"/>
      <w:marRight w:val="0"/>
      <w:marTop w:val="0"/>
      <w:marBottom w:val="0"/>
      <w:divBdr>
        <w:top w:val="none" w:sz="0" w:space="0" w:color="auto"/>
        <w:left w:val="none" w:sz="0" w:space="0" w:color="auto"/>
        <w:bottom w:val="none" w:sz="0" w:space="0" w:color="auto"/>
        <w:right w:val="none" w:sz="0" w:space="0" w:color="auto"/>
      </w:divBdr>
    </w:div>
    <w:div w:id="1131364854">
      <w:bodyDiv w:val="1"/>
      <w:marLeft w:val="0"/>
      <w:marRight w:val="0"/>
      <w:marTop w:val="0"/>
      <w:marBottom w:val="0"/>
      <w:divBdr>
        <w:top w:val="none" w:sz="0" w:space="0" w:color="auto"/>
        <w:left w:val="none" w:sz="0" w:space="0" w:color="auto"/>
        <w:bottom w:val="none" w:sz="0" w:space="0" w:color="auto"/>
        <w:right w:val="none" w:sz="0" w:space="0" w:color="auto"/>
      </w:divBdr>
    </w:div>
    <w:div w:id="1243955219">
      <w:bodyDiv w:val="1"/>
      <w:marLeft w:val="0"/>
      <w:marRight w:val="0"/>
      <w:marTop w:val="0"/>
      <w:marBottom w:val="0"/>
      <w:divBdr>
        <w:top w:val="none" w:sz="0" w:space="0" w:color="auto"/>
        <w:left w:val="none" w:sz="0" w:space="0" w:color="auto"/>
        <w:bottom w:val="none" w:sz="0" w:space="0" w:color="auto"/>
        <w:right w:val="none" w:sz="0" w:space="0" w:color="auto"/>
      </w:divBdr>
    </w:div>
    <w:div w:id="1699702247">
      <w:bodyDiv w:val="1"/>
      <w:marLeft w:val="0"/>
      <w:marRight w:val="0"/>
      <w:marTop w:val="0"/>
      <w:marBottom w:val="0"/>
      <w:divBdr>
        <w:top w:val="none" w:sz="0" w:space="0" w:color="auto"/>
        <w:left w:val="none" w:sz="0" w:space="0" w:color="auto"/>
        <w:bottom w:val="none" w:sz="0" w:space="0" w:color="auto"/>
        <w:right w:val="none" w:sz="0" w:space="0" w:color="auto"/>
      </w:divBdr>
    </w:div>
    <w:div w:id="1851140154">
      <w:bodyDiv w:val="1"/>
      <w:marLeft w:val="0"/>
      <w:marRight w:val="0"/>
      <w:marTop w:val="0"/>
      <w:marBottom w:val="0"/>
      <w:divBdr>
        <w:top w:val="none" w:sz="0" w:space="0" w:color="auto"/>
        <w:left w:val="none" w:sz="0" w:space="0" w:color="auto"/>
        <w:bottom w:val="none" w:sz="0" w:space="0" w:color="auto"/>
        <w:right w:val="none" w:sz="0" w:space="0" w:color="auto"/>
      </w:divBdr>
    </w:div>
    <w:div w:id="214453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32900-4D54-4955-AE2A-3912A9902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2</Pages>
  <Words>682</Words>
  <Characters>3891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n.kaptel</dc:creator>
  <cp:keywords/>
  <dc:description/>
  <cp:lastModifiedBy>Федяева Адиля Никитична</cp:lastModifiedBy>
  <cp:revision>23</cp:revision>
  <cp:lastPrinted>2020-03-26T14:04:00Z</cp:lastPrinted>
  <dcterms:created xsi:type="dcterms:W3CDTF">2020-08-06T09:48:00Z</dcterms:created>
  <dcterms:modified xsi:type="dcterms:W3CDTF">2020-08-19T14:17:00Z</dcterms:modified>
</cp:coreProperties>
</file>