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4" w:rsidRDefault="00AE1CAA" w:rsidP="00C63C32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.3. Изменения, связанные c учетом соглашений о порядке исполнения обязательств ПАО «Россети Северный Кавказ» и АО «Чеченэнерго»</w:t>
      </w:r>
    </w:p>
    <w:p w:rsidR="00750AB4" w:rsidRDefault="00750AB4" w:rsidP="00C63C32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750AB4" w:rsidRDefault="00AE1CAA" w:rsidP="00C63C3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5.</w:t>
      </w:r>
      <w:r>
        <w:rPr>
          <w:rFonts w:ascii="Garamond" w:hAnsi="Garamond"/>
          <w:b/>
          <w:sz w:val="28"/>
          <w:szCs w:val="28"/>
          <w:lang w:val="en-US"/>
        </w:rPr>
        <w:t>3</w:t>
      </w:r>
    </w:p>
    <w:p w:rsidR="00750AB4" w:rsidRDefault="00750AB4" w:rsidP="00C63C3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750AB4">
        <w:trPr>
          <w:trHeight w:val="1013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 w:rsidP="00C63C32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:rsidR="00750AB4" w:rsidRDefault="00AE1CAA" w:rsidP="00C63C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необходимость доработки утвержденных ранее изменений, связанных с учетом соглашений о порядке исполнения обязательств ПАО «Россети Северный Кавказ» и АО «Чеченэнерго»</w:t>
            </w:r>
            <w:r w:rsidR="00C63C32">
              <w:rPr>
                <w:rFonts w:ascii="Garamond" w:hAnsi="Garamond"/>
                <w:sz w:val="24"/>
                <w:szCs w:val="24"/>
              </w:rPr>
              <w:t>.</w:t>
            </w:r>
          </w:p>
          <w:p w:rsidR="00750AB4" w:rsidRDefault="00AE1CAA" w:rsidP="00C63C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17 марта 2022 года.</w:t>
            </w:r>
          </w:p>
        </w:tc>
      </w:tr>
    </w:tbl>
    <w:p w:rsidR="00750AB4" w:rsidRDefault="00750AB4" w:rsidP="00C63C32">
      <w:pPr>
        <w:spacing w:after="0" w:line="240" w:lineRule="auto"/>
        <w:rPr>
          <w:rFonts w:ascii="Garamond" w:hAnsi="Garamond"/>
        </w:rPr>
      </w:pPr>
    </w:p>
    <w:p w:rsidR="00750AB4" w:rsidRDefault="00AE1CAA" w:rsidP="00C63C3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50AB4" w:rsidRDefault="00750AB4" w:rsidP="00C63C32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396"/>
        <w:gridCol w:w="7193"/>
      </w:tblGrid>
      <w:tr w:rsidR="00750AB4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50AB4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EF0F2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2.5.6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случае прекращения учета ЦФР соглашений о реструктуризации задолженности, заключенных по стандартной форме приложения 114.3 к настоящему Регламенту, и принятия Наблюдательным советом Совета рынка решения о рекомендации реализовывать мероприятия по урегулированию задолженности в отношении одного или нескольких участников оптового рынка, ранее заключавших указанные соглашения о реструктуризации задолженности, Совет рынка в течение 1 рабочего дня с даты принятия Наблюдательным советом Совета рынка соответствующего решения направляет в ЦФР уведомление со списком участников, в отношении которых Наблюдательным советом Совета рынка принято данное решение.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таких участников по договорам купли-продажи на </w:t>
            </w:r>
            <w:r>
              <w:rPr>
                <w:rFonts w:ascii="Garamond" w:hAnsi="Garamond"/>
              </w:rPr>
              <w:lastRenderedPageBreak/>
              <w:t>РСВ и договорам купли-продажи на БР, а также регулируемым договорам купли-продажи электроэнергии и мощности за расчетные периоды до 1 января 2022 года.</w:t>
            </w:r>
          </w:p>
          <w:p w:rsidR="00750AB4" w:rsidRDefault="00AE1CAA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…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В случае прекращения учета ЦФР соглашений о реструктуризации задолженности, заключенных по стандартной форме приложения 114.3 к настоящему Регламенту, и принятия Наблюдательным советом Совета рынка решения о рекомендации реализовывать мероприятия по урегулированию задолженности в отношении одного или нескольких участников оптового рынка, ранее заключавших указанные соглашения о реструктуризации задолженности, Совет рынка в течение 1 рабочего дня с даты принятия Наблюдательным советом Совета рынка соответствующего решения направляет в ЦФР уведомление со списком участников, в отношении которых Наблюдательным советом Совета рынка принято данное решение. </w:t>
            </w:r>
            <w:r>
              <w:rPr>
                <w:rFonts w:ascii="Garamond" w:hAnsi="Garamond"/>
                <w:highlight w:val="yellow"/>
              </w:rPr>
              <w:t>Аналогичное уведомление Совет рынка направляет в КО не позднее 28.03.2022.</w:t>
            </w:r>
          </w:p>
          <w:p w:rsidR="00750AB4" w:rsidRDefault="00AE1CA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таких участников по договорам купли-продажи на РСВ и договорам купли-продажи на БР, а также регулируемым договорам купли-</w:t>
            </w:r>
            <w:r>
              <w:rPr>
                <w:rFonts w:ascii="Garamond" w:hAnsi="Garamond"/>
              </w:rPr>
              <w:lastRenderedPageBreak/>
              <w:t>продажи электроэнергии и мощности за расчетные периоды до 1 января 2022 года.</w:t>
            </w:r>
          </w:p>
          <w:p w:rsidR="00750AB4" w:rsidRDefault="00AE1CAA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…</w:t>
            </w:r>
          </w:p>
        </w:tc>
      </w:tr>
      <w:tr w:rsidR="00750AB4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12.5.3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>
            <w:pPr>
              <w:pStyle w:val="a5"/>
              <w:ind w:firstLine="598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:rsidR="00750AB4" w:rsidRDefault="00AE1CAA">
            <w:pPr>
              <w:pStyle w:val="a5"/>
              <w:ind w:firstLine="598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ЦФР начиная со дня, следующего за днем получения от Совета рынка уведомления со списком участников, указанного в п. 2.5.6 настоящего Регламента, 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</w:t>
            </w:r>
          </w:p>
          <w:p w:rsidR="00750AB4" w:rsidRDefault="00AE1CAA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ЦФР рассчитывает и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с даты прекращения учета соглашений о порядке исполнения обязательств, заключенных этими участниками по форме приложения 114.15 к настоящему Регламенту в порядке, предусмотренном разделом 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 xml:space="preserve"> настоящего Регламента.</w:t>
            </w:r>
          </w:p>
          <w:p w:rsidR="00750AB4" w:rsidRDefault="00750AB4">
            <w:pPr>
              <w:pStyle w:val="a5"/>
              <w:ind w:firstLine="598"/>
              <w:rPr>
                <w:rFonts w:ascii="Garamond" w:hAnsi="Garamond"/>
                <w:b/>
                <w:color w:val="000000"/>
                <w:lang w:val="ru-RU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Default="00AE1CAA">
            <w:pPr>
              <w:pStyle w:val="a5"/>
              <w:ind w:firstLine="598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:rsidR="00750AB4" w:rsidRDefault="00AE1CAA">
            <w:pPr>
              <w:pStyle w:val="a5"/>
              <w:ind w:firstLine="598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ЦФР начиная со дня, следующего за днем получения от Совета рынка уведомления со списком участников, указанного в п. 2.5.6 настоящего Регламента, 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КО не рассчитывает неустойку (пени) за нарушение участниками, указанными в п.</w:t>
            </w:r>
            <w:r w:rsidR="00C63C32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2.5.6 настоящего Регламента, сроков оплаты услуг КО за расчетные периоды с 1 марта 2022 года.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Не позднее 1 апреля 2022 </w:t>
            </w:r>
            <w:r w:rsidR="00EF0F28">
              <w:rPr>
                <w:rFonts w:ascii="Garamond" w:hAnsi="Garamond"/>
                <w:color w:val="000000"/>
                <w:highlight w:val="yellow"/>
              </w:rPr>
              <w:t xml:space="preserve">года </w:t>
            </w:r>
            <w:r>
              <w:rPr>
                <w:rFonts w:ascii="Garamond" w:hAnsi="Garamond"/>
                <w:color w:val="000000"/>
                <w:highlight w:val="yellow"/>
              </w:rPr>
              <w:t>ЦФР прекращает уч</w:t>
            </w:r>
            <w:r w:rsidR="00C63C32">
              <w:rPr>
                <w:rFonts w:ascii="Garamond" w:hAnsi="Garamond"/>
                <w:color w:val="000000"/>
                <w:highlight w:val="yellow"/>
              </w:rPr>
              <w:t>е</w:t>
            </w:r>
            <w:r>
              <w:rPr>
                <w:rFonts w:ascii="Garamond" w:hAnsi="Garamond"/>
                <w:color w:val="000000"/>
                <w:highlight w:val="yellow"/>
              </w:rPr>
              <w:t>т неустойки (пени) за нарушение участниками, указанными в п.</w:t>
            </w:r>
            <w:r w:rsidR="00C63C32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2.5.6 настоящего Регламента, сроков оплаты услуг КО, рассчитанной КО за расчетные периоды январь и февраль 2022 года.</w:t>
            </w:r>
          </w:p>
          <w:p w:rsidR="00750AB4" w:rsidRDefault="00AE1CAA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ЦФР рассчитывает и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с даты прекращения учета соглашений о порядке исполнения обязательств, заключенных этими участниками по форме приложения 114.15 к настоящему Регламенту в порядке, предусмотренном разделом 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 xml:space="preserve"> настоящего Регламента.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КО рассчитывает неустойку (пени) за нарушение указанными участниками сроков оплаты услуг КО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с даты прекращения ЦФР учета соглашений о порядке исполнения обязательств, заключенных этими участниками по форме приложения 114.15 к настоящему Регламенту</w:t>
            </w:r>
            <w:r w:rsidR="00EF0F28">
              <w:rPr>
                <w:rFonts w:ascii="Garamond" w:hAnsi="Garamond"/>
                <w:color w:val="000000"/>
                <w:highlight w:val="yellow"/>
              </w:rPr>
              <w:t>,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в порядке, предусмотренном разделом 18´ настоящего Регламента.</w:t>
            </w:r>
          </w:p>
        </w:tc>
      </w:tr>
      <w:tr w:rsidR="00750AB4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 w:rsidP="00EF0F2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18´.23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принимает к учету соглашения о порядке исполнения обязательств 11.03.2022.</w:t>
            </w:r>
          </w:p>
          <w:p w:rsidR="00750AB4" w:rsidRDefault="00AE1CAA">
            <w:pPr>
              <w:pStyle w:val="a5"/>
              <w:ind w:left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>Начиная с 20.05.2022 ЦФР:</w:t>
            </w:r>
          </w:p>
          <w:p w:rsidR="00750AB4" w:rsidRDefault="00AE1CAA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 xml:space="preserve"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</w:t>
            </w:r>
            <w:r>
              <w:rPr>
                <w:rFonts w:ascii="Garamond" w:hAnsi="Garamond"/>
                <w:szCs w:val="22"/>
                <w:lang w:val="ru-RU"/>
              </w:rPr>
              <w:t>варианта 2 (Оплата денежными средствами с отсрочкой на 13 лет) приложения 2 к соглашению, формирует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 обязательства по оплате с измененными сроками исполнения, предусмотренными данными соглашениями;</w:t>
            </w:r>
          </w:p>
          <w:p w:rsidR="00750AB4" w:rsidRDefault="00AE1CAA">
            <w:pPr>
              <w:pStyle w:val="a5"/>
              <w:numPr>
                <w:ilvl w:val="0"/>
                <w:numId w:val="12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:rsidR="00750AB4" w:rsidRDefault="00750AB4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4" w:rsidRDefault="00AE1CA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принимает к учету соглашения о порядке исполнения обязательств 11.03.2022.</w:t>
            </w:r>
          </w:p>
          <w:p w:rsidR="00750AB4" w:rsidRDefault="00AE1CAA">
            <w:pPr>
              <w:pStyle w:val="a5"/>
              <w:ind w:left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>Начиная с 20.05.2022 ЦФР:</w:t>
            </w:r>
          </w:p>
          <w:p w:rsidR="00750AB4" w:rsidRDefault="00AE1CAA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 xml:space="preserve"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</w:t>
            </w:r>
            <w:r>
              <w:rPr>
                <w:rFonts w:ascii="Garamond" w:hAnsi="Garamond"/>
                <w:szCs w:val="22"/>
                <w:lang w:val="ru-RU"/>
              </w:rPr>
              <w:t>варианта 2 (Оплата денежными средствами с отсрочкой на 13 лет) приложения 2 к соглашению, формирует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 обязательства по оплате с измененными сроками исполнения, предусмотренными данными соглашениями;</w:t>
            </w:r>
          </w:p>
          <w:p w:rsidR="00750AB4" w:rsidRDefault="00AE1CAA">
            <w:pPr>
              <w:pStyle w:val="a5"/>
              <w:numPr>
                <w:ilvl w:val="0"/>
                <w:numId w:val="12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>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:rsidR="00750AB4" w:rsidRDefault="00AE1CAA" w:rsidP="00C63C32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highlight w:val="yellow"/>
              </w:rPr>
              <w:t>Ежемесячно, не позднее 20-го числа месяца, в котором ЦФР формирует</w:t>
            </w:r>
            <w:r>
              <w:rPr>
                <w:rFonts w:ascii="Garamond" w:hAnsi="Garamond"/>
                <w:bCs/>
                <w:highlight w:val="yellow"/>
              </w:rPr>
              <w:t xml:space="preserve"> обязательства по оплате с измененными сроками исполнения в соответствии с приложением 114.17 к настоящему Регламенту </w:t>
            </w:r>
            <w:r>
              <w:rPr>
                <w:rFonts w:ascii="Garamond" w:hAnsi="Garamond"/>
                <w:highlight w:val="yellow"/>
              </w:rPr>
              <w:t xml:space="preserve">(в отношении периодов с 01.01.2022 по 30.04.2022 </w:t>
            </w:r>
            <w:r w:rsidR="00C63C32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не позднее 20.05.2022)</w:t>
            </w:r>
            <w:r>
              <w:rPr>
                <w:rFonts w:ascii="Garamond" w:hAnsi="Garamond"/>
                <w:bCs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ЦФР публикует покупателю и продавцу уведомление о величине обязательств, в отношении которых изменяется срок исполнения, по форме, установленной приложением 114.23 к настоящему Регламенту, в разделе с ограниченным в соответствии с Правилами ЭДО СЭД КО доступом на сайте КО</w:t>
            </w:r>
            <w:r w:rsidR="00EF0F28">
              <w:rPr>
                <w:rFonts w:ascii="Garamond" w:hAnsi="Garamond"/>
              </w:rPr>
              <w:t>.</w:t>
            </w:r>
          </w:p>
        </w:tc>
      </w:tr>
      <w:tr w:rsidR="00750AB4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 w:rsidP="00EF0F2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18´.24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При прекращении учета соглашений о порядке исполнения обязательств</w:t>
            </w:r>
            <w:r>
              <w:rPr>
                <w:rFonts w:ascii="Garamond" w:hAnsi="Garamond"/>
              </w:rPr>
              <w:t xml:space="preserve"> ЦФР: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не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>выбран вариант 1 исполнения обязательств (Оплата векселями)</w:t>
            </w:r>
            <w:r>
              <w:rPr>
                <w:rFonts w:ascii="Garamond" w:hAnsi="Garamond"/>
                <w:color w:val="000000"/>
              </w:rPr>
              <w:t>, срок исполнения которых наступил до даты 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 xml:space="preserve">выбран вариант 1 </w:t>
            </w:r>
            <w:r>
              <w:rPr>
                <w:rFonts w:ascii="Garamond" w:hAnsi="Garamond"/>
              </w:rPr>
              <w:lastRenderedPageBreak/>
              <w:t>исполнения обязательств (Оплата векселями)</w:t>
            </w:r>
            <w:r>
              <w:rPr>
                <w:rFonts w:ascii="Garamond" w:hAnsi="Garamond"/>
                <w:color w:val="000000"/>
              </w:rPr>
              <w:t>, срок исполнения которых наступает начиная с даты 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>выбран вариант 2 исполнения обязательств (Оплата денежными средствами с отсрочкой на 13 лет)</w:t>
            </w:r>
            <w:r>
              <w:rPr>
                <w:rFonts w:ascii="Garamond" w:hAnsi="Garamond"/>
                <w:color w:val="000000"/>
              </w:rPr>
              <w:t>, измененный срок исполнения которых не наступил на дату прекращения учета соглашений о порядке исполнения обязательств, в Сводный реестр платежей участников оптового рынка с даты платежа – 14-е число месяца, в котором прекращен учет соглашений о порядке исполнения обязательств;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не осуществляет действия, указанные в приложении 114.17 к настоящему Регламенту, с даты прекращения учета соглашений о порядке исполнения обязательств;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уведомляет продавцов и соответствующего покупателя о прекращении учета соглашений о порядке исполнения обязательств</w:t>
            </w:r>
            <w:r>
              <w:rPr>
                <w:rFonts w:ascii="Garamond" w:hAnsi="Garamond"/>
                <w:szCs w:val="22"/>
                <w:lang w:val="ru-RU"/>
              </w:rPr>
              <w:t xml:space="preserve">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(по форме, установленной приложением 114.22 к настоящему Регламенту)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</w:t>
            </w:r>
            <w:r>
              <w:rPr>
                <w:rFonts w:ascii="Garamond" w:hAnsi="Garamond"/>
                <w:szCs w:val="22"/>
                <w:lang w:val="ru-RU"/>
              </w:rPr>
              <w:t>уведомляет Совет рынка путем направления письма о наступлении события, указанного в подп. 1–8 настоящего пункта, на бумажном носителе за подписью уполномоченного лица.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…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При прекращении учета соглашений о порядке исполнения обязательств</w:t>
            </w:r>
            <w:r>
              <w:rPr>
                <w:rFonts w:ascii="Garamond" w:hAnsi="Garamond"/>
              </w:rPr>
              <w:t xml:space="preserve"> ЦФР: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не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>выбран вариант 1 исполнения обязательств (Оплата векселями)</w:t>
            </w:r>
            <w:r>
              <w:rPr>
                <w:rFonts w:ascii="Garamond" w:hAnsi="Garamond"/>
                <w:color w:val="000000"/>
              </w:rPr>
              <w:t>, срок исполнения которых наступил до даты 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>выбран вариант 1 исполнения обязательств (Оплата векселями)</w:t>
            </w:r>
            <w:r>
              <w:rPr>
                <w:rFonts w:ascii="Garamond" w:hAnsi="Garamond"/>
                <w:color w:val="000000"/>
              </w:rPr>
              <w:t xml:space="preserve">, срок исполнения которых наступает, начиная с даты </w:t>
            </w:r>
            <w:r>
              <w:rPr>
                <w:rFonts w:ascii="Garamond" w:hAnsi="Garamond"/>
                <w:color w:val="000000"/>
              </w:rPr>
              <w:lastRenderedPageBreak/>
              <w:t>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включает </w:t>
            </w:r>
            <w:r>
              <w:rPr>
                <w:rFonts w:ascii="Garamond" w:hAnsi="Garamond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>
              <w:rPr>
                <w:rFonts w:ascii="Garamond" w:hAnsi="Garamond"/>
                <w:bCs/>
              </w:rPr>
              <w:t xml:space="preserve"> по которым </w:t>
            </w:r>
            <w:r>
              <w:rPr>
                <w:rFonts w:ascii="Garamond" w:hAnsi="Garamond"/>
              </w:rPr>
              <w:t>выбран вариант 2 исполнения обязательств (Оплата денежными средствами с отсрочкой на 13 лет)</w:t>
            </w:r>
            <w:r>
              <w:rPr>
                <w:rFonts w:ascii="Garamond" w:hAnsi="Garamond"/>
                <w:color w:val="000000"/>
              </w:rPr>
              <w:t>, измененный срок исполнения которых не наступил на дату прекращения учета соглашений о порядке исполнения обязательств, в Сводный реестр платежей участников оптового рынка с даты платежа – 14-е число месяца, в котором прекращен учет соглашений о порядке исполнения обязательств;</w:t>
            </w:r>
          </w:p>
          <w:p w:rsidR="00750AB4" w:rsidRDefault="00AE1C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не осуществляет действия, указанные в приложении 114.17 к настоящему Регламенту, с даты прекращения учета соглашений о порядке исполнения обязательств;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уведомляет продавцов и соответствующего покупателя о прекращении учета соглашений о порядке исполнения обязательств</w:t>
            </w:r>
            <w:r>
              <w:rPr>
                <w:rFonts w:ascii="Garamond" w:hAnsi="Garamond"/>
                <w:szCs w:val="22"/>
                <w:lang w:val="ru-RU"/>
              </w:rPr>
              <w:t xml:space="preserve">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(по форме, установленной приложением 114.22 к настоящему Регламенту)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</w:t>
            </w:r>
            <w:r>
              <w:rPr>
                <w:rFonts w:ascii="Garamond" w:hAnsi="Garamond"/>
                <w:szCs w:val="22"/>
                <w:lang w:val="ru-RU"/>
              </w:rPr>
              <w:t xml:space="preserve">уведомляет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КО и</w:t>
            </w:r>
            <w:r>
              <w:rPr>
                <w:rFonts w:ascii="Garamond" w:hAnsi="Garamond"/>
                <w:szCs w:val="22"/>
                <w:lang w:val="ru-RU"/>
              </w:rPr>
              <w:t xml:space="preserve"> Совет рынка путем направления письма о наступлении события, указанного в подп. 1–8 настоящего пункта, на бумажном носителе за подписью уполномоченного лица.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:rsidR="00750AB4" w:rsidRDefault="00750AB4">
      <w:pPr>
        <w:spacing w:after="0" w:line="240" w:lineRule="auto"/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AE1CAA" w:rsidP="00C63C32">
      <w:pPr>
        <w:pStyle w:val="3"/>
        <w:jc w:val="left"/>
      </w:pPr>
      <w:r w:rsidRPr="00C63C32">
        <w:lastRenderedPageBreak/>
        <w:t>Добавить приложение</w:t>
      </w:r>
    </w:p>
    <w:p w:rsidR="00750AB4" w:rsidRDefault="00AE1CAA" w:rsidP="00C63C32">
      <w:pPr>
        <w:pStyle w:val="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Приложение 114.23</w:t>
      </w:r>
    </w:p>
    <w:tbl>
      <w:tblPr>
        <w:tblW w:w="13412" w:type="dxa"/>
        <w:tblLook w:val="04A0" w:firstRow="1" w:lastRow="0" w:firstColumn="1" w:lastColumn="0" w:noHBand="0" w:noVBand="1"/>
      </w:tblPr>
      <w:tblGrid>
        <w:gridCol w:w="2139"/>
        <w:gridCol w:w="2256"/>
        <w:gridCol w:w="1984"/>
        <w:gridCol w:w="1985"/>
        <w:gridCol w:w="2369"/>
        <w:gridCol w:w="2679"/>
      </w:tblGrid>
      <w:tr w:rsidR="00750AB4">
        <w:trPr>
          <w:trHeight w:val="63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AE1CAA" w:rsidP="00BC3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Уведомление о величине обязательств, в отношении которых изменяется срок исполнения в соответствии с соглашением о порядке исполнения обязательств </w:t>
            </w:r>
          </w:p>
        </w:tc>
      </w:tr>
      <w:tr w:rsidR="00750AB4">
        <w:trPr>
          <w:trHeight w:val="39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№ Соглашения: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07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Расчетный период: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дд.мм.гггг – дд.мм.гггг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39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Наименование </w:t>
            </w:r>
            <w:r w:rsidR="00716AA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родавца:  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(Краткое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Код </w:t>
            </w:r>
            <w:r w:rsidR="00716AA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родавца: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XXXXXXXX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39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Наименование </w:t>
            </w:r>
            <w:r w:rsidR="00716AA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окупателя:  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(Краткое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Код </w:t>
            </w:r>
            <w:r w:rsidR="00716AA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окупателя: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XXXXXXXX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27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Величина, подлежащая отсрочке: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Сумма (S)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ru-RU"/>
              </w:rPr>
              <w:t>1</w:t>
            </w:r>
          </w:p>
        </w:tc>
      </w:tr>
      <w:tr w:rsidR="00750AB4">
        <w:trPr>
          <w:trHeight w:val="27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 начало расч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тного периода (перенес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нная из предыдущего периода)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7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Расчетная величина в текущем периоде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7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Учт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нная в текущем периоде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7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 w:rsidP="00716AA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учтенная величина на конец расч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тного периода (отнес</w:t>
            </w:r>
            <w:r w:rsidR="00716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нная на следующий период)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51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Номер договора РД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Период обязательства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обязательства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Сумма обязательства по РД (qi)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Заблокированная сумма обязательств РД (Ni)</w:t>
            </w:r>
          </w:p>
        </w:tc>
      </w:tr>
      <w:tr w:rsidR="00750AB4">
        <w:trPr>
          <w:trHeight w:val="7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Итого: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255"/>
        </w:trPr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AB4" w:rsidRDefault="00AE1CAA" w:rsidP="00BC3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Расч</w:t>
            </w:r>
            <w:r w:rsidR="000B4D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т величины, подлежащей отсрочке в текущем периоде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51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Сектор ОРЭМ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Сумма итоговых обязательств за расчетный период (Q)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103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191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349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Итого: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49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Коэффициент для расчета величины обязательств, подлежащих отсрочке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532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4" w:rsidRDefault="00AE1CAA" w:rsidP="00BC374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Расчетная величина, подлежащая отсрочке в текущем периоде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4" w:rsidRDefault="00AE1CA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750AB4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AB4" w:rsidRDefault="00750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0AB4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0AB4" w:rsidRDefault="00AE1C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Условные обозначения</w:t>
            </w:r>
            <w:r w:rsidR="00904065">
              <w:rPr>
                <w:rFonts w:eastAsia="Times New Roman"/>
                <w:sz w:val="16"/>
                <w:szCs w:val="16"/>
                <w:lang w:eastAsia="ru-RU"/>
              </w:rPr>
              <w:t xml:space="preserve"> приводятся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  <w:sz w:val="16"/>
                <w:szCs w:val="16"/>
                <w:lang w:eastAsia="ru-RU"/>
              </w:rPr>
              <w:t>в соответствии с приложением 114.17 к Регламенту финансовых расчетов на оптовом рынке электроэнергии.</w:t>
            </w:r>
          </w:p>
        </w:tc>
      </w:tr>
    </w:tbl>
    <w:p w:rsidR="00750AB4" w:rsidRDefault="00750AB4">
      <w:pPr>
        <w:rPr>
          <w:rFonts w:ascii="Garamond" w:hAnsi="Garamond"/>
          <w:b/>
        </w:rPr>
        <w:sectPr w:rsidR="00750AB4">
          <w:pgSz w:w="16838" w:h="11906" w:orient="landscape"/>
          <w:pgMar w:top="1418" w:right="1134" w:bottom="568" w:left="1134" w:header="708" w:footer="708" w:gutter="0"/>
          <w:cols w:space="708"/>
          <w:titlePg/>
          <w:docGrid w:linePitch="360"/>
        </w:sectPr>
      </w:pPr>
    </w:p>
    <w:p w:rsidR="00750AB4" w:rsidRDefault="00AE1CAA">
      <w:pPr>
        <w:rPr>
          <w:rFonts w:ascii="Garamond" w:hAnsi="Garamond"/>
          <w:b/>
        </w:rPr>
      </w:pPr>
      <w:r w:rsidRPr="00C63C32">
        <w:rPr>
          <w:rFonts w:ascii="Garamond" w:hAnsi="Garamond"/>
          <w:b/>
        </w:rPr>
        <w:lastRenderedPageBreak/>
        <w:t>Действующая редакция</w:t>
      </w:r>
      <w:r>
        <w:rPr>
          <w:rFonts w:ascii="Garamond" w:hAnsi="Garamond"/>
          <w:b/>
        </w:rPr>
        <w:t xml:space="preserve"> </w:t>
      </w:r>
    </w:p>
    <w:p w:rsidR="00750AB4" w:rsidRDefault="00AE1CAA" w:rsidP="00C63C32">
      <w:pPr>
        <w:pStyle w:val="3"/>
      </w:pPr>
      <w:r>
        <w:t xml:space="preserve">                                                                                                                                   Приложение 114.17</w:t>
      </w:r>
    </w:p>
    <w:p w:rsidR="00750AB4" w:rsidRDefault="00AE1CA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Методика формирования обязательств</w:t>
      </w:r>
      <w:r>
        <w:t xml:space="preserve"> </w:t>
      </w:r>
      <w:r>
        <w:rPr>
          <w:rFonts w:ascii="Garamond" w:hAnsi="Garamond"/>
          <w:b/>
        </w:rPr>
        <w:t xml:space="preserve">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 </w:t>
      </w:r>
    </w:p>
    <w:p w:rsidR="00750AB4" w:rsidRDefault="00750AB4">
      <w:pPr>
        <w:spacing w:after="0"/>
        <w:ind w:firstLine="567"/>
        <w:jc w:val="both"/>
        <w:rPr>
          <w:rFonts w:ascii="Garamond" w:hAnsi="Garamond"/>
        </w:rPr>
      </w:pPr>
    </w:p>
    <w:p w:rsidR="00750AB4" w:rsidRDefault="00AE1CAA">
      <w:pPr>
        <w:spacing w:before="120" w:after="12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ЦФР на основании настоящей Методики формирует обязательства,</w:t>
      </w:r>
      <w:r>
        <w:t xml:space="preserve"> </w:t>
      </w:r>
      <w:r>
        <w:rPr>
          <w:rFonts w:ascii="Garamond" w:hAnsi="Garamond"/>
        </w:rPr>
        <w:t>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</w:r>
    </w:p>
    <w:p w:rsidR="00750AB4" w:rsidRDefault="00AE1CAA">
      <w:pPr>
        <w:spacing w:before="120" w:after="12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ЦФР ежемесячно не позднее 20-го числа месяца, следующего за расчетным (в отношении расчетных периодов с 01.01.2022 по 30.04.2022 не позднее 20.05.2022), определяет размер обязательств</w:t>
      </w:r>
      <w:r>
        <w:t xml:space="preserve"> </w:t>
      </w:r>
      <w:r>
        <w:rPr>
          <w:rFonts w:ascii="Garamond" w:hAnsi="Garamond"/>
        </w:rPr>
        <w:t xml:space="preserve">участника оптового рынка –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</w:r>
    </w:p>
    <w:p w:rsidR="00750AB4" w:rsidRDefault="00AE1CAA">
      <w:pPr>
        <w:pStyle w:val="12"/>
        <w:numPr>
          <w:ilvl w:val="0"/>
          <w:numId w:val="20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Определяется сумма обязательств покупателя перед продавцом по оплате электрической энергии и (или) мощности по договорам, заключенным на оптовом рынке, содержащаяся в итоговых (фактических) реестрах обязательств, полученных от КО за расчетный период, предшествующий месяцу, в котором ЦФР осуществляет указанные действия (в мае 2022 года – за расчетные периоды с 01.01.2022 по 30.04.2022).</w:t>
      </w:r>
    </w:p>
    <w:p w:rsidR="00750AB4" w:rsidRDefault="00AE1CAA">
      <w:pPr>
        <w:pStyle w:val="12"/>
        <w:numPr>
          <w:ilvl w:val="0"/>
          <w:numId w:val="20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highlight w:val="yellow"/>
        </w:rPr>
        <w:t>Определяется</w:t>
      </w:r>
      <w:r>
        <w:rPr>
          <w:rFonts w:ascii="Garamond" w:hAnsi="Garamond"/>
        </w:rPr>
        <w:t xml:space="preserve"> величина, соответствующая стоимости электроэнергии, полученной ЦФР от продавца по договорам комиссии на РСВ и БР и переданной покупателю по договорам купли-продажи на РСВ и БР, за расчетный период, предшествующий месяцу, в котором ЦФР осуществляет указанные действия (в мае 2022 года – за расчетные периоды с 01.01.2022 по 30.04.2022), в результате построения фактической матрицы прикрепления в соответствии с порядком, описанным в приложении 53.1 к настоящему Регламенту.</w:t>
      </w:r>
    </w:p>
    <w:p w:rsidR="00750AB4" w:rsidRDefault="00AE1CAA">
      <w:pPr>
        <w:pStyle w:val="12"/>
        <w:numPr>
          <w:ilvl w:val="0"/>
          <w:numId w:val="20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Определяется величина </w:t>
      </w:r>
      <w:r>
        <w:rPr>
          <w:rFonts w:ascii="Garamond" w:hAnsi="Garamond"/>
          <w:i/>
          <w:lang w:val="en-US"/>
        </w:rPr>
        <w:t>S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соответствующая размеру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обязательств, срок исполнения которых подлежит изменению, по формуле:</w:t>
      </w:r>
    </w:p>
    <w:p w:rsidR="00750AB4" w:rsidRDefault="00AE1CAA">
      <w:pPr>
        <w:pStyle w:val="12"/>
        <w:spacing w:before="120" w:after="120" w:line="240" w:lineRule="auto"/>
        <w:ind w:left="1077"/>
        <w:contextualSpacing w:val="0"/>
        <w:jc w:val="center"/>
        <w:rPr>
          <w:rFonts w:ascii="Garamond" w:hAnsi="Garamond"/>
        </w:rPr>
      </w:pPr>
      <w:r>
        <w:rPr>
          <w:rFonts w:ascii="Garamond" w:hAnsi="Garamond"/>
          <w:i/>
          <w:lang w:val="en-US"/>
        </w:rPr>
        <w:t>S</w:t>
      </w:r>
      <w:r>
        <w:rPr>
          <w:rFonts w:ascii="Garamond" w:hAnsi="Garamond"/>
        </w:rPr>
        <w:t xml:space="preserve"> = (1 - </w:t>
      </w:r>
      <w:r>
        <w:rPr>
          <w:rFonts w:ascii="Garamond" w:hAnsi="Garamond"/>
          <w:position w:val="-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31.25pt" o:ole="">
            <v:imagedata r:id="rId7" o:title=""/>
          </v:shape>
          <o:OLEObject Type="Embed" ProgID="Equation.3" ShapeID="_x0000_i1025" DrawAspect="Content" ObjectID="_1709013115" r:id="rId8"/>
        </w:object>
      </w:r>
      <w:r>
        <w:rPr>
          <w:rFonts w:ascii="Garamond" w:hAnsi="Garamond"/>
        </w:rPr>
        <w:t xml:space="preserve">) ×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</w:rPr>
        <w:t xml:space="preserve">, </w:t>
      </w:r>
    </w:p>
    <w:p w:rsidR="00750AB4" w:rsidRDefault="00AE1CAA">
      <w:pPr>
        <w:pStyle w:val="12"/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где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  <w:lang w:val="en-US"/>
        </w:rPr>
        <w:t>k</w:t>
      </w:r>
      <w:r>
        <w:rPr>
          <w:rFonts w:ascii="Garamond" w:hAnsi="Garamond"/>
        </w:rPr>
        <w:t xml:space="preserve"> – процент оплаты электрической энергии и мощности по договорам, заключенным на оптовом рынке, денежными средствами через уполномоченную кредитную организацию в соответствии с условиями варианта 2 приложения 2 к Соглашению о порядке исполнения обязательств;</w:t>
      </w:r>
    </w:p>
    <w:p w:rsidR="00750AB4" w:rsidRDefault="00AE1CAA">
      <w:pPr>
        <w:pStyle w:val="12"/>
        <w:spacing w:before="120" w:after="120" w:line="240" w:lineRule="auto"/>
        <w:ind w:left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</w:rPr>
        <w:t xml:space="preserve"> – </w:t>
      </w:r>
      <w:r>
        <w:rPr>
          <w:rFonts w:ascii="Garamond" w:hAnsi="Garamond"/>
        </w:rPr>
        <w:t xml:space="preserve">сумма обязательств, определенных в соответствии с пунктом 1, и величины, определенной в соответствии с пунктом 2 настоящей Методики. </w:t>
      </w:r>
    </w:p>
    <w:p w:rsidR="00750AB4" w:rsidRDefault="00AE1CAA">
      <w:pPr>
        <w:pStyle w:val="12"/>
        <w:numPr>
          <w:ilvl w:val="0"/>
          <w:numId w:val="20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Определяется размер величины (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) по каждому неисполненному обязательству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 за расчетный период,</w:t>
      </w:r>
      <w:r>
        <w:t xml:space="preserve"> </w:t>
      </w:r>
      <w:r>
        <w:rPr>
          <w:rFonts w:ascii="Garamond" w:hAnsi="Garamond"/>
        </w:rPr>
        <w:t>предшествующий месяцу, в котором ЦФР осуществляет указанные действия (в мае 2022 года – за расчетные периоды с 01.01.2022 по 30.04.2022), по регулируемому договору купли-продажи электрической энергии и мощности (далее – РД), заключенному между покупателем и продавцом, который не подлежит исполнению через уполномоченную кредитную организацию, по формуле:</w:t>
      </w:r>
    </w:p>
    <w:p w:rsidR="00750AB4" w:rsidRDefault="00AE1CAA">
      <w:pPr>
        <w:pStyle w:val="12"/>
        <w:tabs>
          <w:tab w:val="left" w:pos="993"/>
        </w:tabs>
        <w:spacing w:before="120" w:after="120" w:line="240" w:lineRule="auto"/>
        <w:ind w:left="0" w:firstLine="567"/>
        <w:contextualSpacing w:val="0"/>
        <w:jc w:val="center"/>
        <w:rPr>
          <w:rFonts w:ascii="Garamond" w:hAnsi="Garamond"/>
        </w:rPr>
      </w:pPr>
      <w:r>
        <w:rPr>
          <w:rFonts w:ascii="Garamond" w:hAnsi="Garamond"/>
          <w:position w:val="-32"/>
        </w:rPr>
        <w:object w:dxaOrig="1460" w:dyaOrig="700">
          <v:shape id="_x0000_i1026" type="#_x0000_t75" style="width:74.05pt;height:34.65pt" o:ole="">
            <v:imagedata r:id="rId9" o:title=""/>
          </v:shape>
          <o:OLEObject Type="Embed" ProgID="Equation.3" ShapeID="_x0000_i1026" DrawAspect="Content" ObjectID="_1709013116" r:id="rId10"/>
        </w:object>
      </w:r>
      <w:r w:rsidRPr="00C63C32">
        <w:rPr>
          <w:rFonts w:ascii="Garamond" w:hAnsi="Garamond"/>
          <w:highlight w:val="yellow"/>
        </w:rPr>
        <w:t>.</w:t>
      </w:r>
    </w:p>
    <w:p w:rsidR="00750AB4" w:rsidRDefault="00AE1CAA">
      <w:pPr>
        <w:pStyle w:val="12"/>
        <w:widowControl w:val="0"/>
        <w:numPr>
          <w:ilvl w:val="0"/>
          <w:numId w:val="20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 w:rsidRPr="00C63C32">
        <w:rPr>
          <w:rFonts w:ascii="Garamond" w:hAnsi="Garamond"/>
          <w:highlight w:val="yellow"/>
        </w:rPr>
        <w:t>О</w:t>
      </w:r>
      <w:r>
        <w:rPr>
          <w:rFonts w:ascii="Garamond" w:hAnsi="Garamond"/>
        </w:rPr>
        <w:t xml:space="preserve">бязательство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  <w:vertAlign w:val="subscript"/>
        </w:rPr>
        <w:t xml:space="preserve"> </w:t>
      </w:r>
      <w:r>
        <w:rPr>
          <w:rFonts w:ascii="Garamond" w:hAnsi="Garamond"/>
        </w:rPr>
        <w:t xml:space="preserve">по РД блокируется (не включается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участника-покупателя) в размере величины 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>.</w:t>
      </w:r>
    </w:p>
    <w:p w:rsidR="00750AB4" w:rsidRDefault="00AE1CAA">
      <w:pPr>
        <w:spacing w:before="120" w:after="120"/>
        <w:ind w:firstLine="567"/>
        <w:jc w:val="both"/>
      </w:pPr>
      <w:r>
        <w:rPr>
          <w:rFonts w:ascii="Garamond" w:hAnsi="Garamond"/>
        </w:rPr>
        <w:t xml:space="preserve">ЦФР не позднее последнего рабочего дня месяца (в мае 2022 года – не позднее 31.05.2022) прекращает учет обязательств по РД в размере заблокированной величины 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 и создает соответствующие новые обязательства с датой платежа </w:t>
      </w:r>
      <w:r>
        <w:rPr>
          <w:rFonts w:ascii="Garamond" w:hAnsi="Garamond"/>
          <w:i/>
          <w:lang w:val="en-US"/>
        </w:rPr>
        <w:t>D</w:t>
      </w:r>
      <w:r>
        <w:rPr>
          <w:rFonts w:ascii="Garamond" w:hAnsi="Garamond"/>
          <w:i/>
        </w:rPr>
        <w:t xml:space="preserve"> (</w:t>
      </w:r>
      <w:r>
        <w:rPr>
          <w:rFonts w:ascii="Garamond" w:hAnsi="Garamond"/>
          <w:i/>
          <w:lang w:val="en-US"/>
        </w:rPr>
        <w:t>D</w:t>
      </w:r>
      <w:r>
        <w:rPr>
          <w:rFonts w:ascii="Garamond" w:hAnsi="Garamond"/>
          <w:i/>
        </w:rPr>
        <w:t xml:space="preserve"> – </w:t>
      </w:r>
      <w:r>
        <w:rPr>
          <w:rFonts w:ascii="Garamond" w:hAnsi="Garamond"/>
        </w:rPr>
        <w:t xml:space="preserve">28 марта года </w:t>
      </w:r>
      <w:r>
        <w:rPr>
          <w:rFonts w:ascii="Garamond" w:hAnsi="Garamond"/>
          <w:i/>
          <w:lang w:val="en-US"/>
        </w:rPr>
        <w:t>X</w:t>
      </w:r>
      <w:r>
        <w:rPr>
          <w:rFonts w:ascii="Garamond" w:hAnsi="Garamond"/>
          <w:i/>
        </w:rPr>
        <w:t>+</w:t>
      </w:r>
      <w:r>
        <w:rPr>
          <w:rFonts w:ascii="Garamond" w:hAnsi="Garamond"/>
        </w:rPr>
        <w:t>14, где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  <w:lang w:val="en-US"/>
        </w:rPr>
        <w:t>X</w:t>
      </w:r>
      <w:r>
        <w:rPr>
          <w:rFonts w:ascii="Garamond" w:hAnsi="Garamond"/>
        </w:rPr>
        <w:t xml:space="preserve"> – год расчетного периода, предшествующего месяцу, в котором ЦФР формируются обязательства в соответствии с настоящей Методикой). </w:t>
      </w:r>
    </w:p>
    <w:p w:rsidR="00750AB4" w:rsidRDefault="00AE1CAA">
      <w:r>
        <w:br w:type="page"/>
      </w:r>
    </w:p>
    <w:p w:rsidR="00750AB4" w:rsidRDefault="00AE1CAA">
      <w:r w:rsidRPr="00C63C32">
        <w:rPr>
          <w:rFonts w:ascii="Garamond" w:hAnsi="Garamond"/>
          <w:b/>
        </w:rPr>
        <w:lastRenderedPageBreak/>
        <w:t>Предлагаемая редакция</w:t>
      </w:r>
    </w:p>
    <w:p w:rsidR="00750AB4" w:rsidRDefault="00AE1CAA" w:rsidP="00C63C32">
      <w:pPr>
        <w:pStyle w:val="3"/>
      </w:pPr>
      <w:r>
        <w:t>Приложение 114.17</w:t>
      </w:r>
    </w:p>
    <w:p w:rsidR="00750AB4" w:rsidRDefault="00AE1CA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Методика формирования обязательств</w:t>
      </w:r>
      <w:r>
        <w:t xml:space="preserve"> </w:t>
      </w:r>
      <w:r>
        <w:rPr>
          <w:rFonts w:ascii="Garamond" w:hAnsi="Garamond"/>
          <w:b/>
        </w:rPr>
        <w:t xml:space="preserve">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 </w:t>
      </w:r>
    </w:p>
    <w:p w:rsidR="00750AB4" w:rsidRDefault="00750AB4">
      <w:pPr>
        <w:spacing w:after="0"/>
        <w:ind w:firstLine="567"/>
        <w:jc w:val="both"/>
        <w:rPr>
          <w:rFonts w:ascii="Garamond" w:hAnsi="Garamond"/>
        </w:rPr>
      </w:pPr>
    </w:p>
    <w:p w:rsidR="00750AB4" w:rsidRDefault="00AE1CAA">
      <w:pPr>
        <w:spacing w:before="120" w:after="12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ЦФР на основании настоящей Методики формирует обязательства,</w:t>
      </w:r>
      <w:r>
        <w:t xml:space="preserve"> </w:t>
      </w:r>
      <w:r>
        <w:rPr>
          <w:rFonts w:ascii="Garamond" w:hAnsi="Garamond"/>
        </w:rPr>
        <w:t>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</w:r>
    </w:p>
    <w:p w:rsidR="00750AB4" w:rsidRDefault="00AE1CAA">
      <w:pPr>
        <w:spacing w:before="120" w:after="12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ЦФР ежемесячно не позднее 20-го числа месяца, следующего за расчетным </w:t>
      </w:r>
      <w:r>
        <w:rPr>
          <w:rFonts w:ascii="Garamond" w:hAnsi="Garamond"/>
          <w:highlight w:val="yellow"/>
        </w:rPr>
        <w:t>периодом</w:t>
      </w:r>
      <w:r>
        <w:rPr>
          <w:rFonts w:ascii="Garamond" w:hAnsi="Garamond"/>
        </w:rPr>
        <w:t xml:space="preserve"> (в отношении расчетных периодов с 01.01.2022 по 30.04.2022 не позднее 20.05.2022), определяет размер обязательств</w:t>
      </w:r>
      <w:r>
        <w:t xml:space="preserve"> </w:t>
      </w:r>
      <w:r>
        <w:rPr>
          <w:rFonts w:ascii="Garamond" w:hAnsi="Garamond"/>
        </w:rPr>
        <w:t xml:space="preserve">участника оптового рынка –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</w:r>
    </w:p>
    <w:p w:rsidR="00750AB4" w:rsidRDefault="00AE1CAA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36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Определяется сумма обязательств покупателя перед продавцом по оплате электрической энергии и (или) мощности по договорам, заключенным на оптовом рынке, содержащихся в итоговых (фактических) реестрах обязательств, полученных от КО за расчетный период, предшествующий месяцу, в котором ЦФР осуществляет указанные действия (в мае 2022 года – за расчетные периоды с 01.01.2022 по 30.04.2022).</w:t>
      </w:r>
    </w:p>
    <w:p w:rsidR="00750AB4" w:rsidRDefault="00AE1CAA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highlight w:val="yellow"/>
        </w:rPr>
        <w:t>Рассчитывается</w:t>
      </w:r>
      <w:r>
        <w:rPr>
          <w:rFonts w:ascii="Garamond" w:hAnsi="Garamond"/>
        </w:rPr>
        <w:t xml:space="preserve"> величина, соответствующая стоимости электроэнергии, полученной ЦФР от продавца по договорам комиссии на РСВ и БР и переданной покупателю по договорам купли-продажи на РСВ и БР, за расчетный период, предшествующий месяцу, в котором ЦФР осуществляет указанные действия (в мае 2022 года – за расчетные периоды с 01.01.2022 по 30.04.2022), </w:t>
      </w:r>
      <w:r>
        <w:rPr>
          <w:rFonts w:ascii="Garamond" w:hAnsi="Garamond"/>
          <w:highlight w:val="yellow"/>
        </w:rPr>
        <w:t>определенной</w:t>
      </w:r>
      <w:r>
        <w:rPr>
          <w:rFonts w:ascii="Garamond" w:hAnsi="Garamond"/>
        </w:rPr>
        <w:t xml:space="preserve"> в результате построения фактической матрицы прикрепления в соответствии с порядком, описанным в приложении 53.1 к настоящему Регламенту.</w:t>
      </w:r>
    </w:p>
    <w:p w:rsidR="00750AB4" w:rsidRDefault="00AE1CAA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Определяется величина </w:t>
      </w:r>
      <w:r>
        <w:rPr>
          <w:rFonts w:ascii="Garamond" w:hAnsi="Garamond"/>
          <w:i/>
          <w:lang w:val="en-US"/>
        </w:rPr>
        <w:t>S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соответствующая размеру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обязательств, срок исполнения которых подлежит изменению, по формуле:</w:t>
      </w:r>
    </w:p>
    <w:p w:rsidR="00750AB4" w:rsidRDefault="00AE1CAA">
      <w:pPr>
        <w:pStyle w:val="12"/>
        <w:spacing w:before="120" w:after="120" w:line="240" w:lineRule="auto"/>
        <w:ind w:left="1077"/>
        <w:contextualSpacing w:val="0"/>
        <w:jc w:val="center"/>
        <w:rPr>
          <w:rFonts w:ascii="Garamond" w:hAnsi="Garamond"/>
        </w:rPr>
      </w:pPr>
      <w:r>
        <w:rPr>
          <w:rFonts w:ascii="Garamond" w:hAnsi="Garamond"/>
          <w:i/>
          <w:lang w:val="en-US"/>
        </w:rPr>
        <w:t>S</w:t>
      </w:r>
      <w:r>
        <w:rPr>
          <w:rFonts w:ascii="Garamond" w:hAnsi="Garamond"/>
        </w:rPr>
        <w:t xml:space="preserve"> = (1 - </w:t>
      </w:r>
      <w:r>
        <w:rPr>
          <w:rFonts w:ascii="Garamond" w:hAnsi="Garamond"/>
          <w:position w:val="-24"/>
        </w:rPr>
        <w:object w:dxaOrig="660" w:dyaOrig="620">
          <v:shape id="_x0000_i1027" type="#_x0000_t75" style="width:31.9pt;height:31.25pt" o:ole="">
            <v:imagedata r:id="rId7" o:title=""/>
          </v:shape>
          <o:OLEObject Type="Embed" ProgID="Equation.3" ShapeID="_x0000_i1027" DrawAspect="Content" ObjectID="_1709013117" r:id="rId11"/>
        </w:object>
      </w:r>
      <w:r>
        <w:rPr>
          <w:rFonts w:ascii="Garamond" w:hAnsi="Garamond"/>
        </w:rPr>
        <w:t xml:space="preserve">) ×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</w:rPr>
        <w:t xml:space="preserve">, </w:t>
      </w:r>
    </w:p>
    <w:p w:rsidR="00750AB4" w:rsidRDefault="00AE1CAA">
      <w:pPr>
        <w:pStyle w:val="12"/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где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  <w:lang w:val="en-US"/>
        </w:rPr>
        <w:t>k</w:t>
      </w:r>
      <w:r>
        <w:rPr>
          <w:rFonts w:ascii="Garamond" w:hAnsi="Garamond"/>
        </w:rPr>
        <w:t xml:space="preserve"> – процент оплаты электрической энергии и мощности по договорам, заключенным на оптовом рынке, денежными средствами через уполномоченную кредитную организацию в соответствии с условиями варианта 2 приложения 2 к Соглашению о порядке исполнения обязательств;</w:t>
      </w:r>
    </w:p>
    <w:p w:rsidR="00750AB4" w:rsidRDefault="00AE1CAA">
      <w:pPr>
        <w:pStyle w:val="12"/>
        <w:spacing w:before="120" w:after="120" w:line="240" w:lineRule="auto"/>
        <w:ind w:left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</w:rPr>
        <w:t xml:space="preserve"> – </w:t>
      </w:r>
      <w:r>
        <w:rPr>
          <w:rFonts w:ascii="Garamond" w:hAnsi="Garamond"/>
        </w:rPr>
        <w:t xml:space="preserve">сумма обязательств, определенных в соответствии с пунктом 1, и величины, определенной в соответствии с пунктом 2 настоящей Методики. </w:t>
      </w:r>
    </w:p>
    <w:p w:rsidR="00750AB4" w:rsidRDefault="00AE1CAA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Определяется размер величины 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 по каждому неисполненному обязательству покупателя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 за расчетный период,</w:t>
      </w:r>
      <w:r>
        <w:t xml:space="preserve"> </w:t>
      </w:r>
      <w:r>
        <w:rPr>
          <w:rFonts w:ascii="Garamond" w:hAnsi="Garamond"/>
        </w:rPr>
        <w:t>предшествующий месяцу, в котором ЦФР осуществляет указанные действия (в мае 2022 года – за расчетные периоды с 01.01.2022 по 30.04.2022), по регулируемому договору купли-продажи электрической энергии и мощности (далее – РД), заключенному между покупателем и продавцом, который не подлежит исполнению через уполномоченную кредитную организацию, по формуле:</w:t>
      </w:r>
    </w:p>
    <w:p w:rsidR="00750AB4" w:rsidRDefault="00AE1CAA">
      <w:pPr>
        <w:pStyle w:val="12"/>
        <w:tabs>
          <w:tab w:val="left" w:pos="993"/>
        </w:tabs>
        <w:spacing w:before="120" w:after="120" w:line="240" w:lineRule="auto"/>
        <w:ind w:left="0" w:firstLine="567"/>
        <w:contextualSpacing w:val="0"/>
        <w:jc w:val="center"/>
        <w:rPr>
          <w:rFonts w:ascii="Garamond" w:hAnsi="Garamond"/>
        </w:rPr>
      </w:pPr>
      <w:r>
        <w:rPr>
          <w:rFonts w:ascii="Garamond" w:hAnsi="Garamond"/>
          <w:position w:val="-32"/>
        </w:rPr>
        <w:object w:dxaOrig="1460" w:dyaOrig="700">
          <v:shape id="_x0000_i1028" type="#_x0000_t75" style="width:74.05pt;height:37.35pt" o:ole="">
            <v:imagedata r:id="rId9" o:title=""/>
          </v:shape>
          <o:OLEObject Type="Embed" ProgID="Equation.3" ShapeID="_x0000_i1028" DrawAspect="Content" ObjectID="_1709013118" r:id="rId12"/>
        </w:object>
      </w:r>
      <w:r w:rsidRPr="00C63C32">
        <w:rPr>
          <w:rFonts w:ascii="Garamond" w:hAnsi="Garamond"/>
          <w:highlight w:val="yellow"/>
        </w:rPr>
        <w:t>,</w:t>
      </w:r>
      <w:r>
        <w:rPr>
          <w:rFonts w:ascii="Garamond" w:hAnsi="Garamond"/>
        </w:rPr>
        <w:t xml:space="preserve"> </w:t>
      </w:r>
    </w:p>
    <w:p w:rsidR="00750AB4" w:rsidRDefault="00AE1CAA">
      <w:pPr>
        <w:pStyle w:val="12"/>
        <w:tabs>
          <w:tab w:val="left" w:pos="993"/>
        </w:tabs>
        <w:spacing w:before="120" w:after="120" w:line="240" w:lineRule="auto"/>
        <w:ind w:left="0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при этом в случае выполнения условия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</w:rPr>
        <w:t xml:space="preserve"> &gt; ∑</w:t>
      </w:r>
      <w:r>
        <w:rPr>
          <w:rFonts w:ascii="Garamond" w:hAnsi="Garamond"/>
          <w:i/>
          <w:highlight w:val="yellow"/>
          <w:lang w:val="en-US"/>
        </w:rPr>
        <w:t>q</w:t>
      </w:r>
      <w:r>
        <w:rPr>
          <w:rFonts w:ascii="Garamond" w:hAnsi="Garamond"/>
          <w:i/>
          <w:highlight w:val="yellow"/>
          <w:vertAlign w:val="subscript"/>
          <w:lang w:val="en-US"/>
        </w:rPr>
        <w:t>i</w:t>
      </w:r>
      <w:r>
        <w:rPr>
          <w:rFonts w:ascii="Garamond" w:hAnsi="Garamond"/>
          <w:i/>
          <w:highlight w:val="yellow"/>
          <w:vertAlign w:val="subscript"/>
        </w:rPr>
        <w:t xml:space="preserve"> </w:t>
      </w:r>
      <w:r>
        <w:rPr>
          <w:rFonts w:ascii="Garamond" w:hAnsi="Garamond"/>
          <w:highlight w:val="yellow"/>
        </w:rPr>
        <w:t>:</w:t>
      </w:r>
    </w:p>
    <w:p w:rsidR="00750AB4" w:rsidRDefault="00AE1CAA">
      <w:pPr>
        <w:pStyle w:val="12"/>
        <w:numPr>
          <w:ilvl w:val="0"/>
          <w:numId w:val="22"/>
        </w:numPr>
        <w:tabs>
          <w:tab w:val="left" w:pos="993"/>
        </w:tabs>
        <w:spacing w:before="120" w:after="120" w:line="240" w:lineRule="auto"/>
        <w:contextualSpacing w:val="0"/>
        <w:rPr>
          <w:rFonts w:ascii="Garamond" w:hAnsi="Garamond"/>
          <w:i/>
          <w:highlight w:val="yellow"/>
        </w:rPr>
      </w:pPr>
      <w:r>
        <w:rPr>
          <w:rFonts w:ascii="Garamond" w:hAnsi="Garamond"/>
          <w:highlight w:val="yellow"/>
        </w:rPr>
        <w:t xml:space="preserve">величина </w:t>
      </w:r>
      <w:r>
        <w:rPr>
          <w:rFonts w:ascii="Garamond" w:hAnsi="Garamond"/>
          <w:i/>
          <w:highlight w:val="yellow"/>
          <w:lang w:val="en-US"/>
        </w:rPr>
        <w:t>N</w:t>
      </w:r>
      <w:r>
        <w:rPr>
          <w:rFonts w:ascii="Garamond" w:hAnsi="Garamond"/>
          <w:i/>
          <w:highlight w:val="yellow"/>
          <w:vertAlign w:val="subscript"/>
          <w:lang w:val="en-US"/>
        </w:rPr>
        <w:t>i</w:t>
      </w:r>
      <w:r>
        <w:rPr>
          <w:rFonts w:ascii="Garamond" w:hAnsi="Garamond"/>
          <w:highlight w:val="yellow"/>
        </w:rPr>
        <w:t xml:space="preserve"> по каждому неисполненному обязательству принимается равной </w:t>
      </w:r>
      <w:r>
        <w:rPr>
          <w:rFonts w:ascii="Garamond" w:hAnsi="Garamond"/>
          <w:i/>
          <w:highlight w:val="yellow"/>
          <w:lang w:val="en-US"/>
        </w:rPr>
        <w:t>q</w:t>
      </w:r>
      <w:r>
        <w:rPr>
          <w:rFonts w:ascii="Garamond" w:hAnsi="Garamond"/>
          <w:i/>
          <w:highlight w:val="yellow"/>
          <w:vertAlign w:val="subscript"/>
          <w:lang w:val="en-US"/>
        </w:rPr>
        <w:t>i</w:t>
      </w:r>
      <w:r>
        <w:rPr>
          <w:rFonts w:ascii="Garamond" w:hAnsi="Garamond"/>
          <w:highlight w:val="yellow"/>
        </w:rPr>
        <w:t>;</w:t>
      </w:r>
    </w:p>
    <w:p w:rsidR="00750AB4" w:rsidRDefault="00AE1CAA">
      <w:pPr>
        <w:pStyle w:val="12"/>
        <w:numPr>
          <w:ilvl w:val="0"/>
          <w:numId w:val="22"/>
        </w:numPr>
        <w:tabs>
          <w:tab w:val="left" w:pos="993"/>
        </w:tabs>
        <w:spacing w:before="120" w:after="120" w:line="240" w:lineRule="auto"/>
        <w:contextualSpacing w:val="0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определяется разница между величинами </w:t>
      </w:r>
      <w:r>
        <w:rPr>
          <w:rFonts w:ascii="Garamond" w:hAnsi="Garamond"/>
          <w:i/>
          <w:highlight w:val="yellow"/>
        </w:rPr>
        <w:t>S</w:t>
      </w:r>
      <w:r>
        <w:rPr>
          <w:rFonts w:ascii="Garamond" w:hAnsi="Garamond"/>
          <w:highlight w:val="yellow"/>
        </w:rPr>
        <w:t xml:space="preserve"> и </w:t>
      </w:r>
      <w:r>
        <w:rPr>
          <w:rFonts w:ascii="Garamond" w:hAnsi="Garamond"/>
          <w:i/>
          <w:highlight w:val="yellow"/>
        </w:rPr>
        <w:t>∑q</w:t>
      </w:r>
      <w:r>
        <w:rPr>
          <w:rFonts w:ascii="Garamond" w:hAnsi="Garamond"/>
          <w:i/>
          <w:highlight w:val="yellow"/>
          <w:vertAlign w:val="subscript"/>
          <w:lang w:val="en-US"/>
        </w:rPr>
        <w:t>i</w:t>
      </w:r>
      <w:r>
        <w:rPr>
          <w:rFonts w:ascii="Garamond" w:hAnsi="Garamond"/>
          <w:highlight w:val="yellow"/>
        </w:rPr>
        <w:t xml:space="preserve">, на которую увеличивается величина </w:t>
      </w:r>
      <w:r>
        <w:rPr>
          <w:rFonts w:ascii="Garamond" w:hAnsi="Garamond"/>
          <w:i/>
          <w:highlight w:val="yellow"/>
        </w:rPr>
        <w:t>S</w:t>
      </w:r>
      <w:r>
        <w:rPr>
          <w:rFonts w:ascii="Garamond" w:hAnsi="Garamond"/>
          <w:highlight w:val="yellow"/>
        </w:rPr>
        <w:t xml:space="preserve">, используемая при расчете величин </w:t>
      </w:r>
      <w:r>
        <w:rPr>
          <w:rFonts w:ascii="Garamond" w:hAnsi="Garamond"/>
          <w:i/>
          <w:highlight w:val="yellow"/>
        </w:rPr>
        <w:t>N</w:t>
      </w:r>
      <w:r>
        <w:rPr>
          <w:rFonts w:ascii="Garamond" w:hAnsi="Garamond"/>
          <w:i/>
          <w:highlight w:val="yellow"/>
          <w:vertAlign w:val="subscript"/>
          <w:lang w:val="en-US"/>
        </w:rPr>
        <w:t>i</w:t>
      </w:r>
      <w:r>
        <w:rPr>
          <w:rFonts w:ascii="Garamond" w:hAnsi="Garamond"/>
          <w:highlight w:val="yellow"/>
        </w:rPr>
        <w:t xml:space="preserve"> в следующем месяце.</w:t>
      </w:r>
    </w:p>
    <w:p w:rsidR="00750AB4" w:rsidRDefault="00AE1CAA">
      <w:pPr>
        <w:pStyle w:val="12"/>
        <w:widowControl w:val="0"/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highlight w:val="yellow"/>
        </w:rPr>
        <w:t xml:space="preserve">Начиная с даты платежа 21-е число месяца, в котором ЦФР формирует обязательства в соответствии с </w:t>
      </w:r>
      <w:r>
        <w:rPr>
          <w:rFonts w:ascii="Garamond" w:hAnsi="Garamond"/>
          <w:highlight w:val="yellow"/>
        </w:rPr>
        <w:lastRenderedPageBreak/>
        <w:t xml:space="preserve">настоящей </w:t>
      </w:r>
      <w:r w:rsidRPr="00C63C32">
        <w:rPr>
          <w:rFonts w:ascii="Garamond" w:hAnsi="Garamond"/>
          <w:highlight w:val="yellow"/>
        </w:rPr>
        <w:t>Методикой, о</w:t>
      </w:r>
      <w:r>
        <w:rPr>
          <w:rFonts w:ascii="Garamond" w:hAnsi="Garamond"/>
        </w:rPr>
        <w:t xml:space="preserve">бязательство </w:t>
      </w:r>
      <w:r>
        <w:rPr>
          <w:rFonts w:ascii="Garamond" w:hAnsi="Garamond"/>
          <w:i/>
          <w:lang w:val="en-US"/>
        </w:rPr>
        <w:t>q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  <w:vertAlign w:val="subscript"/>
        </w:rPr>
        <w:t xml:space="preserve"> </w:t>
      </w:r>
      <w:r>
        <w:rPr>
          <w:rFonts w:ascii="Garamond" w:hAnsi="Garamond"/>
        </w:rPr>
        <w:t xml:space="preserve">по РД блокируется (не включается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участника-покупателя) в размере величины 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>.</w:t>
      </w:r>
    </w:p>
    <w:p w:rsidR="00750AB4" w:rsidRDefault="00AE1CAA">
      <w:pPr>
        <w:spacing w:before="120" w:after="120"/>
        <w:ind w:firstLine="567"/>
        <w:jc w:val="both"/>
      </w:pPr>
      <w:r>
        <w:rPr>
          <w:rFonts w:ascii="Garamond" w:hAnsi="Garamond"/>
        </w:rPr>
        <w:t xml:space="preserve">ЦФР не позднее последнего рабочего дня месяца (в мае 2022 года – не позднее 31.05.2022) прекращает учет обязательств по РД в размере заблокированной величины </w:t>
      </w:r>
      <w:r>
        <w:rPr>
          <w:rFonts w:ascii="Garamond" w:hAnsi="Garamond"/>
          <w:i/>
          <w:lang w:val="en-US"/>
        </w:rPr>
        <w:t>N</w:t>
      </w:r>
      <w:r>
        <w:rPr>
          <w:rFonts w:ascii="Garamond" w:hAnsi="Garamond"/>
          <w:i/>
          <w:vertAlign w:val="subscript"/>
          <w:lang w:val="en-US"/>
        </w:rPr>
        <w:t>i</w:t>
      </w:r>
      <w:r>
        <w:rPr>
          <w:rFonts w:ascii="Garamond" w:hAnsi="Garamond"/>
        </w:rPr>
        <w:t xml:space="preserve"> и создает соответствующие новые обязательства с датой платежа </w:t>
      </w:r>
      <w:r>
        <w:rPr>
          <w:rFonts w:ascii="Garamond" w:hAnsi="Garamond"/>
          <w:i/>
          <w:lang w:val="en-US"/>
        </w:rPr>
        <w:t>D</w:t>
      </w:r>
      <w:r>
        <w:rPr>
          <w:rFonts w:ascii="Garamond" w:hAnsi="Garamond"/>
          <w:i/>
        </w:rPr>
        <w:t xml:space="preserve"> (</w:t>
      </w:r>
      <w:r>
        <w:rPr>
          <w:rFonts w:ascii="Garamond" w:hAnsi="Garamond"/>
          <w:i/>
          <w:lang w:val="en-US"/>
        </w:rPr>
        <w:t>D</w:t>
      </w:r>
      <w:r>
        <w:rPr>
          <w:rFonts w:ascii="Garamond" w:hAnsi="Garamond"/>
          <w:i/>
        </w:rPr>
        <w:t xml:space="preserve"> – </w:t>
      </w:r>
      <w:r>
        <w:rPr>
          <w:rFonts w:ascii="Garamond" w:hAnsi="Garamond"/>
        </w:rPr>
        <w:t xml:space="preserve">28 марта года </w:t>
      </w:r>
      <w:r>
        <w:rPr>
          <w:rFonts w:ascii="Garamond" w:hAnsi="Garamond"/>
          <w:i/>
          <w:lang w:val="en-US"/>
        </w:rPr>
        <w:t>X</w:t>
      </w:r>
      <w:r>
        <w:rPr>
          <w:rFonts w:ascii="Garamond" w:hAnsi="Garamond"/>
          <w:i/>
        </w:rPr>
        <w:t>+</w:t>
      </w:r>
      <w:r>
        <w:rPr>
          <w:rFonts w:ascii="Garamond" w:hAnsi="Garamond"/>
        </w:rPr>
        <w:t>14, где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  <w:lang w:val="en-US"/>
        </w:rPr>
        <w:t>X</w:t>
      </w:r>
      <w:r>
        <w:rPr>
          <w:rFonts w:ascii="Garamond" w:hAnsi="Garamond"/>
        </w:rPr>
        <w:t xml:space="preserve"> – год расчетного периода, предшествующего месяцу, в котором ЦФР формируются обязательства в соответствии с настоящей Методикой). </w:t>
      </w:r>
    </w:p>
    <w:p w:rsidR="00750AB4" w:rsidRDefault="00750AB4">
      <w:pPr>
        <w:spacing w:after="0" w:line="240" w:lineRule="auto"/>
        <w:sectPr w:rsidR="00750AB4" w:rsidSect="00C63C32">
          <w:pgSz w:w="11906" w:h="16838"/>
          <w:pgMar w:top="1134" w:right="568" w:bottom="851" w:left="1418" w:header="708" w:footer="708" w:gutter="0"/>
          <w:cols w:space="708"/>
          <w:titlePg/>
          <w:docGrid w:linePitch="360"/>
        </w:sectPr>
      </w:pPr>
    </w:p>
    <w:p w:rsidR="00750AB4" w:rsidRDefault="00AE1CAA" w:rsidP="00C63C32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lastRenderedPageBreak/>
        <w:t xml:space="preserve">Предложения по изменениям и дополнениям в СОГЛАШЕНИЕ </w:t>
      </w:r>
      <w:r w:rsidR="00C63C32">
        <w:rPr>
          <w:rFonts w:ascii="Garamond" w:hAnsi="Garamond"/>
          <w:b/>
          <w:sz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sz w:val="26"/>
        </w:rPr>
        <w:t xml:space="preserve"> (Приложение № Д 7 к Договору о присоединении к торговой системе оптового рынка)</w:t>
      </w:r>
    </w:p>
    <w:p w:rsidR="00750AB4" w:rsidRDefault="00750AB4" w:rsidP="00C63C32">
      <w:pPr>
        <w:spacing w:after="0" w:line="240" w:lineRule="auto"/>
        <w:contextualSpacing/>
        <w:rPr>
          <w:rFonts w:eastAsia="SimSun"/>
          <w:b/>
          <w:iCs/>
        </w:rPr>
      </w:pPr>
    </w:p>
    <w:p w:rsidR="00750AB4" w:rsidRDefault="00AE1CAA" w:rsidP="00C63C32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позици</w:t>
      </w:r>
      <w:r w:rsidR="00DB208D">
        <w:rPr>
          <w:rFonts w:ascii="Garamond" w:hAnsi="Garamond"/>
          <w:b/>
        </w:rPr>
        <w:t>ю</w:t>
      </w:r>
      <w:r>
        <w:rPr>
          <w:rFonts w:ascii="Garamond" w:hAnsi="Garamond"/>
          <w:b/>
        </w:rPr>
        <w:t xml:space="preserve"> в приложение 2 к Правилам ЭДО СЭД КО:</w:t>
      </w:r>
    </w:p>
    <w:p w:rsidR="00750AB4" w:rsidRDefault="00750AB4" w:rsidP="00C63C32">
      <w:pPr>
        <w:spacing w:after="0" w:line="240" w:lineRule="auto"/>
        <w:contextualSpacing/>
        <w:rPr>
          <w:rFonts w:eastAsia="SimSun"/>
          <w:b/>
          <w:i/>
        </w:rPr>
      </w:pPr>
    </w:p>
    <w:tbl>
      <w:tblPr>
        <w:tblW w:w="53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4"/>
        <w:gridCol w:w="2433"/>
        <w:gridCol w:w="1175"/>
        <w:gridCol w:w="944"/>
        <w:gridCol w:w="853"/>
        <w:gridCol w:w="997"/>
        <w:gridCol w:w="1491"/>
        <w:gridCol w:w="928"/>
        <w:gridCol w:w="772"/>
        <w:gridCol w:w="1160"/>
        <w:gridCol w:w="1466"/>
        <w:gridCol w:w="1153"/>
        <w:gridCol w:w="1153"/>
      </w:tblGrid>
      <w:tr w:rsidR="00C63C32" w:rsidRPr="00C63C32" w:rsidTr="00C63C32">
        <w:trPr>
          <w:trHeight w:val="604"/>
          <w:jc w:val="center"/>
        </w:trPr>
        <w:tc>
          <w:tcPr>
            <w:tcW w:w="353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376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302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273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477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297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371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369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C63C32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750AB4" w:rsidRPr="00C63C32" w:rsidRDefault="00750AB4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C63C32" w:rsidRPr="00C63C32" w:rsidTr="00C63C32">
        <w:trPr>
          <w:trHeight w:val="469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C32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CFR_PART_DEFERRAL_AMOUNT_REP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750AB4" w:rsidRPr="00C63C32" w:rsidRDefault="00AE1CAA" w:rsidP="00BC374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Уведомление о величине обязательств, в отношении которых изменяется срок исполнения в соответствии с соглашением о порядке исполнения обязательств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 xml:space="preserve">Регламент № 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16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 xml:space="preserve">, приложение 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114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xls</w:t>
            </w: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Участник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Excel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5 лет</w:t>
            </w:r>
          </w:p>
        </w:tc>
        <w:tc>
          <w:tcPr>
            <w:tcW w:w="370" w:type="pct"/>
            <w:vAlign w:val="center"/>
          </w:tcPr>
          <w:p w:rsidR="00750AB4" w:rsidRPr="00C63C32" w:rsidRDefault="00AE1CAA" w:rsidP="00C63C32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C63C32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6 месяцев</w:t>
            </w:r>
          </w:p>
        </w:tc>
      </w:tr>
    </w:tbl>
    <w:p w:rsidR="00750AB4" w:rsidRDefault="00750AB4">
      <w:pPr>
        <w:spacing w:after="0" w:line="240" w:lineRule="auto"/>
        <w:jc w:val="both"/>
        <w:rPr>
          <w:rFonts w:ascii="Garamond" w:hAnsi="Garamond"/>
          <w:b/>
        </w:rPr>
      </w:pPr>
    </w:p>
    <w:sectPr w:rsidR="00750AB4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AA" w:rsidRDefault="00AE1CAA">
      <w:pPr>
        <w:spacing w:after="0" w:line="240" w:lineRule="auto"/>
      </w:pPr>
      <w:r>
        <w:separator/>
      </w:r>
    </w:p>
  </w:endnote>
  <w:endnote w:type="continuationSeparator" w:id="0">
    <w:p w:rsidR="00AE1CAA" w:rsidRDefault="00AE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AA" w:rsidRDefault="00AE1CAA">
      <w:pPr>
        <w:spacing w:after="0" w:line="240" w:lineRule="auto"/>
      </w:pPr>
      <w:r>
        <w:separator/>
      </w:r>
    </w:p>
  </w:footnote>
  <w:footnote w:type="continuationSeparator" w:id="0">
    <w:p w:rsidR="00AE1CAA" w:rsidRDefault="00AE1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7"/>
  </w:num>
  <w:num w:numId="8">
    <w:abstractNumId w:val="15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3"/>
  </w:num>
  <w:num w:numId="16">
    <w:abstractNumId w:val="6"/>
  </w:num>
  <w:num w:numId="17">
    <w:abstractNumId w:val="2"/>
  </w:num>
  <w:num w:numId="18">
    <w:abstractNumId w:val="7"/>
  </w:num>
  <w:num w:numId="19">
    <w:abstractNumId w:val="21"/>
  </w:num>
  <w:num w:numId="20">
    <w:abstractNumId w:val="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4"/>
    <w:rsid w:val="000B4D15"/>
    <w:rsid w:val="00716AAF"/>
    <w:rsid w:val="00750AB4"/>
    <w:rsid w:val="00904065"/>
    <w:rsid w:val="00AE1CAA"/>
    <w:rsid w:val="00BC374E"/>
    <w:rsid w:val="00C63C32"/>
    <w:rsid w:val="00DB208D"/>
    <w:rsid w:val="00EA16E5"/>
    <w:rsid w:val="00E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F7B261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rsid w:val="00C63C32"/>
    <w:pPr>
      <w:widowControl w:val="0"/>
      <w:spacing w:before="120" w:after="120" w:line="240" w:lineRule="auto"/>
      <w:ind w:firstLine="567"/>
      <w:jc w:val="right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sid w:val="00C63C32"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10</cp:revision>
  <dcterms:created xsi:type="dcterms:W3CDTF">2022-03-10T06:29:00Z</dcterms:created>
  <dcterms:modified xsi:type="dcterms:W3CDTF">2022-03-17T06:05:00Z</dcterms:modified>
</cp:coreProperties>
</file>