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6366C" w14:textId="4A54CC73" w:rsidR="00073D2E" w:rsidRPr="00431E32" w:rsidRDefault="00431E32" w:rsidP="00422A35">
      <w:pPr>
        <w:tabs>
          <w:tab w:val="left" w:pos="709"/>
        </w:tabs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  <w:lang w:val="en-US"/>
        </w:rPr>
        <w:t>I</w:t>
      </w:r>
      <w:r w:rsidRPr="00431E32">
        <w:rPr>
          <w:rFonts w:ascii="Garamond" w:hAnsi="Garamond"/>
          <w:b/>
          <w:sz w:val="28"/>
          <w:szCs w:val="28"/>
        </w:rPr>
        <w:t>.</w:t>
      </w:r>
      <w:r w:rsidR="00816128">
        <w:rPr>
          <w:rFonts w:ascii="Garamond" w:hAnsi="Garamond"/>
          <w:b/>
          <w:sz w:val="28"/>
          <w:szCs w:val="28"/>
        </w:rPr>
        <w:t>3.</w:t>
      </w:r>
      <w:r w:rsidRPr="00431E32">
        <w:rPr>
          <w:rFonts w:ascii="Garamond" w:hAnsi="Garamond"/>
          <w:b/>
          <w:sz w:val="28"/>
          <w:szCs w:val="28"/>
        </w:rPr>
        <w:t xml:space="preserve"> </w:t>
      </w:r>
      <w:r w:rsidR="00073D2E" w:rsidRPr="00431E32">
        <w:rPr>
          <w:rFonts w:ascii="Garamond" w:hAnsi="Garamond"/>
          <w:b/>
          <w:sz w:val="28"/>
          <w:szCs w:val="28"/>
        </w:rPr>
        <w:t xml:space="preserve">Изменения, связанные с проведением </w:t>
      </w:r>
      <w:r w:rsidR="00E80704" w:rsidRPr="00431E32">
        <w:rPr>
          <w:rFonts w:ascii="Garamond" w:hAnsi="Garamond"/>
          <w:b/>
          <w:sz w:val="28"/>
          <w:szCs w:val="28"/>
        </w:rPr>
        <w:t>КОМ НГО</w:t>
      </w:r>
    </w:p>
    <w:p w14:paraId="3242BD1A" w14:textId="77777777" w:rsidR="00073D2E" w:rsidRDefault="00073D2E" w:rsidP="00422A35">
      <w:pPr>
        <w:tabs>
          <w:tab w:val="left" w:pos="709"/>
        </w:tabs>
        <w:rPr>
          <w:rFonts w:ascii="Garamond" w:hAnsi="Garamond"/>
          <w:b/>
          <w:sz w:val="28"/>
          <w:szCs w:val="28"/>
        </w:rPr>
      </w:pPr>
    </w:p>
    <w:p w14:paraId="6E8DA72E" w14:textId="16241A4D" w:rsidR="00073D2E" w:rsidRPr="00224FC2" w:rsidRDefault="00324D8D" w:rsidP="00422A35">
      <w:pPr>
        <w:tabs>
          <w:tab w:val="left" w:pos="709"/>
        </w:tabs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</w:t>
      </w:r>
      <w:r w:rsidR="00431E32" w:rsidRPr="00224FC2">
        <w:rPr>
          <w:rFonts w:ascii="Garamond" w:hAnsi="Garamond"/>
          <w:b/>
          <w:sz w:val="28"/>
          <w:szCs w:val="28"/>
        </w:rPr>
        <w:t xml:space="preserve"> 1.</w:t>
      </w:r>
      <w:r w:rsidR="00816128">
        <w:rPr>
          <w:rFonts w:ascii="Garamond" w:hAnsi="Garamond"/>
          <w:b/>
          <w:sz w:val="28"/>
          <w:szCs w:val="28"/>
        </w:rPr>
        <w:t>3</w:t>
      </w:r>
    </w:p>
    <w:p w14:paraId="4B537E01" w14:textId="77777777" w:rsidR="00073D2E" w:rsidRDefault="00073D2E" w:rsidP="00422A35">
      <w:pPr>
        <w:tabs>
          <w:tab w:val="left" w:pos="709"/>
        </w:tabs>
        <w:jc w:val="right"/>
        <w:rPr>
          <w:rFonts w:ascii="Garamond" w:hAnsi="Garamond"/>
          <w:b/>
          <w:sz w:val="28"/>
          <w:szCs w:val="28"/>
        </w:rPr>
      </w:pPr>
    </w:p>
    <w:p w14:paraId="5D15D496" w14:textId="63B118E8" w:rsidR="00073D2E" w:rsidRPr="00073D2E" w:rsidRDefault="00073D2E" w:rsidP="00422A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both"/>
        <w:rPr>
          <w:rFonts w:ascii="Garamond" w:hAnsi="Garamond"/>
        </w:rPr>
      </w:pPr>
      <w:r>
        <w:rPr>
          <w:rFonts w:ascii="Garamond" w:hAnsi="Garamond" w:cs="Garamond"/>
          <w:b/>
          <w:bCs/>
        </w:rPr>
        <w:t>Инициатор:</w:t>
      </w:r>
      <w:r w:rsidRPr="00207870">
        <w:rPr>
          <w:color w:val="000000"/>
        </w:rPr>
        <w:t xml:space="preserve"> </w:t>
      </w:r>
      <w:r w:rsidRPr="00073D2E">
        <w:rPr>
          <w:rFonts w:ascii="Garamond" w:hAnsi="Garamond"/>
          <w:color w:val="000000"/>
        </w:rPr>
        <w:t>Ассоциация «НП Совет рынка</w:t>
      </w:r>
      <w:r>
        <w:rPr>
          <w:color w:val="000000"/>
        </w:rPr>
        <w:t>».</w:t>
      </w:r>
    </w:p>
    <w:p w14:paraId="298971BC" w14:textId="4247BB36" w:rsidR="00073D2E" w:rsidRDefault="00073D2E" w:rsidP="00422A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both"/>
        <w:rPr>
          <w:rFonts w:ascii="Garamond" w:hAnsi="Garamond"/>
        </w:rPr>
      </w:pPr>
      <w:r>
        <w:rPr>
          <w:rFonts w:ascii="Garamond" w:hAnsi="Garamond"/>
          <w:b/>
        </w:rPr>
        <w:t>Обоснование:</w:t>
      </w:r>
      <w:r w:rsidR="005E5534">
        <w:rPr>
          <w:rFonts w:ascii="Garamond" w:hAnsi="Garamond"/>
          <w:b/>
        </w:rPr>
        <w:t xml:space="preserve"> </w:t>
      </w:r>
      <w:bookmarkStart w:id="1" w:name="_Hlk170896538"/>
      <w:r w:rsidR="00375407" w:rsidRPr="00375407">
        <w:rPr>
          <w:rFonts w:ascii="Garamond" w:hAnsi="Garamond"/>
          <w:bCs/>
        </w:rPr>
        <w:t>п</w:t>
      </w:r>
      <w:r>
        <w:rPr>
          <w:rFonts w:ascii="Garamond" w:hAnsi="Garamond"/>
        </w:rPr>
        <w:t xml:space="preserve">редлагается внести </w:t>
      </w:r>
      <w:r w:rsidR="005E5534">
        <w:rPr>
          <w:rFonts w:ascii="Garamond" w:hAnsi="Garamond"/>
        </w:rPr>
        <w:t xml:space="preserve">изменения </w:t>
      </w:r>
      <w:r>
        <w:rPr>
          <w:rFonts w:ascii="Garamond" w:hAnsi="Garamond"/>
        </w:rPr>
        <w:t>в Регламент проведения конкурентных отборов мощности новых генерирующих объектов для обеспечения возможности вывода генерирующего объекта из эксплуатации (</w:t>
      </w:r>
      <w:r w:rsidR="005E5534">
        <w:rPr>
          <w:rFonts w:ascii="Garamond" w:hAnsi="Garamond"/>
        </w:rPr>
        <w:t>П</w:t>
      </w:r>
      <w:r>
        <w:rPr>
          <w:rFonts w:ascii="Garamond" w:hAnsi="Garamond"/>
        </w:rPr>
        <w:t>риложение № 19.8.2 к Договору о присоединении к торговой системе оптового рынка</w:t>
      </w:r>
      <w:r w:rsidR="007A607A">
        <w:rPr>
          <w:rFonts w:ascii="Garamond" w:hAnsi="Garamond"/>
        </w:rPr>
        <w:t>)</w:t>
      </w:r>
      <w:r w:rsidR="0027165D">
        <w:rPr>
          <w:rFonts w:ascii="Garamond" w:hAnsi="Garamond"/>
        </w:rPr>
        <w:t>,</w:t>
      </w:r>
      <w:r w:rsidR="005E5534">
        <w:rPr>
          <w:rFonts w:ascii="Garamond" w:hAnsi="Garamond"/>
        </w:rPr>
        <w:t xml:space="preserve"> направленные на уточнение порядка предоставления </w:t>
      </w:r>
      <w:r w:rsidR="00F210F6">
        <w:rPr>
          <w:rFonts w:ascii="Garamond" w:hAnsi="Garamond"/>
        </w:rPr>
        <w:t xml:space="preserve">и учета </w:t>
      </w:r>
      <w:r w:rsidR="005E5534">
        <w:rPr>
          <w:rFonts w:ascii="Garamond" w:hAnsi="Garamond"/>
        </w:rPr>
        <w:t>обеспечения</w:t>
      </w:r>
      <w:r w:rsidR="00F210F6">
        <w:rPr>
          <w:rFonts w:ascii="Garamond" w:hAnsi="Garamond"/>
        </w:rPr>
        <w:t xml:space="preserve"> исполнения обязательств </w:t>
      </w:r>
      <w:r w:rsidR="005E5534">
        <w:rPr>
          <w:rFonts w:ascii="Garamond" w:hAnsi="Garamond"/>
        </w:rPr>
        <w:t xml:space="preserve">для участия в КОМ НГО. </w:t>
      </w:r>
      <w:r w:rsidR="009859B3" w:rsidRPr="00874215">
        <w:rPr>
          <w:rFonts w:ascii="Garamond" w:hAnsi="Garamond"/>
        </w:rPr>
        <w:t>В Регламент проведения конкурентных отборов мощности новых генерирующих объектов по решению Правительства Российской Федерации, принятому в 2021 году или последующие годы, принятому после 2021 года</w:t>
      </w:r>
      <w:r w:rsidR="009859B3" w:rsidRPr="000D6B63">
        <w:rPr>
          <w:rFonts w:ascii="Garamond" w:hAnsi="Garamond"/>
        </w:rPr>
        <w:t xml:space="preserve"> </w:t>
      </w:r>
      <w:r w:rsidR="009859B3">
        <w:rPr>
          <w:rFonts w:ascii="Garamond" w:hAnsi="Garamond"/>
        </w:rPr>
        <w:t>(Приложение № 19.8.</w:t>
      </w:r>
      <w:r w:rsidR="009859B3" w:rsidRPr="000D6B63">
        <w:rPr>
          <w:rFonts w:ascii="Garamond" w:hAnsi="Garamond"/>
        </w:rPr>
        <w:t>1</w:t>
      </w:r>
      <w:r w:rsidR="009859B3">
        <w:rPr>
          <w:rFonts w:ascii="Garamond" w:hAnsi="Garamond"/>
        </w:rPr>
        <w:t xml:space="preserve"> к Договору о присоединении к торговой системе оптового рынка</w:t>
      </w:r>
      <w:r w:rsidR="009859B3" w:rsidRPr="00752756">
        <w:rPr>
          <w:rFonts w:ascii="Garamond" w:hAnsi="Garamond"/>
        </w:rPr>
        <w:t>)</w:t>
      </w:r>
      <w:r w:rsidR="009859B3" w:rsidRPr="00874215">
        <w:rPr>
          <w:rFonts w:ascii="Garamond" w:hAnsi="Garamond"/>
        </w:rPr>
        <w:t>, внести уточняющие изменения, направленные на обеспечение возможности проведения КОМ НГО в 2025 году на территории ОЭС Востока.</w:t>
      </w:r>
    </w:p>
    <w:bookmarkEnd w:id="1"/>
    <w:p w14:paraId="7A652D61" w14:textId="2AD2903C" w:rsidR="00816128" w:rsidRPr="00816128" w:rsidRDefault="00073D2E" w:rsidP="00422A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Дата вступления в силу: </w:t>
      </w:r>
      <w:r w:rsidR="000E3CD1">
        <w:rPr>
          <w:rFonts w:ascii="Garamond" w:hAnsi="Garamond" w:cs="Garamond"/>
        </w:rPr>
        <w:t>1</w:t>
      </w:r>
      <w:r w:rsidRPr="00073D2E">
        <w:rPr>
          <w:rFonts w:ascii="Garamond" w:hAnsi="Garamond" w:cs="Garamond"/>
        </w:rPr>
        <w:t xml:space="preserve"> </w:t>
      </w:r>
      <w:r w:rsidR="000E3CD1">
        <w:rPr>
          <w:rFonts w:ascii="Garamond" w:hAnsi="Garamond" w:cs="Garamond"/>
        </w:rPr>
        <w:t>апреля</w:t>
      </w:r>
      <w:r w:rsidRPr="00073D2E">
        <w:rPr>
          <w:rFonts w:ascii="Garamond" w:hAnsi="Garamond" w:cs="Garamond"/>
        </w:rPr>
        <w:t xml:space="preserve"> 2025 года.</w:t>
      </w:r>
    </w:p>
    <w:p w14:paraId="708AE18B" w14:textId="37A7F87E" w:rsidR="00073D2E" w:rsidRDefault="00073D2E" w:rsidP="00422A35">
      <w:pPr>
        <w:tabs>
          <w:tab w:val="left" w:pos="709"/>
        </w:tabs>
        <w:jc w:val="both"/>
        <w:rPr>
          <w:rFonts w:ascii="Garamond" w:hAnsi="Garamond"/>
          <w:b/>
        </w:rPr>
      </w:pPr>
    </w:p>
    <w:p w14:paraId="725D4267" w14:textId="06126F7B" w:rsidR="00442ED0" w:rsidRPr="00E13697" w:rsidRDefault="00442ED0" w:rsidP="00442ED0">
      <w:pPr>
        <w:rPr>
          <w:rFonts w:ascii="Garamond" w:hAnsi="Garamond"/>
          <w:b/>
          <w:sz w:val="26"/>
          <w:szCs w:val="26"/>
        </w:rPr>
      </w:pPr>
      <w:r w:rsidRPr="00E13697">
        <w:rPr>
          <w:rFonts w:ascii="Garamond" w:eastAsia="Batang" w:hAnsi="Garamond"/>
          <w:b/>
          <w:bCs/>
          <w:sz w:val="26"/>
          <w:szCs w:val="26"/>
        </w:rPr>
        <w:t>Предложения по изменениям и дополнениям в</w:t>
      </w:r>
      <w:r w:rsidRPr="00E13697">
        <w:rPr>
          <w:rFonts w:ascii="Garamond" w:hAnsi="Garamond"/>
          <w:b/>
          <w:sz w:val="26"/>
          <w:szCs w:val="26"/>
        </w:rPr>
        <w:t xml:space="preserve"> РЕГЛАМЕНТ ПРОВЕДЕНИЯ КОНКУРЕНТНЫХ ОТБОРОВ МОЩНОСТИ НОВЫХ ГЕНЕРИРУЮЩИХ ОБЪЕКТОВ ПО РЕШЕНИЮ ПРАВИТЕЛЬСТВА РО</w:t>
      </w:r>
      <w:r w:rsidR="00CE769E" w:rsidRPr="00E13697">
        <w:rPr>
          <w:rFonts w:ascii="Garamond" w:hAnsi="Garamond"/>
          <w:b/>
          <w:sz w:val="26"/>
          <w:szCs w:val="26"/>
        </w:rPr>
        <w:t>ССИЙСКОЙ ФЕДЕРАЦИИ, ПРИНЯТОМУ В </w:t>
      </w:r>
      <w:r w:rsidRPr="00E13697">
        <w:rPr>
          <w:rFonts w:ascii="Garamond" w:hAnsi="Garamond"/>
          <w:b/>
          <w:sz w:val="26"/>
          <w:szCs w:val="26"/>
        </w:rPr>
        <w:t xml:space="preserve">2021 ГОДУ ИЛИ ПОСЛЕДУЮЩИЕ ГОДЫ (Приложение № 19.8.1 к </w:t>
      </w:r>
      <w:r w:rsidRPr="00E13697">
        <w:rPr>
          <w:rFonts w:ascii="Garamond" w:hAnsi="Garamond"/>
          <w:b/>
          <w:bCs/>
          <w:sz w:val="26"/>
          <w:szCs w:val="26"/>
        </w:rPr>
        <w:t>Договору о присоединении к торговой системе оптового рынка</w:t>
      </w:r>
      <w:r w:rsidRPr="00E13697">
        <w:rPr>
          <w:rFonts w:ascii="Garamond" w:hAnsi="Garamond"/>
          <w:b/>
          <w:sz w:val="26"/>
          <w:szCs w:val="26"/>
        </w:rPr>
        <w:t>)</w:t>
      </w:r>
    </w:p>
    <w:p w14:paraId="20D00A86" w14:textId="77777777" w:rsidR="00CE769E" w:rsidRDefault="00CE769E" w:rsidP="00234CD1">
      <w:pPr>
        <w:tabs>
          <w:tab w:val="left" w:pos="2880"/>
        </w:tabs>
        <w:rPr>
          <w:rFonts w:ascii="Garamond" w:hAnsi="Garamond"/>
          <w:b/>
          <w:sz w:val="22"/>
          <w:szCs w:val="22"/>
        </w:rPr>
      </w:pPr>
    </w:p>
    <w:p w14:paraId="459E9F2F" w14:textId="03EFA48B" w:rsidR="00234CD1" w:rsidRDefault="00234CD1" w:rsidP="00234CD1">
      <w:pPr>
        <w:tabs>
          <w:tab w:val="left" w:pos="2880"/>
        </w:tabs>
        <w:rPr>
          <w:rFonts w:ascii="Garamond" w:hAnsi="Garamond"/>
          <w:b/>
          <w:sz w:val="22"/>
          <w:szCs w:val="22"/>
        </w:rPr>
      </w:pPr>
      <w:r w:rsidRPr="00CE769E">
        <w:rPr>
          <w:rFonts w:ascii="Garamond" w:hAnsi="Garamond"/>
          <w:b/>
          <w:sz w:val="22"/>
          <w:szCs w:val="22"/>
        </w:rPr>
        <w:t>Действующая редакция п. 7.4</w:t>
      </w:r>
    </w:p>
    <w:p w14:paraId="1B880FFC" w14:textId="77777777" w:rsidR="00CE769E" w:rsidRPr="00CE769E" w:rsidRDefault="00CE769E" w:rsidP="00234CD1">
      <w:pPr>
        <w:tabs>
          <w:tab w:val="left" w:pos="2880"/>
        </w:tabs>
        <w:rPr>
          <w:rFonts w:ascii="Garamond" w:hAnsi="Garamond"/>
          <w:b/>
          <w:sz w:val="22"/>
          <w:szCs w:val="22"/>
        </w:rPr>
      </w:pPr>
    </w:p>
    <w:p w14:paraId="05750F1D" w14:textId="0476428A" w:rsidR="00234CD1" w:rsidRPr="00234CD1" w:rsidRDefault="00234CD1" w:rsidP="00234CD1">
      <w:pPr>
        <w:widowControl w:val="0"/>
        <w:numPr>
          <w:ilvl w:val="1"/>
          <w:numId w:val="0"/>
        </w:numPr>
        <w:spacing w:before="120" w:after="120"/>
        <w:ind w:firstLine="567"/>
        <w:jc w:val="both"/>
        <w:outlineLvl w:val="1"/>
        <w:rPr>
          <w:rFonts w:ascii="Garamond" w:hAnsi="Garamond"/>
          <w:bCs/>
          <w:sz w:val="22"/>
          <w:szCs w:val="22"/>
          <w:lang w:eastAsia="x-none"/>
        </w:rPr>
      </w:pPr>
      <w:bookmarkStart w:id="2" w:name="_Toc170168988"/>
      <w:bookmarkStart w:id="3" w:name="_Toc175236897"/>
      <w:bookmarkStart w:id="4" w:name="_Toc184979883"/>
      <w:r>
        <w:rPr>
          <w:rFonts w:ascii="Garamond" w:hAnsi="Garamond"/>
          <w:bCs/>
          <w:sz w:val="22"/>
          <w:szCs w:val="22"/>
          <w:lang w:eastAsia="x-none"/>
        </w:rPr>
        <w:t xml:space="preserve">7.4. </w:t>
      </w:r>
      <w:r w:rsidRPr="00234CD1">
        <w:rPr>
          <w:rFonts w:ascii="Garamond" w:hAnsi="Garamond"/>
          <w:bCs/>
          <w:sz w:val="22"/>
          <w:szCs w:val="22"/>
          <w:lang w:eastAsia="x-none"/>
        </w:rPr>
        <w:t xml:space="preserve">Исходные данные для КОМ НГО, проводимого в юго-восточной части ОЭС Сибири </w:t>
      </w:r>
      <w:r w:rsidRPr="006A01C5">
        <w:rPr>
          <w:rFonts w:ascii="Garamond" w:hAnsi="Garamond"/>
          <w:bCs/>
          <w:sz w:val="22"/>
          <w:szCs w:val="22"/>
          <w:highlight w:val="yellow"/>
          <w:lang w:eastAsia="x-none"/>
        </w:rPr>
        <w:t>или</w:t>
      </w:r>
      <w:r w:rsidRPr="00234CD1">
        <w:rPr>
          <w:rFonts w:ascii="Garamond" w:hAnsi="Garamond"/>
          <w:bCs/>
          <w:sz w:val="22"/>
          <w:szCs w:val="22"/>
          <w:lang w:eastAsia="x-none"/>
        </w:rPr>
        <w:t xml:space="preserve"> юго-западной части ОЭС Юга</w:t>
      </w:r>
      <w:bookmarkEnd w:id="2"/>
      <w:bookmarkEnd w:id="3"/>
      <w:bookmarkEnd w:id="4"/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208"/>
      </w:tblGrid>
      <w:tr w:rsidR="00234CD1" w:rsidRPr="00234CD1" w14:paraId="0FA5E98A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76D17ABD" w14:textId="77777777" w:rsidR="00234CD1" w:rsidRPr="00234CD1" w:rsidRDefault="00234CD1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noProof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9208" w:type="dxa"/>
            <w:vAlign w:val="center"/>
          </w:tcPr>
          <w:p w14:paraId="5D5E8F22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– номер, соответствующий территории ТНГ, указанной в решении Правительства Российской Федерации</w:t>
            </w:r>
          </w:p>
        </w:tc>
      </w:tr>
      <w:tr w:rsidR="00234CD1" w:rsidRPr="00234CD1" w14:paraId="32262965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6AFD12F8" w14:textId="77777777" w:rsidR="00234CD1" w:rsidRPr="00234CD1" w:rsidRDefault="00234CD1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9208" w:type="dxa"/>
            <w:vAlign w:val="center"/>
          </w:tcPr>
          <w:p w14:paraId="09CDAB02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номер, соответствующий части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a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территории ТНГ, указанной в решении Правительства Российской Федерации</w:t>
            </w:r>
          </w:p>
        </w:tc>
      </w:tr>
      <w:tr w:rsidR="00234CD1" w:rsidRPr="00234CD1" w14:paraId="01B31345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7D0ECDF9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δ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g,a</m:t>
                    </m:r>
                  </m:sub>
                </m:sSub>
              </m:oMath>
            </m:oMathPara>
          </w:p>
        </w:tc>
        <w:tc>
          <w:tcPr>
            <w:tcW w:w="9208" w:type="dxa"/>
            <w:vAlign w:val="center"/>
          </w:tcPr>
          <w:p w14:paraId="3C00B1D5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признак расположения генерирующего объекта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g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на части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a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территории ТНГ, указанной в решении Правительства Российской Федерации</w:t>
            </w:r>
          </w:p>
        </w:tc>
      </w:tr>
      <w:tr w:rsidR="00234CD1" w:rsidRPr="00234CD1" w14:paraId="173CD08A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4DF6FE34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Calibri" w:hAnsi="Cambria Math"/>
                            <w:i/>
                            <w:sz w:val="22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sz w:val="22"/>
                            <w:szCs w:val="22"/>
                            <w:lang w:eastAsia="en-US"/>
                          </w:rPr>
                          <m:t>g</m:t>
                        </m:r>
                      </m:e>
                    </m:d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9208" w:type="dxa"/>
            <w:vAlign w:val="center"/>
          </w:tcPr>
          <w:p w14:paraId="1782FD51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множество комбинаций генерирующих объектов и вариантов значений капитальных затрат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g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относящихся к новой электростанции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s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в отношении которых поставщиком указан один вариант значений капитальных затрат </w:t>
            </w:r>
            <m:oMath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e</m:t>
              </m:r>
            </m:oMath>
          </w:p>
        </w:tc>
      </w:tr>
      <w:tr w:rsidR="00234CD1" w:rsidRPr="00234CD1" w14:paraId="1BDC0021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1318F5E2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g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уст</m:t>
                    </m:r>
                  </m:sup>
                </m:sSubSup>
              </m:oMath>
            </m:oMathPara>
          </w:p>
        </w:tc>
        <w:tc>
          <w:tcPr>
            <w:tcW w:w="9208" w:type="dxa"/>
            <w:vAlign w:val="center"/>
          </w:tcPr>
          <w:p w14:paraId="3F9D97F9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– объем мощности, предлагаемый участником к продаже по результатам</w:t>
            </w:r>
            <w:r w:rsidRPr="00234CD1" w:rsidDel="0092457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КОМ НГО, указанный в ценовой заявке, равный объему установленной мощности генерирующего объекта</w:t>
            </w:r>
          </w:p>
        </w:tc>
      </w:tr>
      <w:tr w:rsidR="00234CD1" w:rsidRPr="00234CD1" w14:paraId="4FAF1818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61FDAF34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g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расп</m:t>
                    </m:r>
                  </m:sup>
                </m:sSubSup>
              </m:oMath>
            </m:oMathPara>
          </w:p>
        </w:tc>
        <w:tc>
          <w:tcPr>
            <w:tcW w:w="9208" w:type="dxa"/>
            <w:vAlign w:val="center"/>
          </w:tcPr>
          <w:p w14:paraId="5C374717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– объем располагаемой мощности генерирующего объекта, указанный в ценовой заявке (только для КОМ НГО в юго-западной части ОЭС Юга)</w:t>
            </w:r>
          </w:p>
        </w:tc>
      </w:tr>
      <w:tr w:rsidR="00234CD1" w:rsidRPr="00234CD1" w14:paraId="1F6574F3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0B3C294A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N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2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2"/>
                            <w:szCs w:val="22"/>
                            <w:lang w:eastAsia="en-US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2"/>
                            <w:szCs w:val="22"/>
                            <w:lang w:eastAsia="en-US"/>
                          </w:rPr>
                          <m:t>k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9208" w:type="dxa"/>
            <w:vAlign w:val="center"/>
          </w:tcPr>
          <w:p w14:paraId="1E08A3D2" w14:textId="77777777" w:rsidR="00234CD1" w:rsidRPr="00234CD1" w:rsidRDefault="00234CD1" w:rsidP="00234CD1">
            <w:pPr>
              <w:widowControl w:val="0"/>
              <w:spacing w:before="120" w:after="120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для КОМ НГО в юго-восточной части ОЭС Сибири: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k</m:t>
                      </m:r>
                    </m:sub>
                  </m:sSub>
                </m:sub>
              </m:s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уст</m:t>
                  </m:r>
                </m:sup>
              </m:sSubSup>
            </m:oMath>
          </w:p>
          <w:p w14:paraId="4C818202" w14:textId="77777777" w:rsidR="00234CD1" w:rsidRPr="00234CD1" w:rsidRDefault="00234CD1" w:rsidP="00234CD1">
            <w:pPr>
              <w:widowControl w:val="0"/>
              <w:spacing w:before="120" w:after="120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для КОМ НГО в юго-западной части ОЭС Юга: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k</m:t>
                      </m:r>
                    </m:sub>
                  </m:sSub>
                </m:sub>
              </m:s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расп</m:t>
                  </m:r>
                </m:sup>
              </m:sSubSup>
            </m:oMath>
          </w:p>
        </w:tc>
      </w:tr>
      <w:tr w:rsidR="00234CD1" w:rsidRPr="00234CD1" w14:paraId="0B319D97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1244492D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треб</m:t>
                    </m:r>
                  </m:sup>
                </m:sSubSup>
              </m:oMath>
            </m:oMathPara>
          </w:p>
        </w:tc>
        <w:tc>
          <w:tcPr>
            <w:tcW w:w="9208" w:type="dxa"/>
            <w:vAlign w:val="center"/>
          </w:tcPr>
          <w:p w14:paraId="60B7EDFB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объем установленной мощности генерирующих объектов, подлежащих строительству, который требуется отобрать по результатам КОМ НГО по территории ТНГ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указанный в решении Правительства Российской Федерации (для КОМ НГО в юго-западной части ОЭС Юга – объем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 w:bidi="ru-RU"/>
              </w:rPr>
              <w:t>суммарной максимальной располагаемой мощности для температуры наружного воздуха +35,0 °С, обеспечиваемый объемом установленной мощности генерирующих объектов, подлежащих строительству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)</w:t>
            </w:r>
          </w:p>
        </w:tc>
      </w:tr>
      <w:tr w:rsidR="00234CD1" w:rsidRPr="00234CD1" w14:paraId="1890706C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09775072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треб_макс</m:t>
                    </m:r>
                  </m:sup>
                </m:sSubSup>
              </m:oMath>
            </m:oMathPara>
          </w:p>
        </w:tc>
        <w:tc>
          <w:tcPr>
            <w:tcW w:w="9208" w:type="dxa"/>
            <w:vAlign w:val="center"/>
          </w:tcPr>
          <w:p w14:paraId="4155EDCC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предельная величина объема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 w:bidi="ru-RU"/>
              </w:rPr>
              <w:t>суммарной максимальной располагаемой мощности для температуры наружного воздуха +35,0 °С, обеспечиваемого объемом установленной мощности генерирующих объектов, подлежащих строительству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 w:bidi="ru-RU"/>
              </w:rPr>
              <w:t xml:space="preserve">по территории ТНГ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 w:bidi="ru-RU"/>
              </w:rPr>
              <w:t>z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 w:bidi="ru-RU"/>
              </w:rPr>
              <w:t xml:space="preserve">, указанная в решении Правительства Российской Федерации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(</w:t>
            </w:r>
            <w:r w:rsidRPr="00234CD1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только для КОМ НГО в юго-западной части ОЭС Юга)</w:t>
            </w:r>
          </w:p>
        </w:tc>
      </w:tr>
      <w:tr w:rsidR="00234CD1" w:rsidRPr="00234CD1" w14:paraId="2978D4DD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78359362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a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огр.мин</m:t>
                    </m:r>
                  </m:sup>
                </m:sSubSup>
              </m:oMath>
            </m:oMathPara>
          </w:p>
        </w:tc>
        <w:tc>
          <w:tcPr>
            <w:tcW w:w="9208" w:type="dxa"/>
            <w:vAlign w:val="center"/>
          </w:tcPr>
          <w:p w14:paraId="3A6400A0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минимальный объем мощности, необходимой к отбору по итогам КОМ НГО (для КОМ НГО в юго-западной части ОЭС Юга – минимальный объем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 w:bidi="ru-RU"/>
              </w:rPr>
              <w:t>суммарной максимальной располагаемой мощности для температуры наружного воздуха +35,0 °С, обеспечиваемый объемом установленной мощности генерирующих объектов, подлежащих строительству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) по части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a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территории ТНГ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, указанной в решении Правительства Российской Федерации</w:t>
            </w:r>
          </w:p>
        </w:tc>
      </w:tr>
      <w:tr w:rsidR="00234CD1" w:rsidRPr="00234CD1" w14:paraId="7B4B19DB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1B8AFADA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a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огр.макс</m:t>
                    </m:r>
                  </m:sup>
                </m:sSubSup>
              </m:oMath>
            </m:oMathPara>
          </w:p>
        </w:tc>
        <w:tc>
          <w:tcPr>
            <w:tcW w:w="9208" w:type="dxa"/>
            <w:vAlign w:val="center"/>
          </w:tcPr>
          <w:p w14:paraId="3DC64B7F" w14:textId="77777777" w:rsidR="00234CD1" w:rsidRPr="00234CD1" w:rsidRDefault="00234CD1" w:rsidP="00234CD1">
            <w:pPr>
              <w:widowControl w:val="0"/>
              <w:spacing w:before="120" w:after="120"/>
              <w:ind w:right="-26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максимальный объем мощности, необходимой к отбору по итогам КОМ НГО (для КОМ НГО в юго-западной части ОЭС Юга – максимальный объем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 w:bidi="ru-RU"/>
              </w:rPr>
              <w:t>суммарной максимальной располагаемой мощности для температуры наружного воздуха +35,0 °С, обеспечиваемый объемом установленной мощности генерирующих объектов, подлежащих строительству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) по части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a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территории ТНГ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, указанной в решении Правительства Российской Федерации</w:t>
            </w:r>
          </w:p>
        </w:tc>
      </w:tr>
      <w:tr w:rsidR="00234CD1" w:rsidRPr="00234CD1" w14:paraId="1D274D18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0B2BD4C8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g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эфф</m:t>
                    </m:r>
                  </m:sup>
                </m:sSubSup>
              </m:oMath>
            </m:oMathPara>
          </w:p>
        </w:tc>
        <w:tc>
          <w:tcPr>
            <w:tcW w:w="9208" w:type="dxa"/>
            <w:vAlign w:val="center"/>
          </w:tcPr>
          <w:p w14:paraId="2B8EB7A0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показатель эффективности генерирующего объекта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 xml:space="preserve">g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(комбинации генерирующего объекта и варианта значений капитальных затрат в случае, если в отношении генерирующего объекта новой электростанции в заявке указано несколько вариантов значений капитальных затрат)</w:t>
            </w:r>
          </w:p>
        </w:tc>
      </w:tr>
      <w:tr w:rsidR="00234CD1" w:rsidRPr="00234CD1" w14:paraId="74C3E95A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07C54EA4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noProof/>
                <w:sz w:val="22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9208" w:type="dxa"/>
            <w:vAlign w:val="center"/>
          </w:tcPr>
          <w:p w14:paraId="3766908B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– признак приоритетности в отборе, определенный в соответствии с п. 6.4 настоящего Регламента</w:t>
            </w:r>
          </w:p>
        </w:tc>
      </w:tr>
      <w:tr w:rsidR="00234CD1" w:rsidRPr="00234CD1" w14:paraId="4A246A3F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1ADC1F21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9208" w:type="dxa"/>
            <w:vAlign w:val="center"/>
          </w:tcPr>
          <w:p w14:paraId="09A2EB2A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индикатор включения генерирующего объекта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g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в перечень отобранных на территории ТНГ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∈{0,1}</m:t>
              </m:r>
            </m:oMath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. При этом значение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=1</m:t>
              </m:r>
            </m:oMath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соответствует включению генерирующего объекта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g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в перечень отобранных на территории ТНГ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=0</m:t>
              </m:r>
            </m:oMath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– невключению.</w:t>
            </w:r>
          </w:p>
        </w:tc>
      </w:tr>
    </w:tbl>
    <w:p w14:paraId="3FE9BF40" w14:textId="029D3A77" w:rsidR="0099220A" w:rsidRDefault="0099220A" w:rsidP="00442ED0">
      <w:pPr>
        <w:rPr>
          <w:rFonts w:ascii="Garamond" w:hAnsi="Garamond"/>
          <w:b/>
          <w:sz w:val="26"/>
          <w:szCs w:val="26"/>
        </w:rPr>
      </w:pPr>
    </w:p>
    <w:p w14:paraId="64D89011" w14:textId="26ACC664" w:rsidR="00234CD1" w:rsidRDefault="00234CD1" w:rsidP="00442ED0">
      <w:pPr>
        <w:rPr>
          <w:rFonts w:ascii="Garamond" w:hAnsi="Garamond"/>
          <w:b/>
          <w:sz w:val="22"/>
          <w:szCs w:val="22"/>
        </w:rPr>
      </w:pPr>
      <w:r w:rsidRPr="00CE769E">
        <w:rPr>
          <w:rFonts w:ascii="Garamond" w:hAnsi="Garamond"/>
          <w:b/>
          <w:sz w:val="22"/>
          <w:szCs w:val="22"/>
        </w:rPr>
        <w:t>Предлагаемая редакция п. 7.4</w:t>
      </w:r>
    </w:p>
    <w:p w14:paraId="4D43BD33" w14:textId="77777777" w:rsidR="00CE769E" w:rsidRPr="00CE769E" w:rsidRDefault="00CE769E" w:rsidP="00442ED0">
      <w:pPr>
        <w:rPr>
          <w:rFonts w:ascii="Garamond" w:hAnsi="Garamond"/>
          <w:b/>
          <w:sz w:val="22"/>
          <w:szCs w:val="22"/>
        </w:rPr>
      </w:pPr>
    </w:p>
    <w:p w14:paraId="28A4043D" w14:textId="14C69907" w:rsidR="00234CD1" w:rsidRPr="00234CD1" w:rsidRDefault="00234CD1" w:rsidP="00234CD1">
      <w:pPr>
        <w:widowControl w:val="0"/>
        <w:numPr>
          <w:ilvl w:val="1"/>
          <w:numId w:val="0"/>
        </w:numPr>
        <w:spacing w:before="120" w:after="120"/>
        <w:ind w:firstLine="567"/>
        <w:jc w:val="both"/>
        <w:outlineLvl w:val="1"/>
        <w:rPr>
          <w:rFonts w:ascii="Garamond" w:hAnsi="Garamond"/>
          <w:b/>
          <w:bCs/>
          <w:sz w:val="22"/>
          <w:szCs w:val="22"/>
          <w:lang w:eastAsia="x-none"/>
        </w:rPr>
      </w:pPr>
      <w:r>
        <w:rPr>
          <w:rFonts w:ascii="Garamond" w:hAnsi="Garamond"/>
          <w:b/>
          <w:bCs/>
          <w:sz w:val="22"/>
          <w:szCs w:val="22"/>
          <w:lang w:eastAsia="x-none"/>
        </w:rPr>
        <w:t xml:space="preserve">7.4. </w:t>
      </w:r>
      <w:r w:rsidRPr="00234CD1">
        <w:rPr>
          <w:rFonts w:ascii="Garamond" w:hAnsi="Garamond"/>
          <w:b/>
          <w:bCs/>
          <w:sz w:val="22"/>
          <w:szCs w:val="22"/>
          <w:lang w:eastAsia="x-none"/>
        </w:rPr>
        <w:t>Исходные данные для КОМ НГО, проводимого в юго-восточной части ОЭС Сибири</w:t>
      </w:r>
      <w:r w:rsidRPr="006A01C5">
        <w:rPr>
          <w:rFonts w:ascii="Garamond" w:hAnsi="Garamond"/>
          <w:b/>
          <w:bCs/>
          <w:sz w:val="22"/>
          <w:szCs w:val="22"/>
          <w:highlight w:val="yellow"/>
          <w:lang w:eastAsia="x-none"/>
        </w:rPr>
        <w:t>,</w:t>
      </w:r>
      <w:r w:rsidRPr="00234CD1">
        <w:rPr>
          <w:rFonts w:ascii="Garamond" w:hAnsi="Garamond"/>
          <w:b/>
          <w:bCs/>
          <w:sz w:val="22"/>
          <w:szCs w:val="22"/>
          <w:lang w:eastAsia="x-none"/>
        </w:rPr>
        <w:t xml:space="preserve"> юго-западной части ОЭС Юга </w:t>
      </w:r>
      <w:r w:rsidRPr="00234CD1">
        <w:rPr>
          <w:rFonts w:ascii="Garamond" w:hAnsi="Garamond"/>
          <w:b/>
          <w:bCs/>
          <w:sz w:val="22"/>
          <w:szCs w:val="22"/>
          <w:highlight w:val="yellow"/>
          <w:lang w:eastAsia="x-none"/>
        </w:rPr>
        <w:t>или ОЭС Востока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208"/>
      </w:tblGrid>
      <w:tr w:rsidR="00234CD1" w:rsidRPr="00234CD1" w14:paraId="525CF429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3743620A" w14:textId="77777777" w:rsidR="00234CD1" w:rsidRPr="00234CD1" w:rsidRDefault="00234CD1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noProof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9208" w:type="dxa"/>
            <w:vAlign w:val="center"/>
          </w:tcPr>
          <w:p w14:paraId="2F14F738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– номер, соответствующий территории ТНГ, указанной в решении Правительства Российской Федерации</w:t>
            </w:r>
          </w:p>
        </w:tc>
      </w:tr>
      <w:tr w:rsidR="00234CD1" w:rsidRPr="00234CD1" w14:paraId="4D6ED3EF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530FBA69" w14:textId="77777777" w:rsidR="00234CD1" w:rsidRPr="00234CD1" w:rsidRDefault="00234CD1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9208" w:type="dxa"/>
            <w:vAlign w:val="center"/>
          </w:tcPr>
          <w:p w14:paraId="1D6F2F1B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номер, соответствующий части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a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территории ТНГ, указанной в решении Правительства Российской Федерации</w:t>
            </w:r>
          </w:p>
        </w:tc>
      </w:tr>
      <w:tr w:rsidR="00234CD1" w:rsidRPr="00234CD1" w14:paraId="745A437C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2FC54959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δ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g,a</m:t>
                    </m:r>
                  </m:sub>
                </m:sSub>
              </m:oMath>
            </m:oMathPara>
          </w:p>
        </w:tc>
        <w:tc>
          <w:tcPr>
            <w:tcW w:w="9208" w:type="dxa"/>
            <w:vAlign w:val="center"/>
          </w:tcPr>
          <w:p w14:paraId="3E9BA6C9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признак расположения генерирующего объекта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g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на части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a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территории ТНГ, указанной в решении Правительства Российской Федерации</w:t>
            </w:r>
          </w:p>
        </w:tc>
      </w:tr>
      <w:tr w:rsidR="00234CD1" w:rsidRPr="00234CD1" w14:paraId="463944A5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45DBDD6A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Calibri" w:hAnsi="Cambria Math"/>
                            <w:i/>
                            <w:sz w:val="22"/>
                            <w:szCs w:val="22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sz w:val="22"/>
                            <w:szCs w:val="22"/>
                            <w:lang w:eastAsia="en-US"/>
                          </w:rPr>
                          <m:t>g</m:t>
                        </m:r>
                      </m:e>
                    </m:d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9208" w:type="dxa"/>
            <w:vAlign w:val="center"/>
          </w:tcPr>
          <w:p w14:paraId="1EC9FE9B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множество комбинаций генерирующих объектов и вариантов значений капитальных затрат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g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относящихся к новой электростанции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s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в отношении которых поставщиком указан один вариант значений капитальных затрат </w:t>
            </w:r>
            <m:oMath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e</m:t>
              </m:r>
            </m:oMath>
          </w:p>
        </w:tc>
      </w:tr>
      <w:tr w:rsidR="00234CD1" w:rsidRPr="00234CD1" w14:paraId="667DC425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1E0B3A98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g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уст</m:t>
                    </m:r>
                  </m:sup>
                </m:sSubSup>
              </m:oMath>
            </m:oMathPara>
          </w:p>
        </w:tc>
        <w:tc>
          <w:tcPr>
            <w:tcW w:w="9208" w:type="dxa"/>
            <w:vAlign w:val="center"/>
          </w:tcPr>
          <w:p w14:paraId="2FD3AC17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– объем мощности, предлагаемый участником к продаже по результатам</w:t>
            </w:r>
            <w:r w:rsidRPr="00234CD1" w:rsidDel="0092457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КОМ НГО, указанный в ценовой заявке, равный объему установленной мощности генерирующего объекта</w:t>
            </w:r>
          </w:p>
        </w:tc>
      </w:tr>
      <w:tr w:rsidR="00234CD1" w:rsidRPr="00234CD1" w14:paraId="422649A1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01DABED3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g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расп</m:t>
                    </m:r>
                  </m:sup>
                </m:sSubSup>
              </m:oMath>
            </m:oMathPara>
          </w:p>
        </w:tc>
        <w:tc>
          <w:tcPr>
            <w:tcW w:w="9208" w:type="dxa"/>
            <w:vAlign w:val="center"/>
          </w:tcPr>
          <w:p w14:paraId="3FD75009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– объем располагаемой мощности генерирующего объекта, указанный в ценовой заявке (только для КОМ НГО в юго-западной части ОЭС Юга)</w:t>
            </w:r>
          </w:p>
        </w:tc>
      </w:tr>
      <w:tr w:rsidR="00234CD1" w:rsidRPr="00234CD1" w14:paraId="4D3EBBE9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51E38698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N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2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2"/>
                            <w:szCs w:val="22"/>
                            <w:lang w:eastAsia="en-US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2"/>
                            <w:szCs w:val="22"/>
                            <w:lang w:eastAsia="en-US"/>
                          </w:rPr>
                          <m:t>k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9208" w:type="dxa"/>
            <w:vAlign w:val="center"/>
          </w:tcPr>
          <w:p w14:paraId="20AF5EA5" w14:textId="77777777" w:rsidR="00234CD1" w:rsidRPr="00234CD1" w:rsidRDefault="00234CD1" w:rsidP="00234CD1">
            <w:pPr>
              <w:widowControl w:val="0"/>
              <w:spacing w:before="120" w:after="120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для КОМ НГО в юго-восточной части ОЭС Сибири </w:t>
            </w:r>
            <w:r w:rsidRPr="00234CD1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или ОЭС Востока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k</m:t>
                      </m:r>
                    </m:sub>
                  </m:sSub>
                </m:sub>
              </m:s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уст</m:t>
                  </m:r>
                </m:sup>
              </m:sSubSup>
            </m:oMath>
          </w:p>
          <w:p w14:paraId="02CEA93A" w14:textId="77777777" w:rsidR="00234CD1" w:rsidRPr="00234CD1" w:rsidRDefault="00234CD1" w:rsidP="00234CD1">
            <w:pPr>
              <w:widowControl w:val="0"/>
              <w:spacing w:before="120" w:after="120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для КОМ НГО в юго-западной части ОЭС Юга: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k</m:t>
                      </m:r>
                    </m:sub>
                  </m:sSub>
                </m:sub>
              </m:s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расп</m:t>
                  </m:r>
                </m:sup>
              </m:sSubSup>
            </m:oMath>
          </w:p>
        </w:tc>
      </w:tr>
      <w:tr w:rsidR="00234CD1" w:rsidRPr="00234CD1" w14:paraId="3F71FEE1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7ABBA911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треб</m:t>
                    </m:r>
                  </m:sup>
                </m:sSubSup>
              </m:oMath>
            </m:oMathPara>
          </w:p>
        </w:tc>
        <w:tc>
          <w:tcPr>
            <w:tcW w:w="9208" w:type="dxa"/>
            <w:vAlign w:val="center"/>
          </w:tcPr>
          <w:p w14:paraId="0C51F6B4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объем установленной мощности генерирующих объектов, подлежащих строительству, который требуется отобрать по результатам КОМ НГО по территории ТНГ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указанный в решении Правительства Российской Федерации (для КОМ НГО в юго-западной части ОЭС Юга – объем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 w:bidi="ru-RU"/>
              </w:rPr>
              <w:t xml:space="preserve">суммарной максимальной располагаемой мощности для температуры наружного воздуха +35,0 °С, обеспечиваемый объемом установленной мощности генерирующих объектов, подлежащих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 w:bidi="ru-RU"/>
              </w:rPr>
              <w:lastRenderedPageBreak/>
              <w:t>строительству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)</w:t>
            </w:r>
          </w:p>
        </w:tc>
      </w:tr>
      <w:tr w:rsidR="00234CD1" w:rsidRPr="00234CD1" w14:paraId="792CC17E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134BCD04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треб_макс</m:t>
                    </m:r>
                  </m:sup>
                </m:sSubSup>
              </m:oMath>
            </m:oMathPara>
          </w:p>
        </w:tc>
        <w:tc>
          <w:tcPr>
            <w:tcW w:w="9208" w:type="dxa"/>
            <w:vAlign w:val="center"/>
          </w:tcPr>
          <w:p w14:paraId="5E04CCAC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предельная величина объема </w:t>
            </w:r>
            <w:r w:rsidRPr="00234CD1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суммарной максимальной установленной мощности (для КОМ НГО в юго-западной части ОЭС Юга –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 w:bidi="ru-RU"/>
              </w:rPr>
              <w:t>суммарной максимальной располагаемой мощности для температуры наружного воздуха +35,0 °С), обеспечиваемого объемом установленной мощности генерирующих объектов, подлежащих строительству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 w:bidi="ru-RU"/>
              </w:rPr>
              <w:t xml:space="preserve">по территории ТНГ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 w:bidi="ru-RU"/>
              </w:rPr>
              <w:t>z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 w:bidi="ru-RU"/>
              </w:rPr>
              <w:t xml:space="preserve">, указанная в решении Правительства Российской Федерации </w:t>
            </w:r>
          </w:p>
        </w:tc>
      </w:tr>
      <w:tr w:rsidR="00234CD1" w:rsidRPr="00234CD1" w14:paraId="272B3F16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4507E4E7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a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огр.мин</m:t>
                    </m:r>
                  </m:sup>
                </m:sSubSup>
              </m:oMath>
            </m:oMathPara>
          </w:p>
        </w:tc>
        <w:tc>
          <w:tcPr>
            <w:tcW w:w="9208" w:type="dxa"/>
            <w:vAlign w:val="center"/>
          </w:tcPr>
          <w:p w14:paraId="5AE53B92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минимальный объем мощности, необходимой к отбору по итогам КОМ НГО (для КОМ НГО в юго-западной части ОЭС Юга – минимальный объем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 w:bidi="ru-RU"/>
              </w:rPr>
              <w:t>суммарной максимальной располагаемой мощности для температуры наружного воздуха +35,0 °С, обеспечиваемый объемом установленной мощности генерирующих объектов, подлежащих строительству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) по части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a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территории ТНГ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, указанной в решении Правительства Российской Федерации</w:t>
            </w:r>
          </w:p>
        </w:tc>
      </w:tr>
      <w:tr w:rsidR="00234CD1" w:rsidRPr="00234CD1" w14:paraId="088C7E62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411FE9D0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a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огр.макс</m:t>
                    </m:r>
                  </m:sup>
                </m:sSubSup>
              </m:oMath>
            </m:oMathPara>
          </w:p>
        </w:tc>
        <w:tc>
          <w:tcPr>
            <w:tcW w:w="9208" w:type="dxa"/>
            <w:vAlign w:val="center"/>
          </w:tcPr>
          <w:p w14:paraId="00599A99" w14:textId="77777777" w:rsidR="00234CD1" w:rsidRPr="00234CD1" w:rsidRDefault="00234CD1" w:rsidP="00234CD1">
            <w:pPr>
              <w:widowControl w:val="0"/>
              <w:spacing w:before="120" w:after="120"/>
              <w:ind w:right="-26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максимальный объем мощности, необходимой к отбору по итогам КОМ НГО (для КОМ НГО в юго-западной части ОЭС Юга – максимальный объем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 w:bidi="ru-RU"/>
              </w:rPr>
              <w:t>суммарной максимальной располагаемой мощности для температуры наружного воздуха +35,0 °С, обеспечиваемый объемом установленной мощности генерирующих объектов, подлежащих строительству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) по части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a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территории ТНГ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, указанной в решении Правительства Российской Федерации</w:t>
            </w:r>
          </w:p>
        </w:tc>
      </w:tr>
      <w:tr w:rsidR="00234CD1" w:rsidRPr="00234CD1" w14:paraId="310DE620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10D91BD2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g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эфф</m:t>
                    </m:r>
                  </m:sup>
                </m:sSubSup>
              </m:oMath>
            </m:oMathPara>
          </w:p>
        </w:tc>
        <w:tc>
          <w:tcPr>
            <w:tcW w:w="9208" w:type="dxa"/>
            <w:vAlign w:val="center"/>
          </w:tcPr>
          <w:p w14:paraId="740CFB34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показатель эффективности генерирующего объекта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 xml:space="preserve">g 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(комбинации генерирующего объекта и варианта значений капитальных затрат в случае, если в отношении генерирующего объекта новой электростанции в заявке указано несколько вариантов значений капитальных затрат)</w:t>
            </w:r>
          </w:p>
        </w:tc>
      </w:tr>
      <w:tr w:rsidR="00234CD1" w:rsidRPr="00234CD1" w14:paraId="6F15FF04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7D422EF7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noProof/>
                <w:sz w:val="22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9208" w:type="dxa"/>
            <w:vAlign w:val="center"/>
          </w:tcPr>
          <w:p w14:paraId="6F10B5A9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>– признак приоритетности в отборе, определенный в соответствии с п. 6.4 настоящего Регламента</w:t>
            </w:r>
          </w:p>
        </w:tc>
      </w:tr>
      <w:tr w:rsidR="00234CD1" w:rsidRPr="00234CD1" w14:paraId="203D39F5" w14:textId="77777777" w:rsidTr="00CE769E">
        <w:trPr>
          <w:trHeight w:val="173"/>
        </w:trPr>
        <w:tc>
          <w:tcPr>
            <w:tcW w:w="1135" w:type="dxa"/>
            <w:vAlign w:val="center"/>
          </w:tcPr>
          <w:p w14:paraId="39E52893" w14:textId="77777777" w:rsidR="00234CD1" w:rsidRPr="00234CD1" w:rsidRDefault="007A607A" w:rsidP="00234CD1">
            <w:pPr>
              <w:widowControl w:val="0"/>
              <w:spacing w:before="120" w:after="120"/>
              <w:ind w:right="-26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9208" w:type="dxa"/>
            <w:vAlign w:val="center"/>
          </w:tcPr>
          <w:p w14:paraId="27526D70" w14:textId="77777777" w:rsidR="00234CD1" w:rsidRPr="00234CD1" w:rsidRDefault="00234CD1" w:rsidP="00234CD1">
            <w:pPr>
              <w:widowControl w:val="0"/>
              <w:spacing w:before="120" w:after="120"/>
              <w:ind w:left="175" w:right="-26" w:hanging="175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индикатор включения генерирующего объекта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g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в перечень отобранных на территории ТНГ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∈{0,1}</m:t>
              </m:r>
            </m:oMath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. При этом значение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=1</m:t>
              </m:r>
            </m:oMath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соответствует включению генерирующего объекта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g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в перечень отобранных на территории ТНГ </w:t>
            </w:r>
            <w:r w:rsidRPr="00234CD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=0</m:t>
              </m:r>
            </m:oMath>
            <w:r w:rsidRPr="00234CD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– невключению.</w:t>
            </w:r>
          </w:p>
        </w:tc>
      </w:tr>
    </w:tbl>
    <w:p w14:paraId="2962C407" w14:textId="77777777" w:rsidR="00234CD1" w:rsidRDefault="00234CD1" w:rsidP="00442ED0">
      <w:pPr>
        <w:rPr>
          <w:rFonts w:ascii="Garamond" w:hAnsi="Garamond"/>
          <w:b/>
          <w:sz w:val="26"/>
          <w:szCs w:val="26"/>
        </w:rPr>
      </w:pPr>
    </w:p>
    <w:p w14:paraId="563067A2" w14:textId="759B3F49" w:rsidR="00CE769E" w:rsidRDefault="00CE769E">
      <w:pPr>
        <w:spacing w:after="160" w:line="278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br w:type="page"/>
      </w:r>
    </w:p>
    <w:p w14:paraId="5FD7CF4D" w14:textId="77777777" w:rsidR="00234CD1" w:rsidRDefault="00234CD1" w:rsidP="00442ED0">
      <w:pPr>
        <w:rPr>
          <w:rFonts w:ascii="Garamond" w:hAnsi="Garamond"/>
          <w:b/>
          <w:sz w:val="26"/>
          <w:szCs w:val="26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6835"/>
        <w:gridCol w:w="7013"/>
      </w:tblGrid>
      <w:tr w:rsidR="0099220A" w:rsidRPr="009F7398" w14:paraId="7B80A234" w14:textId="77777777" w:rsidTr="003B0440">
        <w:trPr>
          <w:trHeight w:val="450"/>
        </w:trPr>
        <w:tc>
          <w:tcPr>
            <w:tcW w:w="338" w:type="pct"/>
            <w:vAlign w:val="center"/>
          </w:tcPr>
          <w:p w14:paraId="16550B0D" w14:textId="77777777" w:rsidR="0099220A" w:rsidRPr="009F7398" w:rsidRDefault="0099220A" w:rsidP="007A607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F7398">
              <w:rPr>
                <w:rFonts w:ascii="Garamond" w:hAnsi="Garamond"/>
                <w:b/>
                <w:sz w:val="22"/>
                <w:szCs w:val="22"/>
                <w:lang w:eastAsia="en-US"/>
              </w:rPr>
              <w:t>№</w:t>
            </w:r>
          </w:p>
          <w:p w14:paraId="5795A220" w14:textId="77777777" w:rsidR="0099220A" w:rsidRPr="009F7398" w:rsidRDefault="0099220A" w:rsidP="007A607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F7398">
              <w:rPr>
                <w:rFonts w:ascii="Garamond" w:hAnsi="Garamond"/>
                <w:b/>
                <w:sz w:val="22"/>
                <w:szCs w:val="22"/>
                <w:lang w:eastAsia="en-US"/>
              </w:rPr>
              <w:t>пункта</w:t>
            </w:r>
          </w:p>
        </w:tc>
        <w:tc>
          <w:tcPr>
            <w:tcW w:w="2301" w:type="pct"/>
            <w:vAlign w:val="center"/>
          </w:tcPr>
          <w:p w14:paraId="22798C81" w14:textId="77777777" w:rsidR="0099220A" w:rsidRPr="009F7398" w:rsidRDefault="0099220A" w:rsidP="007A607A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F7398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</w:t>
            </w:r>
            <w:r w:rsidRPr="009F7398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, действующая на момент </w:t>
            </w:r>
          </w:p>
          <w:p w14:paraId="2C0FF367" w14:textId="77777777" w:rsidR="0099220A" w:rsidRPr="009F7398" w:rsidRDefault="0099220A" w:rsidP="007A607A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7398">
              <w:rPr>
                <w:rFonts w:ascii="Garamond" w:hAnsi="Garamond"/>
                <w:b/>
                <w:sz w:val="22"/>
                <w:szCs w:val="22"/>
                <w:lang w:eastAsia="en-US"/>
              </w:rPr>
              <w:t>вступления в силу изменений</w:t>
            </w:r>
          </w:p>
        </w:tc>
        <w:tc>
          <w:tcPr>
            <w:tcW w:w="2361" w:type="pct"/>
          </w:tcPr>
          <w:p w14:paraId="7AF97548" w14:textId="77777777" w:rsidR="0099220A" w:rsidRPr="009F7398" w:rsidRDefault="0099220A" w:rsidP="007A607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F7398">
              <w:rPr>
                <w:rFonts w:ascii="Garamond" w:hAnsi="Garamond"/>
                <w:b/>
                <w:sz w:val="22"/>
                <w:szCs w:val="22"/>
                <w:lang w:eastAsia="en-US"/>
              </w:rPr>
              <w:t>Предлагаемая редакция</w:t>
            </w:r>
          </w:p>
          <w:p w14:paraId="4F153435" w14:textId="77777777" w:rsidR="0099220A" w:rsidRPr="009F7398" w:rsidRDefault="0099220A" w:rsidP="007A607A">
            <w:pPr>
              <w:ind w:right="-55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7398">
              <w:rPr>
                <w:rFonts w:ascii="Garamond" w:hAnsi="Garamond"/>
                <w:sz w:val="22"/>
                <w:szCs w:val="22"/>
                <w:lang w:eastAsia="en-US"/>
              </w:rPr>
              <w:t>(изменения выделены цветом)</w:t>
            </w:r>
          </w:p>
        </w:tc>
      </w:tr>
      <w:tr w:rsidR="0099220A" w:rsidRPr="00CB7AFB" w14:paraId="088A10AD" w14:textId="77777777" w:rsidTr="003B0440">
        <w:trPr>
          <w:trHeight w:val="437"/>
        </w:trPr>
        <w:tc>
          <w:tcPr>
            <w:tcW w:w="338" w:type="pct"/>
            <w:shd w:val="clear" w:color="auto" w:fill="auto"/>
            <w:vAlign w:val="center"/>
          </w:tcPr>
          <w:p w14:paraId="10DB93A3" w14:textId="1E9C219A" w:rsidR="0099220A" w:rsidRPr="00CB7AFB" w:rsidRDefault="00234CD1" w:rsidP="007A607A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7.</w:t>
            </w:r>
            <w:r w:rsidR="003B60DF">
              <w:rPr>
                <w:rFonts w:ascii="Garamond" w:hAnsi="Garamond" w:cs="Garamond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01" w:type="pct"/>
          </w:tcPr>
          <w:p w14:paraId="770BB0AE" w14:textId="77777777" w:rsidR="00F85CEA" w:rsidRPr="00F85CEA" w:rsidRDefault="00F85CEA" w:rsidP="00F85CEA">
            <w:pPr>
              <w:widowControl w:val="0"/>
              <w:numPr>
                <w:ilvl w:val="1"/>
                <w:numId w:val="0"/>
              </w:numPr>
              <w:spacing w:before="120" w:after="120"/>
              <w:ind w:firstLine="567"/>
              <w:jc w:val="both"/>
              <w:outlineLvl w:val="1"/>
              <w:rPr>
                <w:rFonts w:ascii="Garamond" w:hAnsi="Garamond"/>
                <w:bCs/>
                <w:sz w:val="22"/>
                <w:szCs w:val="22"/>
                <w:lang w:eastAsia="x-none"/>
              </w:rPr>
            </w:pPr>
            <w:bookmarkStart w:id="5" w:name="_Toc170168989"/>
            <w:bookmarkStart w:id="6" w:name="_Toc175236898"/>
            <w:bookmarkStart w:id="7" w:name="_Toc184979884"/>
            <w:r w:rsidRPr="00F85CEA">
              <w:rPr>
                <w:rFonts w:ascii="Garamond" w:hAnsi="Garamond"/>
                <w:bCs/>
                <w:sz w:val="22"/>
                <w:szCs w:val="22"/>
                <w:lang w:eastAsia="x-none"/>
              </w:rPr>
              <w:t xml:space="preserve">Отбор заявок и результаты КОМ НГО в юго-восточной части ОЭС Сибири </w:t>
            </w:r>
            <w:r w:rsidRPr="00F85CEA">
              <w:rPr>
                <w:rFonts w:ascii="Garamond" w:hAnsi="Garamond"/>
                <w:bCs/>
                <w:sz w:val="22"/>
                <w:szCs w:val="22"/>
                <w:highlight w:val="yellow"/>
                <w:lang w:eastAsia="x-none"/>
              </w:rPr>
              <w:t>или</w:t>
            </w:r>
            <w:r w:rsidRPr="00F85CEA">
              <w:rPr>
                <w:rFonts w:ascii="Garamond" w:hAnsi="Garamond"/>
                <w:bCs/>
                <w:sz w:val="22"/>
                <w:szCs w:val="22"/>
                <w:lang w:eastAsia="x-none"/>
              </w:rPr>
              <w:t xml:space="preserve"> юго-западной части ОЭС Юга</w:t>
            </w:r>
            <w:bookmarkEnd w:id="5"/>
            <w:bookmarkEnd w:id="6"/>
            <w:bookmarkEnd w:id="7"/>
          </w:p>
          <w:p w14:paraId="1685F03C" w14:textId="77777777" w:rsidR="00F85CEA" w:rsidRPr="00F85CEA" w:rsidRDefault="00F85CEA" w:rsidP="00F85CEA">
            <w:pPr>
              <w:widowControl w:val="0"/>
              <w:spacing w:before="120" w:after="120"/>
              <w:ind w:firstLine="567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Процедура отборов, проводимых в 2024 </w:t>
            </w:r>
            <w:r w:rsidRPr="00F85CEA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году</w:t>
            </w: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в соответствии с распоряжениями Правительства Российской Федерации, по территории ТНГ </w:t>
            </w:r>
            <w:r w:rsidRPr="00F85CEA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осуществляется в следующем порядке. </w:t>
            </w:r>
          </w:p>
          <w:p w14:paraId="2B5DEC5D" w14:textId="77777777" w:rsidR="00F85CEA" w:rsidRPr="00F85CEA" w:rsidRDefault="00F85CEA" w:rsidP="00F85CEA">
            <w:pPr>
              <w:widowControl w:val="0"/>
              <w:spacing w:before="120" w:after="120"/>
              <w:ind w:firstLine="567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С целью отбора в КОМ НГО по территории ТНГ </w:t>
            </w:r>
            <w:r w:rsidRPr="00F85CEA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заявки поставщиков ранжируются в порядке увеличения показателя эффективности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эфф</m:t>
                  </m:r>
                </m:sup>
              </m:sSubSup>
            </m:oMath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(выстраиваются в порядке снижения приоритетности отбора).</w:t>
            </w:r>
          </w:p>
          <w:p w14:paraId="4D4178F6" w14:textId="77777777" w:rsidR="00F85CEA" w:rsidRPr="00F85CEA" w:rsidRDefault="00F85CEA" w:rsidP="00F85CEA">
            <w:pPr>
              <w:widowControl w:val="0"/>
              <w:spacing w:before="120" w:after="120"/>
              <w:ind w:right="-26" w:firstLine="567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По итогам ранжирования всем генерирующим объектам </w:t>
            </w:r>
            <w:r w:rsidRPr="00F85CEA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g</w:t>
            </w: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по территории ТНГ </w:t>
            </w:r>
            <w:r w:rsidRPr="00F85CEA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(соответствующим объемам мощности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g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уст</m:t>
                  </m:r>
                </m:sup>
              </m:sSubSup>
            </m:oMath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) присваивается номер </w:t>
            </w:r>
            <m:oMath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n∈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1…N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/>
                              <w:i/>
                              <w:noProof/>
                              <w:sz w:val="22"/>
                              <w:szCs w:val="22"/>
                              <w:lang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eastAsia="en-US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n+1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eastAsia="en-US"/>
                            </w:rPr>
                            <m:t>эфф</m:t>
                          </m:r>
                        </m:sup>
                      </m:sSubSup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&gt;</m:t>
                      </m:r>
                      <m:sSubSup>
                        <m:sSubSupPr>
                          <m:ctrlPr>
                            <w:rPr>
                              <w:rFonts w:ascii="Cambria Math" w:eastAsia="Calibri" w:hAnsi="Cambria Math"/>
                              <w:i/>
                              <w:noProof/>
                              <w:sz w:val="22"/>
                              <w:szCs w:val="22"/>
                              <w:lang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eastAsia="en-US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n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eastAsia="en-US"/>
                            </w:rPr>
                            <m:t>эфф</m:t>
                          </m:r>
                        </m:sup>
                      </m:sSubSup>
                    </m:e>
                  </m:d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 xml:space="preserve"> или (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noProof/>
                          <w:sz w:val="22"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n+1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eastAsia="en-US"/>
                        </w:rPr>
                        <m:t>эфф</m:t>
                      </m:r>
                    </m:sup>
                  </m:sSub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noProof/>
                          <w:sz w:val="22"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n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eastAsia="en-US"/>
                        </w:rPr>
                        <m:t>эфф</m:t>
                      </m:r>
                    </m:sup>
                  </m:sSub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 xml:space="preserve"> и 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c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n+1</m:t>
                          </m:r>
                        </m:sub>
                      </m:sSub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&gt;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c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n</m:t>
                          </m:r>
                        </m:sub>
                      </m:sSub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)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 xml:space="preserve"> </m:t>
              </m:r>
            </m:oMath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в порядке снижения приоритета отбора. Отбор генерирующих объектов по территории ТНГ </w:t>
            </w:r>
            <w:r w:rsidRPr="00F85CEA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производится в следующем порядке. </w:t>
            </w:r>
          </w:p>
          <w:p w14:paraId="63CA52A7" w14:textId="77777777" w:rsidR="00F85CEA" w:rsidRPr="00F85CEA" w:rsidRDefault="00F85CEA" w:rsidP="00F85CEA">
            <w:pPr>
              <w:widowControl w:val="0"/>
              <w:numPr>
                <w:ilvl w:val="3"/>
                <w:numId w:val="22"/>
              </w:numPr>
              <w:autoSpaceDE w:val="0"/>
              <w:autoSpaceDN w:val="0"/>
              <w:spacing w:before="120" w:after="120" w:line="276" w:lineRule="auto"/>
              <w:ind w:left="0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F85CEA">
              <w:rPr>
                <w:rFonts w:ascii="Garamond" w:hAnsi="Garamond"/>
                <w:sz w:val="22"/>
                <w:szCs w:val="22"/>
              </w:rPr>
              <w:t xml:space="preserve">Объектам последовательно, начиная с номера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=1</m:t>
              </m:r>
            </m:oMath>
            <w:r w:rsidRPr="00F85CEA">
              <w:rPr>
                <w:rFonts w:ascii="Garamond" w:hAnsi="Garamond"/>
                <w:sz w:val="22"/>
                <w:szCs w:val="22"/>
              </w:rPr>
              <w:t xml:space="preserve"> (в случае реализации части алгоритма отбора согласно подп. 2 настоящего пункта – с наименьшего номера), присваивается индикатор включения в перечень отобранных генерирующих объектов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=1</m:t>
              </m:r>
            </m:oMath>
            <w:r w:rsidRPr="00F85CEA">
              <w:rPr>
                <w:rFonts w:ascii="Garamond" w:hAnsi="Garamond"/>
                <w:sz w:val="22"/>
                <w:szCs w:val="22"/>
              </w:rPr>
              <w:t xml:space="preserve"> и осуществляется проверка выполнения следующих условий:</w:t>
            </w:r>
          </w:p>
          <w:p w14:paraId="63D1AFFA" w14:textId="77777777" w:rsidR="00F85CEA" w:rsidRPr="00F85CEA" w:rsidRDefault="007A607A" w:rsidP="00F85CEA">
            <w:pPr>
              <w:widowControl w:val="0"/>
              <w:spacing w:before="120" w:after="120"/>
              <w:jc w:val="right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z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спрос</m:t>
                  </m:r>
                </m:sup>
              </m:sSubSup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≤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k=1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k</m:t>
                          </m:r>
                        </m:sub>
                      </m:sSub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s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k</m:t>
                          </m:r>
                        </m:sub>
                      </m:sSub>
                    </m:sub>
                  </m:sSub>
                </m:e>
              </m:nary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+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A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g</m:t>
                              </m:r>
                            </m:e>
                          </m:d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A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N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k</m:t>
                              </m:r>
                            </m:sub>
                          </m:sSub>
                        </m:sub>
                      </m:sSub>
                    </m:e>
                  </m:nary>
                </m:e>
              </m:nary>
            </m:oMath>
            <w:r w:rsidR="00F85CEA"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     </w:t>
            </w:r>
            <w:r w:rsidR="00F85CEA"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</w:r>
            <w:r w:rsidR="00F85CEA"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 xml:space="preserve">                   (1)</w:t>
            </w:r>
          </w:p>
          <w:p w14:paraId="7E58E574" w14:textId="77777777" w:rsidR="00F85CEA" w:rsidRPr="00F85CEA" w:rsidRDefault="007A607A" w:rsidP="00F85CEA">
            <w:pPr>
              <w:widowControl w:val="0"/>
              <w:spacing w:before="120" w:after="120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k=1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k</m:t>
                          </m:r>
                        </m:sub>
                      </m:sSub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s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k</m:t>
                          </m:r>
                        </m:sub>
                      </m:sSub>
                    </m:sub>
                  </m:sSub>
                </m:e>
              </m:nary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+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A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g</m:t>
                              </m:r>
                            </m:e>
                          </m:d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A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N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k</m:t>
                              </m:r>
                            </m:sub>
                          </m:sSub>
                        </m:sub>
                      </m:sSub>
                    </m:e>
                  </m:nary>
                </m:e>
              </m:nary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≤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z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спрос_макс</m:t>
                  </m:r>
                </m:sup>
              </m:sSubSup>
            </m:oMath>
            <w:r w:rsidR="00F85CEA"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(1.1 – условие проверяется только </w:t>
            </w:r>
            <w:r w:rsidR="00F85CEA" w:rsidRPr="00F85CEA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для КОМ НГО в юго-западной части ОЭС Юга</w:t>
            </w:r>
            <w:r w:rsidR="00F85CEA"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>)</w:t>
            </w:r>
          </w:p>
          <w:p w14:paraId="52BB99AC" w14:textId="4B7C8860" w:rsidR="0099220A" w:rsidRPr="00CB7AFB" w:rsidRDefault="00F85CEA" w:rsidP="00F85CEA">
            <w:pPr>
              <w:spacing w:before="120" w:after="120"/>
              <w:ind w:right="-26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…</w:t>
            </w:r>
          </w:p>
        </w:tc>
        <w:tc>
          <w:tcPr>
            <w:tcW w:w="2361" w:type="pct"/>
          </w:tcPr>
          <w:p w14:paraId="20767024" w14:textId="7C15B74A" w:rsidR="00F85CEA" w:rsidRPr="00F85CEA" w:rsidRDefault="00F85CEA" w:rsidP="00F85CEA">
            <w:pPr>
              <w:widowControl w:val="0"/>
              <w:numPr>
                <w:ilvl w:val="1"/>
                <w:numId w:val="0"/>
              </w:numPr>
              <w:spacing w:before="120" w:after="120"/>
              <w:ind w:firstLine="567"/>
              <w:jc w:val="both"/>
              <w:outlineLvl w:val="1"/>
              <w:rPr>
                <w:rFonts w:ascii="Garamond" w:hAnsi="Garamond"/>
                <w:b/>
                <w:bCs/>
                <w:sz w:val="22"/>
                <w:szCs w:val="22"/>
                <w:lang w:eastAsia="x-none"/>
              </w:rPr>
            </w:pPr>
            <w:r w:rsidRPr="00F85CEA">
              <w:rPr>
                <w:rFonts w:ascii="Garamond" w:hAnsi="Garamond"/>
                <w:b/>
                <w:bCs/>
                <w:sz w:val="22"/>
                <w:szCs w:val="22"/>
                <w:lang w:eastAsia="x-none"/>
              </w:rPr>
              <w:t>Отбор заявок и результаты КОМ НГО в юго-восточной части ОЭС Сибири</w:t>
            </w:r>
            <w:r w:rsidRPr="00F85CEA">
              <w:rPr>
                <w:rFonts w:ascii="Garamond" w:hAnsi="Garamond"/>
                <w:b/>
                <w:bCs/>
                <w:sz w:val="22"/>
                <w:szCs w:val="22"/>
                <w:highlight w:val="yellow"/>
                <w:lang w:eastAsia="x-none"/>
              </w:rPr>
              <w:t>,</w:t>
            </w:r>
            <w:r w:rsidRPr="00F85CEA">
              <w:rPr>
                <w:rFonts w:ascii="Garamond" w:hAnsi="Garamond"/>
                <w:b/>
                <w:bCs/>
                <w:sz w:val="22"/>
                <w:szCs w:val="22"/>
                <w:lang w:eastAsia="x-none"/>
              </w:rPr>
              <w:t xml:space="preserve"> юго-западной части ОЭС Юга </w:t>
            </w:r>
            <w:r w:rsidRPr="00F85CEA">
              <w:rPr>
                <w:rFonts w:ascii="Garamond" w:hAnsi="Garamond"/>
                <w:b/>
                <w:bCs/>
                <w:sz w:val="22"/>
                <w:szCs w:val="22"/>
                <w:highlight w:val="yellow"/>
                <w:lang w:eastAsia="x-none"/>
              </w:rPr>
              <w:t>или ОЭС Востока</w:t>
            </w:r>
          </w:p>
          <w:p w14:paraId="7AB8D823" w14:textId="77777777" w:rsidR="00F85CEA" w:rsidRPr="00F85CEA" w:rsidRDefault="00F85CEA" w:rsidP="00F85CEA">
            <w:pPr>
              <w:widowControl w:val="0"/>
              <w:spacing w:before="120" w:after="120"/>
              <w:ind w:firstLine="567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Процедура отборов, проводимых в 2024 </w:t>
            </w:r>
            <w:r w:rsidRPr="00F85CEA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и 2025 годах</w:t>
            </w: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в соответствии с распоряжениями Правительства Российской Федерации, по территории ТНГ </w:t>
            </w:r>
            <w:r w:rsidRPr="00F85CEA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осуществляется в следующем порядке. </w:t>
            </w:r>
          </w:p>
          <w:p w14:paraId="2048A65C" w14:textId="77777777" w:rsidR="00F85CEA" w:rsidRPr="00F85CEA" w:rsidRDefault="00F85CEA" w:rsidP="00F85CEA">
            <w:pPr>
              <w:widowControl w:val="0"/>
              <w:spacing w:before="120" w:after="120"/>
              <w:ind w:firstLine="567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С целью отбора в КОМ НГО по территории ТНГ </w:t>
            </w:r>
            <w:r w:rsidRPr="00F85CEA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заявки поставщиков ранжируются в порядке увеличения показателя эффективности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эфф</m:t>
                  </m:r>
                </m:sup>
              </m:sSubSup>
            </m:oMath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(выстраиваются в порядке снижения приоритетности отбора).</w:t>
            </w:r>
          </w:p>
          <w:p w14:paraId="1E22E3C7" w14:textId="77777777" w:rsidR="00F85CEA" w:rsidRPr="00F85CEA" w:rsidRDefault="00F85CEA" w:rsidP="00F85CEA">
            <w:pPr>
              <w:widowControl w:val="0"/>
              <w:spacing w:before="120" w:after="120"/>
              <w:ind w:right="-26" w:firstLine="567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По итогам ранжирования всем генерирующим объектам </w:t>
            </w:r>
            <w:r w:rsidRPr="00F85CEA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g</w:t>
            </w: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по территории ТНГ </w:t>
            </w:r>
            <w:r w:rsidRPr="00F85CEA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(соответствующим объемам мощности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g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уст</m:t>
                  </m:r>
                </m:sup>
              </m:sSubSup>
            </m:oMath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) присваивается номер </w:t>
            </w:r>
            <m:oMath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n∈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1…N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/>
                              <w:i/>
                              <w:noProof/>
                              <w:sz w:val="22"/>
                              <w:szCs w:val="22"/>
                              <w:lang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eastAsia="en-US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n+1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eastAsia="en-US"/>
                            </w:rPr>
                            <m:t>эфф</m:t>
                          </m:r>
                        </m:sup>
                      </m:sSubSup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&gt;</m:t>
                      </m:r>
                      <m:sSubSup>
                        <m:sSubSupPr>
                          <m:ctrlPr>
                            <w:rPr>
                              <w:rFonts w:ascii="Cambria Math" w:eastAsia="Calibri" w:hAnsi="Cambria Math"/>
                              <w:i/>
                              <w:noProof/>
                              <w:sz w:val="22"/>
                              <w:szCs w:val="22"/>
                              <w:lang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eastAsia="en-US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n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eastAsia="en-US"/>
                            </w:rPr>
                            <m:t>эфф</m:t>
                          </m:r>
                        </m:sup>
                      </m:sSubSup>
                    </m:e>
                  </m:d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 xml:space="preserve"> или (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noProof/>
                          <w:sz w:val="22"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n+1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eastAsia="en-US"/>
                        </w:rPr>
                        <m:t>эфф</m:t>
                      </m:r>
                    </m:sup>
                  </m:sSub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noProof/>
                          <w:sz w:val="22"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n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eastAsia="en-US"/>
                        </w:rPr>
                        <m:t>эфф</m:t>
                      </m:r>
                    </m:sup>
                  </m:sSub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 xml:space="preserve"> и 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c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n+1</m:t>
                          </m:r>
                        </m:sub>
                      </m:sSub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&gt;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c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n</m:t>
                          </m:r>
                        </m:sub>
                      </m:sSub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)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 xml:space="preserve"> </m:t>
              </m:r>
            </m:oMath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в порядке снижения приоритета отбора. Отбор генерирующих объектов по территории ТНГ </w:t>
            </w:r>
            <w:r w:rsidRPr="00F85CEA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z</w:t>
            </w:r>
            <w:r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производится в следующем порядке. </w:t>
            </w:r>
          </w:p>
          <w:p w14:paraId="3B89004A" w14:textId="77777777" w:rsidR="00F85CEA" w:rsidRPr="00F85CEA" w:rsidRDefault="00F85CEA" w:rsidP="00CE769E">
            <w:pPr>
              <w:widowControl w:val="0"/>
              <w:numPr>
                <w:ilvl w:val="3"/>
                <w:numId w:val="29"/>
              </w:numPr>
              <w:tabs>
                <w:tab w:val="left" w:pos="1178"/>
              </w:tabs>
              <w:autoSpaceDE w:val="0"/>
              <w:autoSpaceDN w:val="0"/>
              <w:spacing w:before="120" w:after="120" w:line="276" w:lineRule="auto"/>
              <w:ind w:left="44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F85CEA">
              <w:rPr>
                <w:rFonts w:ascii="Garamond" w:hAnsi="Garamond"/>
                <w:sz w:val="22"/>
                <w:szCs w:val="22"/>
              </w:rPr>
              <w:t xml:space="preserve">Объектам последовательно, начиная с номера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=1</m:t>
              </m:r>
            </m:oMath>
            <w:r w:rsidRPr="00F85CEA">
              <w:rPr>
                <w:rFonts w:ascii="Garamond" w:hAnsi="Garamond"/>
                <w:sz w:val="22"/>
                <w:szCs w:val="22"/>
              </w:rPr>
              <w:t xml:space="preserve"> (в случае реализации части алгоритма отбора согласно подп. 2 настоящего пункта – с наименьшего номера), присваивается индикатор включения в перечень отобранных генерирующих объектов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=1</m:t>
              </m:r>
            </m:oMath>
            <w:r w:rsidRPr="00F85CEA">
              <w:rPr>
                <w:rFonts w:ascii="Garamond" w:hAnsi="Garamond"/>
                <w:sz w:val="22"/>
                <w:szCs w:val="22"/>
              </w:rPr>
              <w:t xml:space="preserve"> и осуществляется проверка выполнения следующих условий:</w:t>
            </w:r>
          </w:p>
          <w:p w14:paraId="11DCFD2A" w14:textId="77777777" w:rsidR="00F85CEA" w:rsidRPr="00F85CEA" w:rsidRDefault="007A607A" w:rsidP="00F85CEA">
            <w:pPr>
              <w:widowControl w:val="0"/>
              <w:spacing w:before="120" w:after="120"/>
              <w:jc w:val="right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z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спрос</m:t>
                  </m:r>
                </m:sup>
              </m:sSubSup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≤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k=1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k</m:t>
                          </m:r>
                        </m:sub>
                      </m:sSub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s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k</m:t>
                          </m:r>
                        </m:sub>
                      </m:sSub>
                    </m:sub>
                  </m:sSub>
                </m:e>
              </m:nary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+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A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g</m:t>
                              </m:r>
                            </m:e>
                          </m:d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A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N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k</m:t>
                              </m:r>
                            </m:sub>
                          </m:sSub>
                        </m:sub>
                      </m:sSub>
                    </m:e>
                  </m:nary>
                </m:e>
              </m:nary>
            </m:oMath>
            <w:r w:rsidR="00F85CEA"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     </w:t>
            </w:r>
            <w:r w:rsidR="00F85CEA"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</w:r>
            <w:r w:rsidR="00F85CEA"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 xml:space="preserve">                   (1)</w:t>
            </w:r>
          </w:p>
          <w:p w14:paraId="65E8E569" w14:textId="77777777" w:rsidR="00F85CEA" w:rsidRPr="00F85CEA" w:rsidRDefault="007A607A" w:rsidP="00F85CEA">
            <w:pPr>
              <w:widowControl w:val="0"/>
              <w:spacing w:before="120" w:after="120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k=1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k</m:t>
                          </m:r>
                        </m:sub>
                      </m:sSub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s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k</m:t>
                          </m:r>
                        </m:sub>
                      </m:sSub>
                    </m:sub>
                  </m:sSub>
                </m:e>
              </m:nary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+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A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g</m:t>
                              </m:r>
                            </m:e>
                          </m:d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A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N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sz w:val="22"/>
                                  <w:szCs w:val="22"/>
                                  <w:lang w:eastAsia="en-US"/>
                                </w:rPr>
                                <m:t>k</m:t>
                              </m:r>
                            </m:sub>
                          </m:sSub>
                        </m:sub>
                      </m:sSub>
                    </m:e>
                  </m:nary>
                </m:e>
              </m:nary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≤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z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спрос_макс</m:t>
                  </m:r>
                </m:sup>
              </m:sSubSup>
            </m:oMath>
            <w:r w:rsidR="00F85CEA"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(1.1 – условие проверяется только </w:t>
            </w:r>
            <w:r w:rsidR="00F85CEA" w:rsidRPr="00F85CEA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в случае установления соответствующего ограничения в решении Правительства Российской Федерации</w:t>
            </w:r>
            <w:r w:rsidR="00F85CEA" w:rsidRPr="00F85CEA">
              <w:rPr>
                <w:rFonts w:ascii="Garamond" w:eastAsia="Calibri" w:hAnsi="Garamond"/>
                <w:sz w:val="22"/>
                <w:szCs w:val="22"/>
                <w:lang w:eastAsia="en-US"/>
              </w:rPr>
              <w:t>)</w:t>
            </w:r>
          </w:p>
          <w:p w14:paraId="742D4A58" w14:textId="565406A8" w:rsidR="0099220A" w:rsidRPr="00CB7AFB" w:rsidRDefault="00F85CEA" w:rsidP="007A607A">
            <w:pPr>
              <w:spacing w:before="120" w:after="120"/>
              <w:ind w:right="-26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…</w:t>
            </w:r>
          </w:p>
        </w:tc>
      </w:tr>
    </w:tbl>
    <w:p w14:paraId="0556ECC2" w14:textId="77777777" w:rsidR="0099220A" w:rsidRPr="006970DB" w:rsidRDefault="0099220A" w:rsidP="00442ED0">
      <w:pPr>
        <w:rPr>
          <w:rFonts w:ascii="Garamond" w:hAnsi="Garamond"/>
          <w:b/>
          <w:sz w:val="26"/>
          <w:szCs w:val="26"/>
        </w:rPr>
      </w:pPr>
    </w:p>
    <w:p w14:paraId="02C98110" w14:textId="77777777" w:rsidR="00CE769E" w:rsidRDefault="00CE769E">
      <w:pPr>
        <w:spacing w:after="160" w:line="278" w:lineRule="auto"/>
        <w:rPr>
          <w:rFonts w:ascii="Garamond" w:eastAsia="Batang" w:hAnsi="Garamond"/>
          <w:b/>
          <w:bCs/>
          <w:sz w:val="26"/>
          <w:szCs w:val="26"/>
        </w:rPr>
      </w:pPr>
      <w:r>
        <w:rPr>
          <w:rFonts w:ascii="Garamond" w:eastAsia="Batang" w:hAnsi="Garamond"/>
          <w:b/>
          <w:bCs/>
          <w:sz w:val="26"/>
          <w:szCs w:val="26"/>
        </w:rPr>
        <w:br w:type="page"/>
      </w:r>
    </w:p>
    <w:p w14:paraId="253D792D" w14:textId="76ED25A1" w:rsidR="00375407" w:rsidRPr="00E13697" w:rsidRDefault="00375407" w:rsidP="00375407">
      <w:pPr>
        <w:rPr>
          <w:rFonts w:ascii="Garamond" w:hAnsi="Garamond"/>
          <w:b/>
          <w:sz w:val="26"/>
          <w:szCs w:val="26"/>
        </w:rPr>
      </w:pPr>
      <w:r w:rsidRPr="00E13697">
        <w:rPr>
          <w:rFonts w:ascii="Garamond" w:eastAsia="Batang" w:hAnsi="Garamond"/>
          <w:b/>
          <w:bCs/>
          <w:sz w:val="26"/>
          <w:szCs w:val="26"/>
        </w:rPr>
        <w:t>Предложения по изменениям и дополнениям в</w:t>
      </w:r>
      <w:r w:rsidRPr="00E13697">
        <w:rPr>
          <w:rFonts w:ascii="Garamond" w:hAnsi="Garamond"/>
          <w:b/>
          <w:sz w:val="26"/>
          <w:szCs w:val="26"/>
        </w:rPr>
        <w:t xml:space="preserve"> РЕГЛАМЕНТ ПРОВЕДЕНИЯ</w:t>
      </w:r>
      <w:bookmarkStart w:id="8" w:name="_Toc260307775"/>
      <w:bookmarkStart w:id="9" w:name="_Toc211138624"/>
      <w:bookmarkStart w:id="10" w:name="_Toc204420354"/>
      <w:r w:rsidRPr="00E13697">
        <w:rPr>
          <w:rFonts w:ascii="Garamond" w:hAnsi="Garamond"/>
          <w:b/>
          <w:sz w:val="26"/>
          <w:szCs w:val="26"/>
        </w:rPr>
        <w:t xml:space="preserve"> КОНКУРЕНТНЫХ ОТБОРОВ МОЩНОСТИ</w:t>
      </w:r>
      <w:bookmarkEnd w:id="8"/>
      <w:bookmarkEnd w:id="9"/>
      <w:bookmarkEnd w:id="10"/>
      <w:r w:rsidRPr="00E13697">
        <w:rPr>
          <w:rFonts w:ascii="Garamond" w:hAnsi="Garamond"/>
          <w:b/>
          <w:sz w:val="26"/>
          <w:szCs w:val="26"/>
        </w:rPr>
        <w:t xml:space="preserve"> НОВЫХ ГЕНЕРИРУЮЩИХ ОБЪЕКТОВ ДЛЯ ОБЕСПЕЧЕНИЯ ВОЗМОЖНОСТИ ВЫВОДА ГЕНЕРИРУЮЩЕГО ОБЪЕКТА ИЗ ЭКСПЛУАТАЦИИ (Приложение № 19.8.2 к </w:t>
      </w:r>
      <w:r w:rsidRPr="00E13697">
        <w:rPr>
          <w:rFonts w:ascii="Garamond" w:hAnsi="Garamond"/>
          <w:b/>
          <w:bCs/>
          <w:sz w:val="26"/>
          <w:szCs w:val="26"/>
        </w:rPr>
        <w:t>Договору о присоединении к торговой системе оптового рынка</w:t>
      </w:r>
      <w:r w:rsidRPr="00E13697">
        <w:rPr>
          <w:rFonts w:ascii="Garamond" w:hAnsi="Garamond"/>
          <w:b/>
          <w:sz w:val="26"/>
          <w:szCs w:val="26"/>
        </w:rPr>
        <w:t>)</w:t>
      </w:r>
    </w:p>
    <w:p w14:paraId="425E7E34" w14:textId="77777777" w:rsidR="00375407" w:rsidRPr="009F7398" w:rsidRDefault="00375407" w:rsidP="0037540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2656"/>
        <w:gridCol w:w="11043"/>
      </w:tblGrid>
      <w:tr w:rsidR="00375407" w:rsidRPr="009F7398" w14:paraId="1D0479BA" w14:textId="77777777" w:rsidTr="003B0440">
        <w:tc>
          <w:tcPr>
            <w:tcW w:w="332" w:type="pct"/>
            <w:vAlign w:val="center"/>
          </w:tcPr>
          <w:p w14:paraId="3E1C55FA" w14:textId="77777777" w:rsidR="00375407" w:rsidRPr="009F7398" w:rsidRDefault="00375407" w:rsidP="007A607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F7398">
              <w:rPr>
                <w:rFonts w:ascii="Garamond" w:hAnsi="Garamond"/>
                <w:b/>
                <w:sz w:val="22"/>
                <w:szCs w:val="22"/>
                <w:lang w:eastAsia="en-US"/>
              </w:rPr>
              <w:t>№</w:t>
            </w:r>
          </w:p>
          <w:p w14:paraId="601B1D6D" w14:textId="77777777" w:rsidR="00375407" w:rsidRPr="009F7398" w:rsidRDefault="00375407" w:rsidP="007A607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F7398">
              <w:rPr>
                <w:rFonts w:ascii="Garamond" w:hAnsi="Garamond"/>
                <w:b/>
                <w:sz w:val="22"/>
                <w:szCs w:val="22"/>
                <w:lang w:eastAsia="en-US"/>
              </w:rPr>
              <w:t>пункта</w:t>
            </w:r>
          </w:p>
        </w:tc>
        <w:tc>
          <w:tcPr>
            <w:tcW w:w="905" w:type="pct"/>
            <w:vAlign w:val="center"/>
          </w:tcPr>
          <w:p w14:paraId="0B44D4FD" w14:textId="77777777" w:rsidR="00375407" w:rsidRPr="009F7398" w:rsidRDefault="00375407" w:rsidP="007A607A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F7398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</w:t>
            </w:r>
            <w:r w:rsidRPr="009F7398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, действующая на момент </w:t>
            </w:r>
          </w:p>
          <w:p w14:paraId="6AABA115" w14:textId="77777777" w:rsidR="00375407" w:rsidRPr="009F7398" w:rsidRDefault="00375407" w:rsidP="007A607A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7398">
              <w:rPr>
                <w:rFonts w:ascii="Garamond" w:hAnsi="Garamond"/>
                <w:b/>
                <w:sz w:val="22"/>
                <w:szCs w:val="22"/>
                <w:lang w:eastAsia="en-US"/>
              </w:rPr>
              <w:t>вступления в силу изменений</w:t>
            </w:r>
          </w:p>
        </w:tc>
        <w:tc>
          <w:tcPr>
            <w:tcW w:w="3762" w:type="pct"/>
          </w:tcPr>
          <w:p w14:paraId="554FA527" w14:textId="77777777" w:rsidR="00375407" w:rsidRPr="009F7398" w:rsidRDefault="00375407" w:rsidP="007A607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F7398">
              <w:rPr>
                <w:rFonts w:ascii="Garamond" w:hAnsi="Garamond"/>
                <w:b/>
                <w:sz w:val="22"/>
                <w:szCs w:val="22"/>
                <w:lang w:eastAsia="en-US"/>
              </w:rPr>
              <w:t>Предлагаемая редакция</w:t>
            </w:r>
          </w:p>
          <w:p w14:paraId="6B7FB30A" w14:textId="77777777" w:rsidR="00375407" w:rsidRPr="009F7398" w:rsidRDefault="00375407" w:rsidP="007A607A">
            <w:pPr>
              <w:ind w:right="-55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7398">
              <w:rPr>
                <w:rFonts w:ascii="Garamond" w:hAnsi="Garamond"/>
                <w:sz w:val="22"/>
                <w:szCs w:val="22"/>
                <w:lang w:eastAsia="en-US"/>
              </w:rPr>
              <w:t>(изменения выделены цветом)</w:t>
            </w:r>
          </w:p>
        </w:tc>
      </w:tr>
      <w:tr w:rsidR="00375407" w:rsidRPr="00CB7AFB" w14:paraId="4D94790B" w14:textId="77777777" w:rsidTr="003B0440">
        <w:tc>
          <w:tcPr>
            <w:tcW w:w="332" w:type="pct"/>
            <w:shd w:val="clear" w:color="auto" w:fill="auto"/>
            <w:vAlign w:val="center"/>
          </w:tcPr>
          <w:p w14:paraId="4FBE880C" w14:textId="670139A0" w:rsidR="00375407" w:rsidRPr="00CB7AFB" w:rsidRDefault="00375407" w:rsidP="007A607A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2, п.</w:t>
            </w:r>
            <w:r w:rsidR="00CE769E">
              <w:rPr>
                <w:rFonts w:ascii="Garamond" w:hAnsi="Garamond" w:cs="Garamond"/>
                <w:b/>
                <w:bCs/>
                <w:sz w:val="22"/>
                <w:szCs w:val="22"/>
              </w:rPr>
              <w:t> 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05" w:type="pct"/>
          </w:tcPr>
          <w:p w14:paraId="5B760608" w14:textId="77777777" w:rsidR="00375407" w:rsidRPr="00E13697" w:rsidRDefault="00375407" w:rsidP="007A607A">
            <w:pPr>
              <w:spacing w:before="120" w:after="120"/>
              <w:ind w:right="-26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 w:rsidRPr="00E13697">
              <w:rPr>
                <w:rFonts w:ascii="Garamond" w:hAnsi="Garamond"/>
                <w:b/>
                <w:sz w:val="22"/>
                <w:szCs w:val="22"/>
                <w:lang w:eastAsia="en-US"/>
              </w:rPr>
              <w:t>Добавить пункт</w:t>
            </w:r>
          </w:p>
        </w:tc>
        <w:tc>
          <w:tcPr>
            <w:tcW w:w="3762" w:type="pct"/>
          </w:tcPr>
          <w:p w14:paraId="59D23A4B" w14:textId="77777777" w:rsidR="00375407" w:rsidRPr="00404B7F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404B7F">
              <w:rPr>
                <w:rFonts w:ascii="Garamond" w:hAnsi="Garamond"/>
                <w:b/>
                <w:bCs/>
                <w:sz w:val="22"/>
                <w:szCs w:val="22"/>
                <w:highlight w:val="yellow"/>
                <w:lang w:eastAsia="en-US"/>
              </w:rPr>
              <w:t>5. ОСНОВАНИЯ ПРЕДОСТАВЛЕНИЯ НОВОГО ОБЕСПЕЧЕНИЯ ПО ДОГОВОРУ КОМ НГО</w:t>
            </w:r>
          </w:p>
          <w:p w14:paraId="711343D5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5.1. 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Поставщик мощности по договорам КОМ НГО обязан предоставить новое обеспечение исполнения обязательств в отношении договоров КОМ НГО, если до истечения 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12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месяцев с даты начала поставки произошло какое-либо из событий, указанных в 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пунктах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5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.2–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5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.1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1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настоящего приложения. </w:t>
            </w:r>
          </w:p>
          <w:p w14:paraId="0B1E3480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Непредоставление нового обеспечения в случаях, предусмотренных пунктами 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5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.2–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5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.1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1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настоящего приложения, влечет взыскание с соответствующего поставщика мощности денежной суммы согласно договору КОМ НГО.</w:t>
            </w:r>
          </w:p>
          <w:p w14:paraId="20D0B831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5.2. 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Совокупная установленная мощность ГТП генерации, в отношении которой (-ых) поставщиком мощности по договорам КОМ НГО, обеспечивающим исполнение своих обязательств неустойкой,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рынке), с 1-го числа месяца </w:t>
            </w:r>
            <w:r w:rsidRPr="007A607A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m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не превышает 2500 МВт. Новое обеспечение должно быть предоставлено в срок не позднее 60 (шестидесяти) календарных дней с даты получения уведомления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от АТС о необходимости предоставить новое обеспечение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</w:t>
            </w:r>
          </w:p>
          <w:p w14:paraId="0236F14B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5.3. 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Поставщиком мощности по договорам КОМ НГО, обеспечивающим исполнение обязательств неустойкой, принято решение о реорганизации юридического лица путем выделения или разделения. Новое обеспечение должно быть предоставлено в срок не позднее 60 (шестидесяти) календарных дней, следующих за днем принятия решения о реорганизации.</w:t>
            </w:r>
          </w:p>
          <w:p w14:paraId="10D37449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При этом поставщик мощности по договорам КОМ НГО должен уведомить КО об указанном решении не позднее 2 (двух) рабочих дней со дня его принятия.</w:t>
            </w:r>
          </w:p>
          <w:p w14:paraId="1B20C42E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5.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4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. 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Совокупная установленная мощность ГТП генерации, в отношении которой (-ых) поручителем по договорам КОМ НГО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рынке), с 1-го числа месяца </w:t>
            </w:r>
            <w:r w:rsidRPr="007A607A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m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не превышает 2500 МВт. Новое обеспечение должно быть предоставлено в срок не позднее 60 (шестидесяти) календарных дней с даты получения уведомления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от АТС о необходимости предоставить новое обеспечение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</w:t>
            </w:r>
          </w:p>
          <w:p w14:paraId="5312D0E8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5.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5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. 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Участником оптового рынка – поручителем, заключившим договоры поручительства в отношении договоров КОМ НГО, принято решение о ликвидации или реорганизации путем выделения или разделения участника оптового рынка – поручителя. Новое обеспечение должно быть предоставлено в срок не позднее 30 (тридцати) календарных дней, следующих за днем принятия решения о реорганизации или ликвидации.</w:t>
            </w:r>
          </w:p>
          <w:p w14:paraId="13E536F7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При этом поручитель должен уведомить участника оптового рынка – продавца по соответствующим договорам КОМ НГО и КО об указанном решении не позднее 2 (двух) рабочих дней со дня его принятия.</w:t>
            </w:r>
          </w:p>
          <w:p w14:paraId="5B7A5DAC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5.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6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. 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Судом принято решение о признании участника оптового рынка – поручителя по договорам КОМ НГО банкротом или принят судебный акт об открытии в отношении него одной из процедур банкротства. Новое обеспечение должно быть предоставлено в срок не позднее 60 (шестидесяти) календарных дней, следующих за днем вступления в силу соответствующего судебного акта.</w:t>
            </w:r>
          </w:p>
          <w:p w14:paraId="00687551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При этом поручитель должен уведомить о соответствующем судебном решении поставщика мощности по договорам КОМ НГО и КО не позднее 2 (двух) рабочих дней со дня вступления в силу судебного акта.</w:t>
            </w:r>
          </w:p>
          <w:p w14:paraId="42695222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5.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7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. 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Участник оптового рынка – поручитель отказывается от договора коммерческого представительства для целей заключения договоров поручительства по договорам КОМ НГО. Новое обеспечение должно быть предоставлено в срок не позднее 60 (шестидесяти) календарных дней до даты, с которой поручитель намерен отказаться от договора коммерческого представительства для целей заключения договоров поручительства.</w:t>
            </w:r>
          </w:p>
          <w:p w14:paraId="5D80B48C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При этом поручитель обязан уведомить ЦФР, КО и участника оптового рынка – поставщика мощности по договорам КОМ НГО об отказе в письменной форме не позднее чем за 200 (двести) календарных дней до даты, с которой он намерен отказаться от исполнения договора коммерческого представительства для целей заключения договоров поручительства.</w:t>
            </w:r>
          </w:p>
          <w:p w14:paraId="2D9B510D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5.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8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. 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Если на основании совершения сделки поручителем, обеспечивающим исполнение обязательств по договорам КОМ НГО, объекты генерации, в отношении которых поручителем получено право на участие в торговле электрической энергией и мощностью на оптовом рынке, будут переданы другому участнику оптового рынка. Новое обеспечение должно быть предоставлено в срок не позднее даты возникновения у участника оптового рынка, которому передаются объекты генерации, права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в отношении передаваемых объектов генерации.</w:t>
            </w:r>
          </w:p>
          <w:p w14:paraId="3A8132AB" w14:textId="701EAED8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Если поручителем заявлено намерение передать права и обязанности продавца по своему объекту генерации и представлены все документы в отношении соответствующих ГТП, предусмотренные приложением 2 к </w:t>
            </w:r>
            <w:r w:rsidRPr="00DE33E8">
              <w:rPr>
                <w:rFonts w:ascii="Garamond" w:hAnsi="Garamond"/>
                <w:i/>
                <w:iCs/>
                <w:sz w:val="22"/>
                <w:szCs w:val="22"/>
                <w:highlight w:val="yellow"/>
                <w:lang w:eastAsia="en-US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 (Приложение № 1.1 к </w:t>
            </w:r>
            <w:r w:rsidRPr="00DE33E8">
              <w:rPr>
                <w:rFonts w:ascii="Garamond" w:hAnsi="Garamond"/>
                <w:i/>
                <w:iCs/>
                <w:sz w:val="22"/>
                <w:szCs w:val="22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), КО в течение двух рабочих дней с даты окончания проверки представленных документов (в случае если результаты проверки всех указанных документов правопреемника являются положительными) направляет уведомление поставщику мощности 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 необходимости предоставить новое обеспечение по договорам КОМ НГО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</w:t>
            </w:r>
          </w:p>
          <w:p w14:paraId="0981A6E3" w14:textId="77F4BA83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5.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9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. 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случае если обеспечением по договорам КОМ НГО является штраф (денежная сумма), </w:t>
            </w:r>
            <w:r w:rsidR="007A607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плата которого осуществляется по аккредитиву, и банк-эмитент, открывший аккредитив для уплаты штрафов по соглашению об уплате штрафов по договорам КОМ НГО по аккредитиву, исключен из перечня аккредитованных организаций в системе финансовых гарантий на оптовом рынке электрической энергии и мощности в период действия соответствующего аккредитива. Новое обеспечение должно быть предоставлено в течение 60 (шестидесяти) календарных дней с даты исключения соответствующего банка-эмитента из перечня аккредитованных организаций в системе финансовых гарантий на оптовом рынке электрической энергии и мощности.</w:t>
            </w:r>
          </w:p>
          <w:p w14:paraId="4DEC00FF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 целях исполнения требования по предоставлению нового обеспечения в данном случае поставщик мощности по договорам КОМ НГО вправе предоставить подтверждение исполнения открытого банком-эмитентом, исключенным из перечня аккредитованных организаций в системе финансовых гарантий на оптовом рынке электрической энергии и мощности, аккредитива со стороны банка, включенного в порядке, определенном </w:t>
            </w:r>
            <w:r w:rsidRPr="00DE33E8">
              <w:rPr>
                <w:rFonts w:ascii="Garamond" w:hAnsi="Garamond"/>
                <w:i/>
                <w:iCs/>
                <w:sz w:val="22"/>
                <w:szCs w:val="22"/>
                <w:highlight w:val="yellow"/>
                <w:lang w:eastAsia="en-US"/>
              </w:rPr>
              <w:t>Договором о присоединении к торговой системе оптового рынка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в 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п. 2.3 настоящего приложения (изменить открытый аккредитив путем включения в него условия о подтверждении аккредитива со стороны банка, включенного в перечень аккредитованных организаций в системе финансовых гарантий на оптовом рынке электрической энергии и мощности)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</w:t>
            </w:r>
          </w:p>
          <w:p w14:paraId="71EF08C1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5.1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0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. 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 случае если обеспечением по договорам КОМ НГО является штраф (денежная сумма) по договорам КОМ НГО, оплата которого осуществляется по аккредитиву, и исполняющий банк, подтвердивший исполнение аккредитива для уплаты штрафов по соглашению об уплате штрафов по договорам КОМ НГО по аккредитиву, исключен из перечня аккредитованных организаций в системе финансовых гарантий на оптовом рынке электрической энергии и мощности в период действия соответствующего аккредитива. Новое обеспечение должно быть предоставлено в течение 60 (шестидесяти) календарных дней с даты исключения соответствующего исполняющего банка из перечня аккредитованных организаций в системе финансовых гарантий на оптовом рынке электрической энергии и мощности.</w:t>
            </w:r>
          </w:p>
          <w:p w14:paraId="7A2FD74F" w14:textId="77777777" w:rsidR="00375407" w:rsidRPr="00DE33E8" w:rsidRDefault="00375407" w:rsidP="00916CBD">
            <w:pPr>
              <w:spacing w:before="120" w:after="120"/>
              <w:ind w:firstLine="645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 целях исполнения требования по предоставлению нового обеспечения в данном случае поставщик мощности по договорам КОМ НГО вправе предоставить подтверждение исполнения подтвержденного банком, исключенным из перечня аккредитованных организаций в системе финансовых гарантий на оптовом рынке электрической энергии и мощности, аккредитива со стороны банка, включенного в порядке, определенном </w:t>
            </w:r>
            <w:r w:rsidRPr="00DE33E8">
              <w:rPr>
                <w:rFonts w:ascii="Garamond" w:hAnsi="Garamond"/>
                <w:i/>
                <w:iCs/>
                <w:sz w:val="22"/>
                <w:szCs w:val="22"/>
                <w:highlight w:val="yellow"/>
                <w:lang w:eastAsia="en-US"/>
              </w:rPr>
              <w:t>Договором о присоединении к торговой системе оптового рынка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в 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п. 2.3 настоящего приложения (изменить выставленный аккредитив путем изменения подтверждающего банка на банк, включенный в порядке, определенном </w:t>
            </w:r>
            <w:r w:rsidRPr="00916CBD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Договором о присоединении к торговой системе оптового рынка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в перечень аккредитованных организаций в системе финансовых гарантий на оптовом рынке электрической энергии и мощности)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</w:t>
            </w:r>
          </w:p>
          <w:p w14:paraId="1863F401" w14:textId="77777777" w:rsidR="00375407" w:rsidRPr="00CB7AFB" w:rsidRDefault="00375407" w:rsidP="00916CBD">
            <w:pPr>
              <w:spacing w:before="120" w:after="120"/>
              <w:ind w:right="-26" w:firstLine="645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5.1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1</w:t>
            </w:r>
            <w:r w:rsidRPr="00404B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. </w:t>
            </w:r>
            <w:r w:rsidRPr="00DE33E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 случае если исполнение обязательств по договорам КОМ НГО обеспечивается банковской гарантией и банк-гарант, выпустивший данную банковскую гарантию, исключен из перечня аккредитованных организаций в системе финансовых гарантий на оптовом рынке электрической энергии и мощности либо у такого банка-гаранта отсутствует заключенное Соглашение о взаимодействии Гаранта, Авизующего банка и АО «ЦФР» с банком, авизовавшим предоставленную в ЦФР банковскую гарантию, в период действия гарантии. Новое обеспечение должно быть предоставлено в течение 60 (шестидесяти) календарных дней с даты исключения соответствующего банка-гаранта из перечня аккредитованных организаций в системе финансовых гарантий на оптовом рынке электрической энергии и мощности и должно соответствовать требованиям, изложенным в пункте 2.4 настоящего приложения.</w:t>
            </w:r>
          </w:p>
        </w:tc>
      </w:tr>
    </w:tbl>
    <w:p w14:paraId="26C3165B" w14:textId="77777777" w:rsidR="00375407" w:rsidRDefault="00375407" w:rsidP="00422A35">
      <w:pPr>
        <w:tabs>
          <w:tab w:val="left" w:pos="709"/>
        </w:tabs>
        <w:jc w:val="both"/>
        <w:rPr>
          <w:rFonts w:ascii="Garamond" w:hAnsi="Garamond"/>
          <w:b/>
        </w:rPr>
      </w:pPr>
    </w:p>
    <w:sectPr w:rsidR="00375407" w:rsidSect="00CE769E">
      <w:footerReference w:type="default" r:id="rId8"/>
      <w:footerReference w:type="first" r:id="rId9"/>
      <w:pgSz w:w="16838" w:h="11906" w:orient="landscape"/>
      <w:pgMar w:top="1134" w:right="851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15513" w14:textId="77777777" w:rsidR="007A607A" w:rsidRDefault="007A607A" w:rsidP="001845B5">
      <w:r>
        <w:separator/>
      </w:r>
    </w:p>
  </w:endnote>
  <w:endnote w:type="continuationSeparator" w:id="0">
    <w:p w14:paraId="09B08F72" w14:textId="77777777" w:rsidR="007A607A" w:rsidRDefault="007A607A" w:rsidP="0018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10143"/>
      <w:docPartObj>
        <w:docPartGallery w:val="Page Numbers (Bottom of Page)"/>
        <w:docPartUnique/>
      </w:docPartObj>
    </w:sdtPr>
    <w:sdtContent>
      <w:p w14:paraId="16D9018B" w14:textId="62CA72DC" w:rsidR="007A607A" w:rsidRDefault="007A607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CBD">
          <w:rPr>
            <w:noProof/>
          </w:rPr>
          <w:t>2</w:t>
        </w:r>
        <w:r>
          <w:fldChar w:fldCharType="end"/>
        </w:r>
      </w:p>
    </w:sdtContent>
  </w:sdt>
  <w:p w14:paraId="0FF50037" w14:textId="77777777" w:rsidR="007A607A" w:rsidRDefault="007A607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172921"/>
      <w:docPartObj>
        <w:docPartGallery w:val="Page Numbers (Bottom of Page)"/>
        <w:docPartUnique/>
      </w:docPartObj>
    </w:sdtPr>
    <w:sdtContent>
      <w:p w14:paraId="7E79E42A" w14:textId="45DD1BCA" w:rsidR="007A607A" w:rsidRDefault="007A607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CBD">
          <w:rPr>
            <w:noProof/>
          </w:rPr>
          <w:t>1</w:t>
        </w:r>
        <w:r>
          <w:fldChar w:fldCharType="end"/>
        </w:r>
      </w:p>
    </w:sdtContent>
  </w:sdt>
  <w:p w14:paraId="571C9480" w14:textId="77777777" w:rsidR="007A607A" w:rsidRDefault="007A607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BCDBE" w14:textId="77777777" w:rsidR="007A607A" w:rsidRDefault="007A607A" w:rsidP="001845B5">
      <w:r>
        <w:separator/>
      </w:r>
    </w:p>
  </w:footnote>
  <w:footnote w:type="continuationSeparator" w:id="0">
    <w:p w14:paraId="25ED3278" w14:textId="77777777" w:rsidR="007A607A" w:rsidRDefault="007A607A" w:rsidP="00184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52D"/>
    <w:multiLevelType w:val="hybridMultilevel"/>
    <w:tmpl w:val="09B6CFE2"/>
    <w:lvl w:ilvl="0" w:tplc="4E905A0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65D22"/>
    <w:multiLevelType w:val="hybridMultilevel"/>
    <w:tmpl w:val="6EFC1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198A"/>
    <w:multiLevelType w:val="hybridMultilevel"/>
    <w:tmpl w:val="D8ACDA48"/>
    <w:lvl w:ilvl="0" w:tplc="2D1C0360">
      <w:start w:val="1"/>
      <w:numFmt w:val="decimal"/>
      <w:suff w:val="space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10BF1867"/>
    <w:multiLevelType w:val="multilevel"/>
    <w:tmpl w:val="5B08AF20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20869B3"/>
    <w:multiLevelType w:val="hybridMultilevel"/>
    <w:tmpl w:val="D744D8A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05959"/>
    <w:multiLevelType w:val="hybridMultilevel"/>
    <w:tmpl w:val="DCF6741A"/>
    <w:lvl w:ilvl="0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6" w15:restartNumberingAfterBreak="0">
    <w:nsid w:val="18CC7548"/>
    <w:multiLevelType w:val="hybridMultilevel"/>
    <w:tmpl w:val="19FAECE8"/>
    <w:lvl w:ilvl="0" w:tplc="041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1D630D35"/>
    <w:multiLevelType w:val="hybridMultilevel"/>
    <w:tmpl w:val="C418597C"/>
    <w:lvl w:ilvl="0" w:tplc="699CF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D209B"/>
    <w:multiLevelType w:val="hybridMultilevel"/>
    <w:tmpl w:val="0E2CFAA6"/>
    <w:lvl w:ilvl="0" w:tplc="FFFFFFFF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D16B73"/>
    <w:multiLevelType w:val="hybridMultilevel"/>
    <w:tmpl w:val="E03E562C"/>
    <w:lvl w:ilvl="0" w:tplc="31F8483C">
      <w:start w:val="1"/>
      <w:numFmt w:val="bullet"/>
      <w:lvlText w:val="–"/>
      <w:lvlJc w:val="left"/>
      <w:pPr>
        <w:ind w:left="1287" w:hanging="360"/>
      </w:pPr>
      <w:rPr>
        <w:rFonts w:ascii="Garamond" w:hAnsi="Garamond" w:hint="default"/>
        <w:b w:val="0"/>
        <w:i w:val="0"/>
        <w:color w:val="auto"/>
        <w:sz w:val="22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D4F5923"/>
    <w:multiLevelType w:val="hybridMultilevel"/>
    <w:tmpl w:val="CD0AABBE"/>
    <w:lvl w:ilvl="0" w:tplc="A21CB4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030644C"/>
    <w:multiLevelType w:val="multilevel"/>
    <w:tmpl w:val="7BE69FC8"/>
    <w:lvl w:ilvl="0">
      <w:start w:val="6"/>
      <w:numFmt w:val="decimal"/>
      <w:lvlText w:val="%1."/>
      <w:lvlJc w:val="left"/>
      <w:pPr>
        <w:ind w:left="360" w:hanging="360"/>
      </w:pPr>
      <w:rPr>
        <w:rFonts w:ascii="Garamond" w:hAnsi="Garamond" w:hint="default"/>
        <w:sz w:val="22"/>
      </w:rPr>
    </w:lvl>
    <w:lvl w:ilvl="1">
      <w:start w:val="2"/>
      <w:numFmt w:val="decimal"/>
      <w:lvlText w:val="%1.%2."/>
      <w:lvlJc w:val="left"/>
      <w:pPr>
        <w:ind w:left="1363" w:hanging="360"/>
      </w:pPr>
      <w:rPr>
        <w:rFonts w:ascii="Garamond" w:hAnsi="Garamond" w:hint="default"/>
        <w:sz w:val="22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ascii="Garamond" w:hAnsi="Garamond" w:hint="default"/>
        <w:sz w:val="22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ascii="Garamond" w:hAnsi="Garamond" w:hint="default"/>
        <w:sz w:val="22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ascii="Garamond" w:hAnsi="Garamond" w:hint="default"/>
        <w:sz w:val="22"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ascii="Garamond" w:hAnsi="Garamond" w:hint="default"/>
        <w:sz w:val="22"/>
      </w:rPr>
    </w:lvl>
    <w:lvl w:ilvl="6">
      <w:start w:val="1"/>
      <w:numFmt w:val="decimal"/>
      <w:lvlText w:val="%1.%2.%3.%4.%5.%6.%7."/>
      <w:lvlJc w:val="left"/>
      <w:pPr>
        <w:ind w:left="7098" w:hanging="1080"/>
      </w:pPr>
      <w:rPr>
        <w:rFonts w:ascii="Garamond" w:hAnsi="Garamond" w:hint="default"/>
        <w:sz w:val="22"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ascii="Garamond" w:hAnsi="Garamond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9464" w:hanging="1440"/>
      </w:pPr>
      <w:rPr>
        <w:rFonts w:ascii="Garamond" w:hAnsi="Garamond" w:hint="default"/>
        <w:sz w:val="22"/>
      </w:rPr>
    </w:lvl>
  </w:abstractNum>
  <w:abstractNum w:abstractNumId="12" w15:restartNumberingAfterBreak="0">
    <w:nsid w:val="3D5E7FD8"/>
    <w:multiLevelType w:val="hybridMultilevel"/>
    <w:tmpl w:val="A73426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B8450ED"/>
    <w:multiLevelType w:val="hybridMultilevel"/>
    <w:tmpl w:val="695E967E"/>
    <w:lvl w:ilvl="0" w:tplc="AB8473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46749"/>
    <w:multiLevelType w:val="hybridMultilevel"/>
    <w:tmpl w:val="1AC2F8B4"/>
    <w:lvl w:ilvl="0" w:tplc="1F66E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70C4C"/>
    <w:multiLevelType w:val="hybridMultilevel"/>
    <w:tmpl w:val="D0BC43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8D0F9C"/>
    <w:multiLevelType w:val="multilevel"/>
    <w:tmpl w:val="071860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russianLower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0162119"/>
    <w:multiLevelType w:val="hybridMultilevel"/>
    <w:tmpl w:val="CD0AABB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50965C86"/>
    <w:multiLevelType w:val="hybridMultilevel"/>
    <w:tmpl w:val="71AC5F6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81E3D"/>
    <w:multiLevelType w:val="multilevel"/>
    <w:tmpl w:val="4CE8A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2"/>
        <w:szCs w:val="22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2D63256"/>
    <w:multiLevelType w:val="hybridMultilevel"/>
    <w:tmpl w:val="807EDFDE"/>
    <w:lvl w:ilvl="0" w:tplc="F716B88A">
      <w:start w:val="10"/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573263"/>
    <w:multiLevelType w:val="hybridMultilevel"/>
    <w:tmpl w:val="5F3CE7D0"/>
    <w:lvl w:ilvl="0" w:tplc="680C0496">
      <w:start w:val="1"/>
      <w:numFmt w:val="russianLower"/>
      <w:lvlText w:val="%1)"/>
      <w:lvlJc w:val="left"/>
      <w:pPr>
        <w:ind w:left="2056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22" w15:restartNumberingAfterBreak="0">
    <w:nsid w:val="5D4E470E"/>
    <w:multiLevelType w:val="hybridMultilevel"/>
    <w:tmpl w:val="4ECA049A"/>
    <w:lvl w:ilvl="0" w:tplc="AFB06DCA">
      <w:numFmt w:val="bullet"/>
      <w:lvlText w:val="–"/>
      <w:lvlJc w:val="left"/>
      <w:pPr>
        <w:ind w:left="3175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35" w:hanging="360"/>
      </w:pPr>
      <w:rPr>
        <w:rFonts w:ascii="Wingdings" w:hAnsi="Wingdings" w:hint="default"/>
      </w:rPr>
    </w:lvl>
  </w:abstractNum>
  <w:abstractNum w:abstractNumId="23" w15:restartNumberingAfterBreak="0">
    <w:nsid w:val="638F29A0"/>
    <w:multiLevelType w:val="hybridMultilevel"/>
    <w:tmpl w:val="3FBEC8A6"/>
    <w:lvl w:ilvl="0" w:tplc="3322E9C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5BA5968"/>
    <w:multiLevelType w:val="hybridMultilevel"/>
    <w:tmpl w:val="03AE6BE2"/>
    <w:lvl w:ilvl="0" w:tplc="5FA0F3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0464F"/>
    <w:multiLevelType w:val="multilevel"/>
    <w:tmpl w:val="36D268E0"/>
    <w:lvl w:ilvl="0">
      <w:start w:val="1"/>
      <w:numFmt w:val="decimal"/>
      <w:suff w:val="nothing"/>
      <w:lvlText w:val="%1)"/>
      <w:lvlJc w:val="left"/>
      <w:pPr>
        <w:ind w:left="170" w:hanging="17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66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cs="Times New Roman" w:hint="default"/>
      </w:rPr>
    </w:lvl>
    <w:lvl w:ilvl="3">
      <w:start w:val="1"/>
      <w:numFmt w:val="decimal"/>
      <w:lvlText w:val="%1.%2.%3..%4"/>
      <w:lvlJc w:val="left"/>
      <w:pPr>
        <w:tabs>
          <w:tab w:val="num" w:pos="0"/>
        </w:tabs>
        <w:ind w:left="0" w:firstLine="0"/>
      </w:pPr>
      <w:rPr>
        <w:rFonts w:cs="Times New Roman" w:hint="default"/>
        <w:i w:val="0"/>
      </w:rPr>
    </w:lvl>
    <w:lvl w:ilvl="4">
      <w:start w:val="1"/>
      <w:numFmt w:val="decimal"/>
      <w:lvlText w:val="%5)"/>
      <w:lvlJc w:val="left"/>
      <w:pPr>
        <w:tabs>
          <w:tab w:val="num" w:pos="1844"/>
        </w:tabs>
        <w:ind w:left="0" w:firstLine="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6" w15:restartNumberingAfterBreak="0">
    <w:nsid w:val="6FE319F2"/>
    <w:multiLevelType w:val="multilevel"/>
    <w:tmpl w:val="071860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russianLower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1C85BEB"/>
    <w:multiLevelType w:val="multilevel"/>
    <w:tmpl w:val="5B08AF20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4C33796"/>
    <w:multiLevelType w:val="multilevel"/>
    <w:tmpl w:val="67A23742"/>
    <w:lvl w:ilvl="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436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28"/>
  </w:num>
  <w:num w:numId="5">
    <w:abstractNumId w:val="23"/>
  </w:num>
  <w:num w:numId="6">
    <w:abstractNumId w:val="19"/>
  </w:num>
  <w:num w:numId="7">
    <w:abstractNumId w:val="14"/>
  </w:num>
  <w:num w:numId="8">
    <w:abstractNumId w:val="15"/>
  </w:num>
  <w:num w:numId="9">
    <w:abstractNumId w:val="21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  <w:num w:numId="14">
    <w:abstractNumId w:val="2"/>
  </w:num>
  <w:num w:numId="15">
    <w:abstractNumId w:val="25"/>
  </w:num>
  <w:num w:numId="16">
    <w:abstractNumId w:val="24"/>
  </w:num>
  <w:num w:numId="17">
    <w:abstractNumId w:val="6"/>
  </w:num>
  <w:num w:numId="18">
    <w:abstractNumId w:val="5"/>
  </w:num>
  <w:num w:numId="19">
    <w:abstractNumId w:val="22"/>
  </w:num>
  <w:num w:numId="20">
    <w:abstractNumId w:val="26"/>
  </w:num>
  <w:num w:numId="21">
    <w:abstractNumId w:val="16"/>
  </w:num>
  <w:num w:numId="22">
    <w:abstractNumId w:val="3"/>
  </w:num>
  <w:num w:numId="23">
    <w:abstractNumId w:val="13"/>
  </w:num>
  <w:num w:numId="24">
    <w:abstractNumId w:val="4"/>
  </w:num>
  <w:num w:numId="25">
    <w:abstractNumId w:val="0"/>
  </w:num>
  <w:num w:numId="26">
    <w:abstractNumId w:val="8"/>
  </w:num>
  <w:num w:numId="27">
    <w:abstractNumId w:val="20"/>
  </w:num>
  <w:num w:numId="28">
    <w:abstractNumId w:val="1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B5"/>
    <w:rsid w:val="0000465D"/>
    <w:rsid w:val="00015139"/>
    <w:rsid w:val="00034154"/>
    <w:rsid w:val="00050AA4"/>
    <w:rsid w:val="00050C84"/>
    <w:rsid w:val="0005284D"/>
    <w:rsid w:val="000563BB"/>
    <w:rsid w:val="0006561E"/>
    <w:rsid w:val="00070C4B"/>
    <w:rsid w:val="00072F82"/>
    <w:rsid w:val="00073D2E"/>
    <w:rsid w:val="000909B8"/>
    <w:rsid w:val="00091A77"/>
    <w:rsid w:val="00093CB5"/>
    <w:rsid w:val="000A2814"/>
    <w:rsid w:val="000A2FA8"/>
    <w:rsid w:val="000B128C"/>
    <w:rsid w:val="000C7F2E"/>
    <w:rsid w:val="000D268A"/>
    <w:rsid w:val="000E3CD1"/>
    <w:rsid w:val="000F07BA"/>
    <w:rsid w:val="000F2E7A"/>
    <w:rsid w:val="000F3924"/>
    <w:rsid w:val="000F68DF"/>
    <w:rsid w:val="00101C01"/>
    <w:rsid w:val="00101E89"/>
    <w:rsid w:val="0010432F"/>
    <w:rsid w:val="00117C9A"/>
    <w:rsid w:val="001244FF"/>
    <w:rsid w:val="0013405A"/>
    <w:rsid w:val="001373F0"/>
    <w:rsid w:val="00137770"/>
    <w:rsid w:val="00144CC0"/>
    <w:rsid w:val="00152CC0"/>
    <w:rsid w:val="0016631F"/>
    <w:rsid w:val="001760F1"/>
    <w:rsid w:val="001762B1"/>
    <w:rsid w:val="00183189"/>
    <w:rsid w:val="001841C1"/>
    <w:rsid w:val="001845B5"/>
    <w:rsid w:val="00194EE4"/>
    <w:rsid w:val="001A1D7E"/>
    <w:rsid w:val="001A1FB8"/>
    <w:rsid w:val="001B4092"/>
    <w:rsid w:val="001C34B1"/>
    <w:rsid w:val="001D7FE7"/>
    <w:rsid w:val="001E528C"/>
    <w:rsid w:val="001E71D6"/>
    <w:rsid w:val="00205BFF"/>
    <w:rsid w:val="00207A3E"/>
    <w:rsid w:val="00211B93"/>
    <w:rsid w:val="00224FC2"/>
    <w:rsid w:val="002306C6"/>
    <w:rsid w:val="00234CD1"/>
    <w:rsid w:val="00235575"/>
    <w:rsid w:val="00256932"/>
    <w:rsid w:val="002618DA"/>
    <w:rsid w:val="00265C00"/>
    <w:rsid w:val="0027165D"/>
    <w:rsid w:val="00274243"/>
    <w:rsid w:val="00281B45"/>
    <w:rsid w:val="00283128"/>
    <w:rsid w:val="00290681"/>
    <w:rsid w:val="00291F36"/>
    <w:rsid w:val="0029231A"/>
    <w:rsid w:val="0029312E"/>
    <w:rsid w:val="002B7DEA"/>
    <w:rsid w:val="002D34B0"/>
    <w:rsid w:val="002E09F8"/>
    <w:rsid w:val="003069FD"/>
    <w:rsid w:val="003111FB"/>
    <w:rsid w:val="00312B0F"/>
    <w:rsid w:val="00314398"/>
    <w:rsid w:val="00315A8B"/>
    <w:rsid w:val="00316225"/>
    <w:rsid w:val="00324D8D"/>
    <w:rsid w:val="00362175"/>
    <w:rsid w:val="003646B6"/>
    <w:rsid w:val="00375407"/>
    <w:rsid w:val="0037708A"/>
    <w:rsid w:val="00382F6B"/>
    <w:rsid w:val="00394461"/>
    <w:rsid w:val="003A18F3"/>
    <w:rsid w:val="003B0440"/>
    <w:rsid w:val="003B200D"/>
    <w:rsid w:val="003B4250"/>
    <w:rsid w:val="003B60DF"/>
    <w:rsid w:val="003D1ABF"/>
    <w:rsid w:val="003D39AE"/>
    <w:rsid w:val="003D4D86"/>
    <w:rsid w:val="003E12E2"/>
    <w:rsid w:val="003E5D3F"/>
    <w:rsid w:val="00406D4E"/>
    <w:rsid w:val="0041209D"/>
    <w:rsid w:val="0041590B"/>
    <w:rsid w:val="00417778"/>
    <w:rsid w:val="00421AC9"/>
    <w:rsid w:val="00422A35"/>
    <w:rsid w:val="00431E32"/>
    <w:rsid w:val="00431F5C"/>
    <w:rsid w:val="0043674D"/>
    <w:rsid w:val="00442ED0"/>
    <w:rsid w:val="004476EF"/>
    <w:rsid w:val="00452397"/>
    <w:rsid w:val="00452D0B"/>
    <w:rsid w:val="004567E5"/>
    <w:rsid w:val="00470704"/>
    <w:rsid w:val="00474F39"/>
    <w:rsid w:val="00476A6D"/>
    <w:rsid w:val="00483F8C"/>
    <w:rsid w:val="004915F8"/>
    <w:rsid w:val="00494B65"/>
    <w:rsid w:val="004A27EA"/>
    <w:rsid w:val="004B5193"/>
    <w:rsid w:val="004C35FE"/>
    <w:rsid w:val="004D57B2"/>
    <w:rsid w:val="004E10F5"/>
    <w:rsid w:val="004E2379"/>
    <w:rsid w:val="004E3C36"/>
    <w:rsid w:val="004F5E96"/>
    <w:rsid w:val="0051046B"/>
    <w:rsid w:val="00512D41"/>
    <w:rsid w:val="00515E6D"/>
    <w:rsid w:val="005163B0"/>
    <w:rsid w:val="00536269"/>
    <w:rsid w:val="00536CD8"/>
    <w:rsid w:val="00543C65"/>
    <w:rsid w:val="005543D0"/>
    <w:rsid w:val="00557E6D"/>
    <w:rsid w:val="005733CB"/>
    <w:rsid w:val="00574A83"/>
    <w:rsid w:val="00577F8E"/>
    <w:rsid w:val="005A286C"/>
    <w:rsid w:val="005A39E5"/>
    <w:rsid w:val="005B22AB"/>
    <w:rsid w:val="005C7FCA"/>
    <w:rsid w:val="005D0625"/>
    <w:rsid w:val="005D1F6F"/>
    <w:rsid w:val="005D2EBE"/>
    <w:rsid w:val="005D65D2"/>
    <w:rsid w:val="005E1C79"/>
    <w:rsid w:val="005E5534"/>
    <w:rsid w:val="00610604"/>
    <w:rsid w:val="00617394"/>
    <w:rsid w:val="00635492"/>
    <w:rsid w:val="00647554"/>
    <w:rsid w:val="0065423F"/>
    <w:rsid w:val="00664E57"/>
    <w:rsid w:val="00666028"/>
    <w:rsid w:val="006A01C5"/>
    <w:rsid w:val="006B390F"/>
    <w:rsid w:val="006C4D75"/>
    <w:rsid w:val="006C5B61"/>
    <w:rsid w:val="006D0411"/>
    <w:rsid w:val="006F05CC"/>
    <w:rsid w:val="006F1507"/>
    <w:rsid w:val="006F31E9"/>
    <w:rsid w:val="006F3506"/>
    <w:rsid w:val="006F4D98"/>
    <w:rsid w:val="006F60E1"/>
    <w:rsid w:val="00704A48"/>
    <w:rsid w:val="00715A09"/>
    <w:rsid w:val="00717E32"/>
    <w:rsid w:val="00723325"/>
    <w:rsid w:val="00741213"/>
    <w:rsid w:val="007477C5"/>
    <w:rsid w:val="007528D5"/>
    <w:rsid w:val="007665A4"/>
    <w:rsid w:val="007738DF"/>
    <w:rsid w:val="00791C68"/>
    <w:rsid w:val="00791FDF"/>
    <w:rsid w:val="007950D2"/>
    <w:rsid w:val="007966BE"/>
    <w:rsid w:val="007A16AE"/>
    <w:rsid w:val="007A607A"/>
    <w:rsid w:val="007B73F1"/>
    <w:rsid w:val="007D3963"/>
    <w:rsid w:val="007D4424"/>
    <w:rsid w:val="007D6579"/>
    <w:rsid w:val="007E1767"/>
    <w:rsid w:val="007E2648"/>
    <w:rsid w:val="00816128"/>
    <w:rsid w:val="00825EA4"/>
    <w:rsid w:val="00827DBF"/>
    <w:rsid w:val="008443FB"/>
    <w:rsid w:val="0084450C"/>
    <w:rsid w:val="00853859"/>
    <w:rsid w:val="008554AD"/>
    <w:rsid w:val="008757D7"/>
    <w:rsid w:val="00886537"/>
    <w:rsid w:val="00892A60"/>
    <w:rsid w:val="008946FA"/>
    <w:rsid w:val="00896C40"/>
    <w:rsid w:val="008B02BC"/>
    <w:rsid w:val="008C1E1C"/>
    <w:rsid w:val="008D00FD"/>
    <w:rsid w:val="008D287A"/>
    <w:rsid w:val="00903ED2"/>
    <w:rsid w:val="009107EA"/>
    <w:rsid w:val="00911F01"/>
    <w:rsid w:val="009156A5"/>
    <w:rsid w:val="0091626F"/>
    <w:rsid w:val="00916CBD"/>
    <w:rsid w:val="00922C45"/>
    <w:rsid w:val="00930650"/>
    <w:rsid w:val="009338DB"/>
    <w:rsid w:val="00950B60"/>
    <w:rsid w:val="00953B76"/>
    <w:rsid w:val="00973111"/>
    <w:rsid w:val="00974923"/>
    <w:rsid w:val="0098209D"/>
    <w:rsid w:val="009824BD"/>
    <w:rsid w:val="009859B3"/>
    <w:rsid w:val="0099220A"/>
    <w:rsid w:val="00995A2A"/>
    <w:rsid w:val="00995D92"/>
    <w:rsid w:val="009C2A17"/>
    <w:rsid w:val="009D69C6"/>
    <w:rsid w:val="009E05AF"/>
    <w:rsid w:val="009E529D"/>
    <w:rsid w:val="009F02C7"/>
    <w:rsid w:val="009F0A60"/>
    <w:rsid w:val="009F133C"/>
    <w:rsid w:val="00A12717"/>
    <w:rsid w:val="00A15094"/>
    <w:rsid w:val="00A2252C"/>
    <w:rsid w:val="00A3472A"/>
    <w:rsid w:val="00A361B2"/>
    <w:rsid w:val="00A419EA"/>
    <w:rsid w:val="00A41B78"/>
    <w:rsid w:val="00A61301"/>
    <w:rsid w:val="00A620BC"/>
    <w:rsid w:val="00A62875"/>
    <w:rsid w:val="00A80806"/>
    <w:rsid w:val="00AA5FA9"/>
    <w:rsid w:val="00AB3E6A"/>
    <w:rsid w:val="00AD26F2"/>
    <w:rsid w:val="00AD361C"/>
    <w:rsid w:val="00AE2F75"/>
    <w:rsid w:val="00AF1FA6"/>
    <w:rsid w:val="00AF3914"/>
    <w:rsid w:val="00AF51ED"/>
    <w:rsid w:val="00AF5EDD"/>
    <w:rsid w:val="00B051A7"/>
    <w:rsid w:val="00B0670C"/>
    <w:rsid w:val="00B1169C"/>
    <w:rsid w:val="00B35074"/>
    <w:rsid w:val="00B42164"/>
    <w:rsid w:val="00B536B5"/>
    <w:rsid w:val="00B62CBF"/>
    <w:rsid w:val="00B67D42"/>
    <w:rsid w:val="00B7299B"/>
    <w:rsid w:val="00B821E5"/>
    <w:rsid w:val="00B8542F"/>
    <w:rsid w:val="00BA3524"/>
    <w:rsid w:val="00BA67EB"/>
    <w:rsid w:val="00BC05B2"/>
    <w:rsid w:val="00BC56DC"/>
    <w:rsid w:val="00BD3C6D"/>
    <w:rsid w:val="00BD60A7"/>
    <w:rsid w:val="00BD652F"/>
    <w:rsid w:val="00C15C78"/>
    <w:rsid w:val="00C20028"/>
    <w:rsid w:val="00C24778"/>
    <w:rsid w:val="00C247F6"/>
    <w:rsid w:val="00C40774"/>
    <w:rsid w:val="00C51A41"/>
    <w:rsid w:val="00C63ED4"/>
    <w:rsid w:val="00C70253"/>
    <w:rsid w:val="00C7560E"/>
    <w:rsid w:val="00C81DC5"/>
    <w:rsid w:val="00C825DF"/>
    <w:rsid w:val="00CA4F59"/>
    <w:rsid w:val="00CB3BCD"/>
    <w:rsid w:val="00CB6416"/>
    <w:rsid w:val="00CB7AFB"/>
    <w:rsid w:val="00CC24D8"/>
    <w:rsid w:val="00CE268F"/>
    <w:rsid w:val="00CE769E"/>
    <w:rsid w:val="00CF7ABF"/>
    <w:rsid w:val="00D050EE"/>
    <w:rsid w:val="00D05CA6"/>
    <w:rsid w:val="00D236D5"/>
    <w:rsid w:val="00D25575"/>
    <w:rsid w:val="00D34853"/>
    <w:rsid w:val="00D37B6E"/>
    <w:rsid w:val="00D402DB"/>
    <w:rsid w:val="00D83642"/>
    <w:rsid w:val="00D910E0"/>
    <w:rsid w:val="00D912A9"/>
    <w:rsid w:val="00D91D2D"/>
    <w:rsid w:val="00D93D2D"/>
    <w:rsid w:val="00D96927"/>
    <w:rsid w:val="00DA6EF3"/>
    <w:rsid w:val="00DB5658"/>
    <w:rsid w:val="00DB5E44"/>
    <w:rsid w:val="00DE170E"/>
    <w:rsid w:val="00DF11C6"/>
    <w:rsid w:val="00E11C2A"/>
    <w:rsid w:val="00E11E10"/>
    <w:rsid w:val="00E13697"/>
    <w:rsid w:val="00E211FB"/>
    <w:rsid w:val="00E21557"/>
    <w:rsid w:val="00E26629"/>
    <w:rsid w:val="00E30DA7"/>
    <w:rsid w:val="00E515E4"/>
    <w:rsid w:val="00E63A57"/>
    <w:rsid w:val="00E6707B"/>
    <w:rsid w:val="00E76D24"/>
    <w:rsid w:val="00E80704"/>
    <w:rsid w:val="00E82B6C"/>
    <w:rsid w:val="00E90E2A"/>
    <w:rsid w:val="00E93AE6"/>
    <w:rsid w:val="00E97652"/>
    <w:rsid w:val="00EA369E"/>
    <w:rsid w:val="00EA5D6F"/>
    <w:rsid w:val="00EA6DC6"/>
    <w:rsid w:val="00EA7F16"/>
    <w:rsid w:val="00EB3694"/>
    <w:rsid w:val="00EB3D02"/>
    <w:rsid w:val="00EC3517"/>
    <w:rsid w:val="00EC5655"/>
    <w:rsid w:val="00EC6429"/>
    <w:rsid w:val="00ED523D"/>
    <w:rsid w:val="00ED7C25"/>
    <w:rsid w:val="00EE0DBF"/>
    <w:rsid w:val="00EE2AE9"/>
    <w:rsid w:val="00EE5482"/>
    <w:rsid w:val="00EF0A40"/>
    <w:rsid w:val="00F1510D"/>
    <w:rsid w:val="00F210F6"/>
    <w:rsid w:val="00F36B83"/>
    <w:rsid w:val="00F472EB"/>
    <w:rsid w:val="00F6063D"/>
    <w:rsid w:val="00F637A4"/>
    <w:rsid w:val="00F63C7A"/>
    <w:rsid w:val="00F641C9"/>
    <w:rsid w:val="00F71B7F"/>
    <w:rsid w:val="00F73C87"/>
    <w:rsid w:val="00F73CBF"/>
    <w:rsid w:val="00F7763A"/>
    <w:rsid w:val="00F8037A"/>
    <w:rsid w:val="00F8175B"/>
    <w:rsid w:val="00F848F2"/>
    <w:rsid w:val="00F85CEA"/>
    <w:rsid w:val="00F92B9D"/>
    <w:rsid w:val="00F96101"/>
    <w:rsid w:val="00FA7F24"/>
    <w:rsid w:val="00FD2D04"/>
    <w:rsid w:val="00FD5984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8695"/>
  <w15:chartTrackingRefBased/>
  <w15:docId w15:val="{F6CDA7A4-0E8E-44BD-A12B-000DE22E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5B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4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5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5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5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5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4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184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45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45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4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45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4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4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45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4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4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4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45B5"/>
    <w:rPr>
      <w:i/>
      <w:iCs/>
      <w:color w:val="404040" w:themeColor="text1" w:themeTint="BF"/>
    </w:rPr>
  </w:style>
  <w:style w:type="paragraph" w:styleId="a7">
    <w:name w:val="List Paragraph"/>
    <w:aliases w:val="Paragraphe de liste1,lp1,Num Bullet 1,Table Number Paragraph,Bullet Number,Bulletr List Paragraph,列出段落,列出段落1,List Paragraph2,List Paragraph21,Listeafsnit1,Parágrafo da Lista1,Bullet list,Ref,List Paragraph"/>
    <w:basedOn w:val="a"/>
    <w:link w:val="a8"/>
    <w:uiPriority w:val="99"/>
    <w:qFormat/>
    <w:rsid w:val="001845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845B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84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845B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845B5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1845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845B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1845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845B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8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7"/>
    <w:uiPriority w:val="99"/>
    <w:qFormat/>
    <w:rsid w:val="001A1D7E"/>
  </w:style>
  <w:style w:type="paragraph" w:customStyle="1" w:styleId="af1">
    <w:name w:val="Простой"/>
    <w:basedOn w:val="a"/>
    <w:uiPriority w:val="99"/>
    <w:rsid w:val="001A1D7E"/>
    <w:pPr>
      <w:suppressAutoHyphens/>
      <w:spacing w:before="120"/>
    </w:pPr>
    <w:rPr>
      <w:rFonts w:ascii="Arial" w:eastAsia="Batang" w:hAnsi="Arial" w:cs="Arial"/>
      <w:spacing w:val="-5"/>
      <w:sz w:val="20"/>
      <w:szCs w:val="20"/>
      <w:lang w:eastAsia="ar-SA"/>
    </w:rPr>
  </w:style>
  <w:style w:type="table" w:styleId="af2">
    <w:name w:val="Table Grid"/>
    <w:basedOn w:val="a1"/>
    <w:rsid w:val="00AF1FA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EA6DC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4">
    <w:name w:val="annotation reference"/>
    <w:basedOn w:val="a0"/>
    <w:uiPriority w:val="99"/>
    <w:unhideWhenUsed/>
    <w:qFormat/>
    <w:rsid w:val="00312B0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12B0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12B0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12B0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12B0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9">
    <w:name w:val="Body Text"/>
    <w:aliases w:val="body text"/>
    <w:basedOn w:val="a"/>
    <w:link w:val="afa"/>
    <w:uiPriority w:val="99"/>
    <w:rsid w:val="00CB7AFB"/>
    <w:pPr>
      <w:overflowPunct w:val="0"/>
      <w:autoSpaceDE w:val="0"/>
      <w:autoSpaceDN w:val="0"/>
      <w:adjustRightInd w:val="0"/>
      <w:spacing w:before="180" w:after="240"/>
      <w:textAlignment w:val="baseline"/>
    </w:pPr>
    <w:rPr>
      <w:rFonts w:ascii="Garamond" w:hAnsi="Garamond"/>
      <w:sz w:val="22"/>
      <w:szCs w:val="20"/>
      <w:lang w:val="en-GB" w:eastAsia="en-US"/>
    </w:rPr>
  </w:style>
  <w:style w:type="character" w:customStyle="1" w:styleId="afa">
    <w:name w:val="Основной текст Знак"/>
    <w:aliases w:val="body text Знак"/>
    <w:basedOn w:val="a0"/>
    <w:link w:val="af9"/>
    <w:uiPriority w:val="99"/>
    <w:rsid w:val="00CB7AFB"/>
    <w:rPr>
      <w:rFonts w:ascii="Garamond" w:eastAsia="Times New Roman" w:hAnsi="Garamond" w:cs="Times New Roman"/>
      <w:kern w:val="0"/>
      <w:sz w:val="22"/>
      <w:szCs w:val="20"/>
      <w:lang w:val="en-GB"/>
      <w14:ligatures w14:val="none"/>
    </w:rPr>
  </w:style>
  <w:style w:type="paragraph" w:styleId="afb">
    <w:name w:val="Balloon Text"/>
    <w:basedOn w:val="a"/>
    <w:link w:val="afc"/>
    <w:uiPriority w:val="99"/>
    <w:semiHidden/>
    <w:unhideWhenUsed/>
    <w:rsid w:val="0041590B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1590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fd">
    <w:name w:val="Placeholder Text"/>
    <w:basedOn w:val="a0"/>
    <w:uiPriority w:val="99"/>
    <w:semiHidden/>
    <w:rsid w:val="00C825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144E4-3FB0-4FE8-8B8B-79887CC5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Татьяна Алексеевна</dc:creator>
  <cp:keywords/>
  <dc:description/>
  <cp:lastModifiedBy>Пряхина Ирина Игоревна</cp:lastModifiedBy>
  <cp:revision>13</cp:revision>
  <dcterms:created xsi:type="dcterms:W3CDTF">2025-03-19T14:27:00Z</dcterms:created>
  <dcterms:modified xsi:type="dcterms:W3CDTF">2025-03-25T18:29:00Z</dcterms:modified>
</cp:coreProperties>
</file>