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272" w:rsidRDefault="008B1272" w:rsidP="008A3EA9">
      <w:pPr>
        <w:ind w:right="-11"/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Garamond" w:hAnsi="Garamond" w:cs="Arial"/>
          <w:b/>
          <w:sz w:val="28"/>
          <w:szCs w:val="28"/>
        </w:rPr>
        <w:t>IX.2.</w:t>
      </w:r>
      <w:r w:rsidRPr="0047513B">
        <w:rPr>
          <w:rFonts w:ascii="Garamond" w:hAnsi="Garamond" w:cs="Arial"/>
          <w:b/>
          <w:sz w:val="28"/>
          <w:szCs w:val="28"/>
        </w:rPr>
        <w:t xml:space="preserve"> </w:t>
      </w:r>
      <w:bookmarkStart w:id="0" w:name="_GoBack"/>
      <w:r w:rsidRPr="00350DA9">
        <w:rPr>
          <w:rFonts w:ascii="Garamond" w:hAnsi="Garamond" w:cs="Arial"/>
          <w:b/>
          <w:sz w:val="28"/>
          <w:szCs w:val="28"/>
        </w:rPr>
        <w:t xml:space="preserve">Изменения, </w:t>
      </w:r>
      <w:r w:rsidRPr="00350DA9"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t xml:space="preserve">связанные с </w:t>
      </w:r>
      <w:r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t>уточнением используемых формулировок и значений</w:t>
      </w:r>
      <w:bookmarkEnd w:id="0"/>
    </w:p>
    <w:p w:rsidR="008B1272" w:rsidRPr="0047513B" w:rsidRDefault="008B1272" w:rsidP="0047513B">
      <w:pPr>
        <w:ind w:right="-11"/>
        <w:jc w:val="right"/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</w:pPr>
      <w:r w:rsidRPr="00417F49"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t xml:space="preserve">Приложение </w:t>
      </w:r>
      <w:r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t>№ 9.2</w:t>
      </w:r>
    </w:p>
    <w:tbl>
      <w:tblPr>
        <w:tblW w:w="14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958"/>
      </w:tblGrid>
      <w:tr w:rsidR="008B1272" w:rsidRPr="008A60C1" w:rsidTr="002D13D0">
        <w:tc>
          <w:tcPr>
            <w:tcW w:w="14958" w:type="dxa"/>
          </w:tcPr>
          <w:p w:rsidR="008B1272" w:rsidRPr="00797458" w:rsidRDefault="008B1272" w:rsidP="00D821BE">
            <w:pPr>
              <w:widowControl w:val="0"/>
              <w:tabs>
                <w:tab w:val="left" w:pos="0"/>
                <w:tab w:val="left" w:pos="342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797458">
              <w:rPr>
                <w:rFonts w:ascii="Garamond" w:hAnsi="Garamond"/>
                <w:b/>
                <w:sz w:val="24"/>
                <w:szCs w:val="24"/>
              </w:rPr>
              <w:t>Инициатор:</w:t>
            </w:r>
            <w:r w:rsidRPr="00797458">
              <w:rPr>
                <w:rFonts w:ascii="Garamond" w:hAnsi="Garamond"/>
                <w:sz w:val="24"/>
                <w:szCs w:val="24"/>
              </w:rPr>
              <w:t xml:space="preserve"> Ассоциация «НП Совет рынка»</w:t>
            </w:r>
          </w:p>
          <w:p w:rsidR="008B1272" w:rsidRPr="00AC3329" w:rsidRDefault="008B1272" w:rsidP="00350DA9">
            <w:pPr>
              <w:widowControl w:val="0"/>
              <w:tabs>
                <w:tab w:val="left" w:pos="0"/>
                <w:tab w:val="left" w:pos="342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797458">
              <w:rPr>
                <w:rFonts w:ascii="Garamond" w:hAnsi="Garamond"/>
                <w:b/>
                <w:sz w:val="24"/>
                <w:szCs w:val="24"/>
              </w:rPr>
              <w:t xml:space="preserve">Обоснование: </w:t>
            </w:r>
            <w:r>
              <w:rPr>
                <w:rFonts w:ascii="Garamond" w:hAnsi="Garamond"/>
                <w:sz w:val="24"/>
                <w:szCs w:val="24"/>
              </w:rPr>
              <w:t>п</w:t>
            </w:r>
            <w:r w:rsidRPr="00887582">
              <w:rPr>
                <w:rFonts w:ascii="Garamond" w:hAnsi="Garamond"/>
                <w:sz w:val="24"/>
                <w:szCs w:val="24"/>
              </w:rPr>
              <w:t>редлагается</w:t>
            </w:r>
            <w:r>
              <w:rPr>
                <w:rFonts w:ascii="Garamond" w:hAnsi="Garamond"/>
              </w:rPr>
              <w:t xml:space="preserve"> </w:t>
            </w:r>
            <w:r w:rsidRPr="00416C00">
              <w:rPr>
                <w:rFonts w:ascii="Garamond" w:hAnsi="Garamond"/>
                <w:sz w:val="24"/>
                <w:szCs w:val="24"/>
              </w:rPr>
              <w:t>внести ряд технических исправлений и уточнений</w:t>
            </w:r>
            <w:r>
              <w:rPr>
                <w:rFonts w:ascii="Garamond" w:hAnsi="Garamond"/>
                <w:sz w:val="24"/>
                <w:szCs w:val="24"/>
              </w:rPr>
              <w:t xml:space="preserve">, касающихся описания порядка </w:t>
            </w:r>
            <w:r w:rsidRPr="00AC3329">
              <w:rPr>
                <w:rFonts w:ascii="Garamond" w:hAnsi="Garamond"/>
                <w:sz w:val="24"/>
                <w:szCs w:val="24"/>
              </w:rPr>
              <w:t>предоставления участниками оптового рынка отчетной информации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  <w:p w:rsidR="008B1272" w:rsidRPr="00464805" w:rsidRDefault="008B1272" w:rsidP="00350DA9">
            <w:pPr>
              <w:widowControl w:val="0"/>
              <w:tabs>
                <w:tab w:val="left" w:pos="0"/>
                <w:tab w:val="left" w:pos="3420"/>
              </w:tabs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97458">
              <w:rPr>
                <w:rFonts w:ascii="Garamond" w:hAnsi="Garamond"/>
                <w:b/>
                <w:sz w:val="24"/>
                <w:szCs w:val="24"/>
              </w:rPr>
              <w:t xml:space="preserve">Дата вступления в силу: </w:t>
            </w:r>
            <w:r w:rsidRPr="00797458">
              <w:rPr>
                <w:rFonts w:ascii="Garamond" w:hAnsi="Garamond"/>
                <w:sz w:val="24"/>
                <w:szCs w:val="24"/>
              </w:rPr>
              <w:t>1 января 2017 года.</w:t>
            </w:r>
          </w:p>
        </w:tc>
      </w:tr>
    </w:tbl>
    <w:p w:rsidR="008B1272" w:rsidRDefault="008B1272" w:rsidP="009A030B">
      <w:pPr>
        <w:pStyle w:val="Heading2"/>
        <w:widowControl w:val="0"/>
        <w:numPr>
          <w:ilvl w:val="1"/>
          <w:numId w:val="0"/>
        </w:numPr>
        <w:tabs>
          <w:tab w:val="num" w:pos="756"/>
        </w:tabs>
        <w:spacing w:before="0" w:after="0" w:line="240" w:lineRule="auto"/>
        <w:rPr>
          <w:b/>
          <w:bCs w:val="0"/>
        </w:rPr>
      </w:pPr>
    </w:p>
    <w:p w:rsidR="008B1272" w:rsidRPr="00D11C08" w:rsidRDefault="008B1272" w:rsidP="009A030B">
      <w:pPr>
        <w:pStyle w:val="Heading2"/>
        <w:widowControl w:val="0"/>
        <w:numPr>
          <w:ilvl w:val="1"/>
          <w:numId w:val="0"/>
        </w:numPr>
        <w:tabs>
          <w:tab w:val="num" w:pos="756"/>
        </w:tabs>
        <w:spacing w:before="0" w:after="0" w:line="240" w:lineRule="auto"/>
        <w:rPr>
          <w:b/>
          <w:sz w:val="26"/>
          <w:szCs w:val="26"/>
        </w:rPr>
      </w:pPr>
      <w:r w:rsidRPr="00797458">
        <w:rPr>
          <w:b/>
          <w:sz w:val="26"/>
          <w:szCs w:val="26"/>
        </w:rPr>
        <w:t>П</w:t>
      </w:r>
      <w:r w:rsidRPr="00D11C08">
        <w:rPr>
          <w:b/>
          <w:sz w:val="26"/>
          <w:szCs w:val="26"/>
        </w:rPr>
        <w:t>редложения по изменениям и дополнениям в РЕГЛАМЕНТ ФИНАНСОВЫХ РАСЧЕТОВ НА ОПТОВОМ РЫНКЕ ЭЛЕКТРОЭНЕРГИИ (Приложение № 16 к Договору о присоединении к торговой системе оптового рынка)</w:t>
      </w:r>
    </w:p>
    <w:p w:rsidR="008B1272" w:rsidRPr="008A60C1" w:rsidRDefault="008B1272" w:rsidP="009A030B">
      <w:pPr>
        <w:pStyle w:val="Heading2"/>
        <w:keepNext w:val="0"/>
        <w:widowControl w:val="0"/>
        <w:numPr>
          <w:ilvl w:val="1"/>
          <w:numId w:val="0"/>
        </w:numPr>
        <w:tabs>
          <w:tab w:val="num" w:pos="756"/>
        </w:tabs>
        <w:spacing w:before="0" w:after="0" w:line="240" w:lineRule="auto"/>
        <w:rPr>
          <w:sz w:val="26"/>
          <w:szCs w:val="26"/>
        </w:rPr>
      </w:pPr>
    </w:p>
    <w:tbl>
      <w:tblPr>
        <w:tblW w:w="1504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0"/>
        <w:gridCol w:w="7150"/>
        <w:gridCol w:w="6946"/>
      </w:tblGrid>
      <w:tr w:rsidR="008B1272" w:rsidRPr="009A030B" w:rsidTr="00417F49">
        <w:tc>
          <w:tcPr>
            <w:tcW w:w="950" w:type="dxa"/>
          </w:tcPr>
          <w:p w:rsidR="008B1272" w:rsidRPr="009A030B" w:rsidRDefault="008B1272" w:rsidP="00350DA9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9A030B">
              <w:rPr>
                <w:rFonts w:ascii="Garamond" w:hAnsi="Garamond"/>
                <w:b/>
              </w:rPr>
              <w:t>№</w:t>
            </w:r>
          </w:p>
          <w:p w:rsidR="008B1272" w:rsidRPr="009A030B" w:rsidRDefault="008B1272" w:rsidP="00350DA9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A030B"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7150" w:type="dxa"/>
          </w:tcPr>
          <w:p w:rsidR="008B1272" w:rsidRPr="009A030B" w:rsidRDefault="008B1272" w:rsidP="00350DA9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9A030B">
              <w:rPr>
                <w:rFonts w:ascii="Garamond" w:hAnsi="Garamond"/>
                <w:b/>
                <w:bCs/>
              </w:rPr>
              <w:t>Редакция, действующая на момент</w:t>
            </w:r>
          </w:p>
          <w:p w:rsidR="008B1272" w:rsidRPr="009A030B" w:rsidRDefault="008B1272" w:rsidP="00350DA9">
            <w:pPr>
              <w:widowControl w:val="0"/>
              <w:spacing w:after="0" w:line="240" w:lineRule="auto"/>
              <w:jc w:val="center"/>
              <w:rPr>
                <w:rFonts w:ascii="Garamond" w:hAnsi="Garamond"/>
              </w:rPr>
            </w:pPr>
            <w:r w:rsidRPr="009A030B">
              <w:rPr>
                <w:rFonts w:ascii="Garamond" w:hAnsi="Garamond"/>
                <w:b/>
                <w:bCs/>
              </w:rPr>
              <w:t>вступления в силу изменений</w:t>
            </w:r>
          </w:p>
        </w:tc>
        <w:tc>
          <w:tcPr>
            <w:tcW w:w="6946" w:type="dxa"/>
          </w:tcPr>
          <w:p w:rsidR="008B1272" w:rsidRPr="009A030B" w:rsidRDefault="008B1272" w:rsidP="00C87E00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9A030B">
              <w:rPr>
                <w:rFonts w:ascii="Garamond" w:hAnsi="Garamond"/>
                <w:b/>
              </w:rPr>
              <w:t>Предлагаемая редакция</w:t>
            </w:r>
          </w:p>
          <w:p w:rsidR="008B1272" w:rsidRPr="009A030B" w:rsidRDefault="008B1272" w:rsidP="00C87E00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9A030B">
              <w:rPr>
                <w:rFonts w:ascii="Garamond" w:hAnsi="Garamond"/>
              </w:rPr>
              <w:t>(изменения выделены цветом)</w:t>
            </w:r>
          </w:p>
        </w:tc>
      </w:tr>
      <w:tr w:rsidR="008B1272" w:rsidRPr="009A030B" w:rsidTr="00417F49">
        <w:trPr>
          <w:trHeight w:val="1665"/>
        </w:trPr>
        <w:tc>
          <w:tcPr>
            <w:tcW w:w="950" w:type="dxa"/>
          </w:tcPr>
          <w:p w:rsidR="008B1272" w:rsidRPr="00417F49" w:rsidRDefault="008B1272" w:rsidP="00417F49">
            <w:pPr>
              <w:pStyle w:val="BodyText"/>
              <w:spacing w:before="120"/>
              <w:jc w:val="both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417F49">
              <w:rPr>
                <w:rFonts w:ascii="Garamond" w:hAnsi="Garamond"/>
                <w:b/>
                <w:color w:val="000000"/>
                <w:sz w:val="22"/>
                <w:szCs w:val="22"/>
              </w:rPr>
              <w:t>16.1</w:t>
            </w:r>
          </w:p>
        </w:tc>
        <w:tc>
          <w:tcPr>
            <w:tcW w:w="7150" w:type="dxa"/>
          </w:tcPr>
          <w:p w:rsidR="008B1272" w:rsidRPr="00433BDD" w:rsidRDefault="008B1272" w:rsidP="00111C5E">
            <w:pPr>
              <w:pStyle w:val="BodyText"/>
              <w:spacing w:before="120"/>
              <w:ind w:firstLine="537"/>
              <w:jc w:val="both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433BDD">
              <w:rPr>
                <w:rFonts w:ascii="Garamond" w:hAnsi="Garamond"/>
                <w:b/>
                <w:color w:val="000000"/>
                <w:sz w:val="22"/>
                <w:szCs w:val="22"/>
              </w:rPr>
              <w:t>Порядок предоставления участниками оптового рынка – энергосбытовыми компаниями, гарантирующими поставщиками отчетной информации в ЦФР</w:t>
            </w:r>
          </w:p>
          <w:p w:rsidR="008B1272" w:rsidRDefault="008B1272" w:rsidP="00111C5E">
            <w:pPr>
              <w:pStyle w:val="BodyText"/>
              <w:spacing w:before="120"/>
              <w:ind w:firstLine="537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33BDD">
              <w:rPr>
                <w:rFonts w:ascii="Garamond" w:hAnsi="Garamond"/>
                <w:color w:val="000000"/>
                <w:sz w:val="22"/>
                <w:szCs w:val="22"/>
              </w:rPr>
              <w:t xml:space="preserve">Для проведения ЦФР анализа платежеспособности участников оптового рынка, осуществления мониторинга энергосбытовой деятельности, предоставления информации в </w:t>
            </w:r>
            <w:r w:rsidRPr="00433BDD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Комиссию при Наблюдательном совете Совета рынка по платежам на оптовом рынке электрической энергии и мощности,</w:t>
            </w:r>
            <w:r w:rsidRPr="00433BDD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433BDD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Совет рынка, Минэнерго России,</w:t>
            </w:r>
            <w:r w:rsidRPr="00433BDD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433BDD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Правительство Российской Федерации </w:t>
            </w:r>
            <w:r w:rsidRPr="00433BDD">
              <w:rPr>
                <w:rFonts w:ascii="Garamond" w:hAnsi="Garamond"/>
                <w:color w:val="000000"/>
                <w:sz w:val="22"/>
                <w:szCs w:val="22"/>
              </w:rPr>
              <w:t>энергосбытовые компании и гарантирующие поставщики предоставляют в ЦФР отчетную информацию в соответствии с требованиями, указанными в настоящем пункте.</w:t>
            </w:r>
          </w:p>
          <w:p w:rsidR="008B1272" w:rsidRDefault="008B1272" w:rsidP="00111C5E">
            <w:pPr>
              <w:pStyle w:val="BodyText"/>
              <w:spacing w:before="120"/>
              <w:ind w:firstLine="53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6946" w:type="dxa"/>
          </w:tcPr>
          <w:p w:rsidR="008B1272" w:rsidRPr="00433BDD" w:rsidRDefault="008B1272" w:rsidP="00433BDD">
            <w:pPr>
              <w:widowControl w:val="0"/>
              <w:spacing w:before="120" w:after="120"/>
              <w:jc w:val="both"/>
              <w:rPr>
                <w:rFonts w:ascii="Garamond" w:hAnsi="Garamond"/>
                <w:b/>
                <w:color w:val="000000"/>
              </w:rPr>
            </w:pPr>
            <w:r w:rsidRPr="00433BDD">
              <w:rPr>
                <w:rFonts w:ascii="Garamond" w:hAnsi="Garamond"/>
                <w:b/>
                <w:color w:val="000000"/>
              </w:rPr>
              <w:t>Порядок предоставления участниками оптового рынка – энергосбытовыми компаниями, гарантирующими поставщиками отчетной информации в ЦФР</w:t>
            </w:r>
          </w:p>
          <w:p w:rsidR="008B1272" w:rsidRPr="00433BDD" w:rsidRDefault="008B1272" w:rsidP="00433BDD">
            <w:pPr>
              <w:widowControl w:val="0"/>
              <w:spacing w:before="120" w:after="120"/>
              <w:ind w:firstLine="647"/>
              <w:jc w:val="both"/>
              <w:rPr>
                <w:rFonts w:ascii="Garamond" w:hAnsi="Garamond"/>
                <w:color w:val="000000"/>
              </w:rPr>
            </w:pPr>
            <w:r w:rsidRPr="00433BDD">
              <w:rPr>
                <w:rFonts w:ascii="Garamond" w:hAnsi="Garamond"/>
                <w:color w:val="000000"/>
              </w:rPr>
              <w:t xml:space="preserve">Для проведения ЦФР анализа платежеспособности участников оптового рынка, осуществления мониторинга энергосбытовой деятельности, предоставления информации в </w:t>
            </w:r>
            <w:r w:rsidRPr="00433BDD">
              <w:rPr>
                <w:rFonts w:ascii="Garamond" w:hAnsi="Garamond"/>
                <w:color w:val="000000"/>
                <w:highlight w:val="yellow"/>
              </w:rPr>
              <w:t>Правительство Российской Федерации, Минэнерго России,</w:t>
            </w:r>
            <w:r w:rsidRPr="00433BDD">
              <w:rPr>
                <w:rFonts w:ascii="Garamond" w:hAnsi="Garamond"/>
                <w:highlight w:val="yellow"/>
              </w:rPr>
              <w:t xml:space="preserve"> Совет рынка, </w:t>
            </w:r>
            <w:r w:rsidRPr="00433BDD">
              <w:rPr>
                <w:rFonts w:ascii="Garamond" w:hAnsi="Garamond"/>
                <w:color w:val="000000"/>
                <w:highlight w:val="yellow"/>
              </w:rPr>
              <w:t>Комиссию при Наблюдательном совете Совета рынка по платежам на оптовом рынке электрической энергии и мощности</w:t>
            </w:r>
            <w:r w:rsidRPr="00433BDD">
              <w:rPr>
                <w:rFonts w:ascii="Garamond" w:hAnsi="Garamond"/>
                <w:color w:val="000000"/>
              </w:rPr>
              <w:t xml:space="preserve"> энергосбытовые компании и гарантирующие поставщики предоставляют в ЦФР отчетную информацию в соответствии с требованиями, указанными в настоящем пункте. </w:t>
            </w:r>
          </w:p>
          <w:p w:rsidR="008B1272" w:rsidRPr="009F352F" w:rsidRDefault="008B1272" w:rsidP="00FD1FD9">
            <w:pPr>
              <w:widowControl w:val="0"/>
              <w:spacing w:before="120" w:after="120" w:line="240" w:lineRule="auto"/>
              <w:ind w:firstLine="742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…</w:t>
            </w:r>
          </w:p>
        </w:tc>
      </w:tr>
      <w:tr w:rsidR="008B1272" w:rsidRPr="009A030B" w:rsidTr="00417F49">
        <w:trPr>
          <w:trHeight w:val="1665"/>
        </w:trPr>
        <w:tc>
          <w:tcPr>
            <w:tcW w:w="950" w:type="dxa"/>
          </w:tcPr>
          <w:p w:rsidR="008B1272" w:rsidRPr="00417F49" w:rsidRDefault="008B1272" w:rsidP="00417F49">
            <w:pPr>
              <w:pStyle w:val="BodyText"/>
              <w:spacing w:before="120"/>
              <w:jc w:val="both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417F49">
              <w:rPr>
                <w:rFonts w:ascii="Garamond" w:hAnsi="Garamond"/>
                <w:b/>
                <w:color w:val="000000"/>
                <w:sz w:val="22"/>
                <w:szCs w:val="22"/>
              </w:rPr>
              <w:t>16.1.2</w:t>
            </w:r>
          </w:p>
        </w:tc>
        <w:tc>
          <w:tcPr>
            <w:tcW w:w="7150" w:type="dxa"/>
          </w:tcPr>
          <w:p w:rsidR="008B1272" w:rsidRDefault="008B1272" w:rsidP="00111C5E">
            <w:pPr>
              <w:pStyle w:val="BodyText"/>
              <w:spacing w:before="120"/>
              <w:ind w:firstLine="53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:rsidR="008B1272" w:rsidRPr="009F352F" w:rsidRDefault="008B1272" w:rsidP="00111C5E">
            <w:pPr>
              <w:pStyle w:val="BodyText"/>
              <w:spacing w:before="120"/>
              <w:ind w:firstLine="537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ЦФР </w:t>
            </w:r>
            <w:r w:rsidRPr="009F352F">
              <w:rPr>
                <w:rFonts w:ascii="Garamond" w:hAnsi="Garamond"/>
                <w:sz w:val="22"/>
                <w:szCs w:val="22"/>
                <w:lang w:eastAsia="en-US"/>
              </w:rPr>
              <w:t xml:space="preserve">не принимает к учету отчетные данные по </w:t>
            </w:r>
            <w:r w:rsidRPr="009F352F">
              <w:rPr>
                <w:rFonts w:ascii="Garamond" w:hAnsi="Garamond"/>
                <w:sz w:val="22"/>
                <w:szCs w:val="22"/>
              </w:rPr>
              <w:t>формам приложений 103а и 103б</w:t>
            </w:r>
            <w:r w:rsidRPr="009F352F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, если:</w:t>
            </w:r>
          </w:p>
          <w:p w:rsidR="008B1272" w:rsidRPr="00433BDD" w:rsidRDefault="008B1272" w:rsidP="00433BDD">
            <w:pPr>
              <w:widowControl w:val="0"/>
              <w:spacing w:before="120" w:after="120"/>
              <w:ind w:firstLine="53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:rsidR="008B1272" w:rsidRPr="00433BDD" w:rsidRDefault="008B1272" w:rsidP="00433BDD">
            <w:pPr>
              <w:widowControl w:val="0"/>
              <w:spacing w:before="120" w:after="120"/>
              <w:ind w:firstLine="537"/>
              <w:jc w:val="both"/>
              <w:rPr>
                <w:rFonts w:ascii="Garamond" w:hAnsi="Garamond"/>
              </w:rPr>
            </w:pPr>
            <w:r w:rsidRPr="00433BDD">
              <w:rPr>
                <w:rFonts w:ascii="Garamond" w:hAnsi="Garamond"/>
              </w:rPr>
              <w:t xml:space="preserve">– направленные в ЦФР </w:t>
            </w:r>
            <w:r w:rsidRPr="00433BDD">
              <w:rPr>
                <w:rFonts w:ascii="Garamond" w:hAnsi="Garamond"/>
                <w:highlight w:val="yellow"/>
              </w:rPr>
              <w:t>участником оптового рынка</w:t>
            </w:r>
            <w:r w:rsidRPr="00433BDD">
              <w:rPr>
                <w:rFonts w:ascii="Garamond" w:hAnsi="Garamond"/>
              </w:rPr>
              <w:t xml:space="preserve"> формы приложений 103а и 103б с использованием ПО «АРМ участника» не заполнены участником оптового рынка (поля, предназначенные к заполнению, пустые или равны нулю); </w:t>
            </w:r>
          </w:p>
          <w:p w:rsidR="008B1272" w:rsidRDefault="008B1272" w:rsidP="00163434">
            <w:pPr>
              <w:widowControl w:val="0"/>
              <w:spacing w:before="120" w:after="120"/>
              <w:ind w:firstLine="53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:rsidR="008B1272" w:rsidRPr="009A030B" w:rsidRDefault="008B1272" w:rsidP="00163434">
            <w:pPr>
              <w:widowControl w:val="0"/>
              <w:spacing w:before="120" w:after="120"/>
              <w:ind w:firstLine="537"/>
              <w:jc w:val="both"/>
              <w:rPr>
                <w:rFonts w:ascii="Garamond" w:hAnsi="Garamond"/>
              </w:rPr>
            </w:pPr>
            <w:r w:rsidRPr="009F352F">
              <w:rPr>
                <w:rFonts w:ascii="Garamond" w:hAnsi="Garamond"/>
              </w:rPr>
              <w:t>– отчетные формы направлены в ЦФР без использования ПО «АРМ участника».</w:t>
            </w:r>
          </w:p>
        </w:tc>
        <w:tc>
          <w:tcPr>
            <w:tcW w:w="6946" w:type="dxa"/>
          </w:tcPr>
          <w:p w:rsidR="008B1272" w:rsidRPr="00350DA9" w:rsidRDefault="008B1272" w:rsidP="009A030B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  <w:color w:val="000000"/>
              </w:rPr>
            </w:pPr>
            <w:r w:rsidRPr="00350DA9">
              <w:rPr>
                <w:rFonts w:ascii="Garamond" w:hAnsi="Garamond"/>
                <w:color w:val="000000"/>
              </w:rPr>
              <w:t>…</w:t>
            </w:r>
          </w:p>
          <w:p w:rsidR="008B1272" w:rsidRPr="009F352F" w:rsidRDefault="008B1272" w:rsidP="009F352F">
            <w:pPr>
              <w:pStyle w:val="BodyText"/>
              <w:spacing w:before="120"/>
              <w:ind w:firstLine="537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ЦФР не</w:t>
            </w:r>
            <w:r w:rsidRPr="009F352F">
              <w:rPr>
                <w:rFonts w:ascii="Garamond" w:hAnsi="Garamond"/>
                <w:sz w:val="22"/>
                <w:szCs w:val="22"/>
                <w:lang w:eastAsia="en-US"/>
              </w:rPr>
              <w:t xml:space="preserve"> принимает к учету отчетные данные по </w:t>
            </w:r>
            <w:r w:rsidRPr="009F352F">
              <w:rPr>
                <w:rFonts w:ascii="Garamond" w:hAnsi="Garamond"/>
                <w:sz w:val="22"/>
                <w:szCs w:val="22"/>
              </w:rPr>
              <w:t>формам приложений 103а и 103б</w:t>
            </w:r>
            <w:r w:rsidRPr="009F352F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, если:</w:t>
            </w:r>
          </w:p>
          <w:p w:rsidR="008B1272" w:rsidRDefault="008B1272" w:rsidP="00433BDD">
            <w:pPr>
              <w:widowControl w:val="0"/>
              <w:spacing w:before="120" w:after="120"/>
              <w:ind w:firstLine="53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:rsidR="008B1272" w:rsidRPr="00433BDD" w:rsidRDefault="008B1272" w:rsidP="00433BDD">
            <w:pPr>
              <w:widowControl w:val="0"/>
              <w:spacing w:before="120" w:after="120"/>
              <w:ind w:firstLine="537"/>
              <w:jc w:val="both"/>
              <w:rPr>
                <w:rFonts w:ascii="Garamond" w:hAnsi="Garamond"/>
              </w:rPr>
            </w:pPr>
            <w:r w:rsidRPr="00433BDD">
              <w:rPr>
                <w:rFonts w:ascii="Garamond" w:hAnsi="Garamond"/>
              </w:rPr>
              <w:t xml:space="preserve">– направленные в ЦФР формы приложений 103а и 103б с использованием ПО «АРМ участника» не заполнены участником оптового рынка (поля, предназначенные к заполнению, пустые или равны нулю); </w:t>
            </w:r>
          </w:p>
          <w:p w:rsidR="008B1272" w:rsidRPr="00433BDD" w:rsidRDefault="008B1272" w:rsidP="00433BDD">
            <w:pPr>
              <w:widowControl w:val="0"/>
              <w:spacing w:before="120" w:after="120"/>
              <w:ind w:firstLine="45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:rsidR="008B1272" w:rsidRPr="009A030B" w:rsidRDefault="008B1272" w:rsidP="009F352F">
            <w:pPr>
              <w:widowControl w:val="0"/>
              <w:spacing w:before="120" w:after="120"/>
              <w:ind w:firstLine="537"/>
              <w:jc w:val="both"/>
              <w:rPr>
                <w:rFonts w:ascii="Garamond" w:hAnsi="Garamond"/>
                <w:b/>
                <w:color w:val="000000"/>
              </w:rPr>
            </w:pPr>
            <w:r w:rsidRPr="009F352F">
              <w:rPr>
                <w:rFonts w:ascii="Garamond" w:hAnsi="Garamond"/>
              </w:rPr>
              <w:t xml:space="preserve">– отчетные формы направлены в ЦФР без использования </w:t>
            </w:r>
            <w:r w:rsidRPr="009F352F">
              <w:rPr>
                <w:rFonts w:ascii="Garamond" w:hAnsi="Garamond"/>
                <w:highlight w:val="yellow"/>
              </w:rPr>
              <w:t>ЭП в</w:t>
            </w:r>
            <w:r w:rsidRPr="009F352F">
              <w:rPr>
                <w:rFonts w:ascii="Garamond" w:hAnsi="Garamond"/>
              </w:rPr>
              <w:t xml:space="preserve"> ПО «АРМ участника».</w:t>
            </w:r>
          </w:p>
        </w:tc>
      </w:tr>
      <w:tr w:rsidR="008B1272" w:rsidRPr="009A030B" w:rsidTr="00417F49">
        <w:trPr>
          <w:trHeight w:val="423"/>
        </w:trPr>
        <w:tc>
          <w:tcPr>
            <w:tcW w:w="950" w:type="dxa"/>
          </w:tcPr>
          <w:p w:rsidR="008B1272" w:rsidRPr="00417F49" w:rsidRDefault="008B1272" w:rsidP="00417F49">
            <w:pPr>
              <w:pStyle w:val="BodyText"/>
              <w:spacing w:before="120"/>
              <w:jc w:val="both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417F49">
              <w:rPr>
                <w:rFonts w:ascii="Garamond" w:hAnsi="Garamond"/>
                <w:b/>
                <w:color w:val="000000"/>
                <w:sz w:val="22"/>
                <w:szCs w:val="22"/>
              </w:rPr>
              <w:t>16.1.2.1</w:t>
            </w:r>
          </w:p>
        </w:tc>
        <w:tc>
          <w:tcPr>
            <w:tcW w:w="7150" w:type="dxa"/>
          </w:tcPr>
          <w:p w:rsidR="008B1272" w:rsidRPr="002D59E1" w:rsidRDefault="008B1272" w:rsidP="002D59E1">
            <w:pPr>
              <w:widowControl w:val="0"/>
              <w:spacing w:before="120" w:after="120"/>
              <w:ind w:firstLine="537"/>
              <w:jc w:val="both"/>
              <w:rPr>
                <w:rFonts w:ascii="Garamond" w:hAnsi="Garamond"/>
              </w:rPr>
            </w:pPr>
            <w:r w:rsidRPr="002D59E1">
              <w:rPr>
                <w:rFonts w:ascii="Garamond" w:hAnsi="Garamond"/>
              </w:rPr>
              <w:t xml:space="preserve">16.1.2.1. ЦФР в течение 5 (пяти) рабочих дней после завершения отчетного квартала / отчетного года на основании реестра </w:t>
            </w:r>
            <w:r w:rsidRPr="002D59E1">
              <w:rPr>
                <w:rFonts w:ascii="Garamond" w:hAnsi="Garamond"/>
                <w:color w:val="000000"/>
              </w:rPr>
              <w:t xml:space="preserve">участников оптового рынка – </w:t>
            </w:r>
            <w:r w:rsidRPr="002D59E1">
              <w:rPr>
                <w:rFonts w:ascii="Garamond" w:hAnsi="Garamond"/>
              </w:rPr>
              <w:t xml:space="preserve">гарантирующих поставщиков, энергосбытовых компаний, полученного от КО в соответствии с п. 16.5 настоящего Регламента в отношении последнего месяца отчетного квартала/года, </w:t>
            </w:r>
            <w:r w:rsidRPr="002D59E1">
              <w:rPr>
                <w:rFonts w:ascii="Garamond" w:hAnsi="Garamond"/>
                <w:color w:val="000000"/>
              </w:rPr>
              <w:t>осуществляет следующие действия:</w:t>
            </w:r>
            <w:r w:rsidRPr="002D59E1">
              <w:rPr>
                <w:rFonts w:ascii="Garamond" w:hAnsi="Garamond"/>
              </w:rPr>
              <w:t xml:space="preserve"> </w:t>
            </w:r>
          </w:p>
          <w:p w:rsidR="008B1272" w:rsidRPr="002D59E1" w:rsidRDefault="008B1272" w:rsidP="002D59E1">
            <w:pPr>
              <w:widowControl w:val="0"/>
              <w:spacing w:before="120" w:after="120"/>
              <w:ind w:firstLine="537"/>
              <w:jc w:val="both"/>
              <w:rPr>
                <w:rFonts w:ascii="Garamond" w:hAnsi="Garamond"/>
              </w:rPr>
            </w:pPr>
            <w:r w:rsidRPr="002D59E1">
              <w:rPr>
                <w:rFonts w:ascii="Garamond" w:hAnsi="Garamond"/>
              </w:rPr>
              <w:t>а) определяет перечень участников оптового рынка, обязанных по итогам отчетного квартала/года предоставить в ЦФР документы ежеквартальной и годовой бухгалтерской отчетности;</w:t>
            </w:r>
          </w:p>
          <w:p w:rsidR="008B1272" w:rsidRDefault="008B1272" w:rsidP="002D59E1">
            <w:pPr>
              <w:widowControl w:val="0"/>
              <w:spacing w:before="120" w:after="120" w:line="240" w:lineRule="auto"/>
              <w:ind w:firstLine="537"/>
              <w:jc w:val="both"/>
              <w:rPr>
                <w:rFonts w:ascii="Garamond" w:hAnsi="Garamond"/>
              </w:rPr>
            </w:pPr>
            <w:r w:rsidRPr="002D59E1">
              <w:rPr>
                <w:rFonts w:ascii="Garamond" w:hAnsi="Garamond"/>
              </w:rPr>
              <w:t>б) в отношении определенных в подпункте «а» данного пункта участников оптового рынка формирует уведомления по форме приложения 144 к настоящему Регламенту и размещает их в персональном разделе на официальном сайте КО с использованием ЭП.</w:t>
            </w:r>
          </w:p>
          <w:p w:rsidR="008B1272" w:rsidRPr="002D59E1" w:rsidRDefault="008B1272" w:rsidP="002D59E1">
            <w:pPr>
              <w:widowControl w:val="0"/>
              <w:spacing w:before="120" w:after="120" w:line="240" w:lineRule="auto"/>
              <w:ind w:firstLine="53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  <w:tc>
          <w:tcPr>
            <w:tcW w:w="6946" w:type="dxa"/>
          </w:tcPr>
          <w:p w:rsidR="008B1272" w:rsidRPr="002D59E1" w:rsidRDefault="008B1272" w:rsidP="002D59E1">
            <w:pPr>
              <w:widowControl w:val="0"/>
              <w:spacing w:before="120" w:after="120"/>
              <w:ind w:firstLine="537"/>
              <w:jc w:val="both"/>
              <w:rPr>
                <w:rFonts w:ascii="Garamond" w:hAnsi="Garamond"/>
              </w:rPr>
            </w:pPr>
            <w:r w:rsidRPr="002D59E1">
              <w:rPr>
                <w:rFonts w:ascii="Garamond" w:hAnsi="Garamond"/>
              </w:rPr>
              <w:t xml:space="preserve">16.1.2.1. ЦФР в течение 5 (пяти) рабочих дней после завершения отчетного квартала / отчетного года на основании реестра </w:t>
            </w:r>
            <w:r w:rsidRPr="002D59E1">
              <w:rPr>
                <w:rFonts w:ascii="Garamond" w:hAnsi="Garamond"/>
                <w:color w:val="000000"/>
              </w:rPr>
              <w:t xml:space="preserve">участников оптового рынка – </w:t>
            </w:r>
            <w:r w:rsidRPr="002D59E1">
              <w:rPr>
                <w:rFonts w:ascii="Garamond" w:hAnsi="Garamond"/>
              </w:rPr>
              <w:t xml:space="preserve">гарантирующих поставщиков, энергосбытовых компаний, полученного от КО в соответствии с п. 16.5 настоящего Регламента в отношении последнего месяца отчетного квартала / </w:t>
            </w:r>
            <w:r w:rsidRPr="002D59E1">
              <w:rPr>
                <w:rFonts w:ascii="Garamond" w:hAnsi="Garamond"/>
                <w:highlight w:val="yellow"/>
              </w:rPr>
              <w:t>отчетного</w:t>
            </w:r>
            <w:r w:rsidRPr="002D59E1">
              <w:rPr>
                <w:rFonts w:ascii="Garamond" w:hAnsi="Garamond"/>
              </w:rPr>
              <w:t xml:space="preserve"> года, </w:t>
            </w:r>
            <w:r w:rsidRPr="002D59E1">
              <w:rPr>
                <w:rFonts w:ascii="Garamond" w:hAnsi="Garamond"/>
                <w:color w:val="000000"/>
              </w:rPr>
              <w:t>осуществляет следующие действия:</w:t>
            </w:r>
            <w:r w:rsidRPr="002D59E1">
              <w:rPr>
                <w:rFonts w:ascii="Garamond" w:hAnsi="Garamond"/>
              </w:rPr>
              <w:t xml:space="preserve"> </w:t>
            </w:r>
          </w:p>
          <w:p w:rsidR="008B1272" w:rsidRPr="002D59E1" w:rsidRDefault="008B1272" w:rsidP="002D59E1">
            <w:pPr>
              <w:widowControl w:val="0"/>
              <w:spacing w:before="120" w:after="120"/>
              <w:ind w:firstLine="537"/>
              <w:jc w:val="both"/>
              <w:rPr>
                <w:rFonts w:ascii="Garamond" w:hAnsi="Garamond"/>
              </w:rPr>
            </w:pPr>
            <w:r w:rsidRPr="002D59E1">
              <w:rPr>
                <w:rFonts w:ascii="Garamond" w:hAnsi="Garamond"/>
              </w:rPr>
              <w:t>а) определяет перечень участников оптового рынка, обязанных по итогам отчетного квартала /</w:t>
            </w:r>
            <w:r w:rsidRPr="002D59E1">
              <w:rPr>
                <w:rFonts w:ascii="Garamond" w:hAnsi="Garamond"/>
                <w:highlight w:val="yellow"/>
              </w:rPr>
              <w:t xml:space="preserve"> отчетного</w:t>
            </w:r>
            <w:r w:rsidRPr="002D59E1">
              <w:rPr>
                <w:rFonts w:ascii="Garamond" w:hAnsi="Garamond"/>
              </w:rPr>
              <w:t xml:space="preserve"> года предоставить в ЦФР документы ежеквартальной и годовой бухгалтерской отчетности;</w:t>
            </w:r>
          </w:p>
          <w:p w:rsidR="008B1272" w:rsidRDefault="008B1272" w:rsidP="00FD1FD9">
            <w:pPr>
              <w:widowControl w:val="0"/>
              <w:spacing w:before="120" w:after="120"/>
              <w:ind w:firstLine="601"/>
              <w:jc w:val="both"/>
              <w:rPr>
                <w:rFonts w:ascii="Garamond" w:hAnsi="Garamond"/>
              </w:rPr>
            </w:pPr>
            <w:r w:rsidRPr="002D59E1">
              <w:rPr>
                <w:rFonts w:ascii="Garamond" w:hAnsi="Garamond"/>
              </w:rPr>
              <w:t>б) в отношении определенных в подпункте «а» данного пункта участников оптового рынка формирует уведомления по форме приложения 144 к настоящему Регламенту и размещает их в персональном разделе на официальном сайте КО с использованием ЭП.</w:t>
            </w:r>
          </w:p>
          <w:p w:rsidR="008B1272" w:rsidRPr="002D59E1" w:rsidRDefault="008B1272" w:rsidP="00FD1FD9">
            <w:pPr>
              <w:widowControl w:val="0"/>
              <w:spacing w:before="120" w:after="120"/>
              <w:ind w:firstLine="601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</w:rPr>
              <w:t>…</w:t>
            </w:r>
          </w:p>
        </w:tc>
      </w:tr>
      <w:tr w:rsidR="008B1272" w:rsidRPr="009A030B" w:rsidTr="00417F49">
        <w:trPr>
          <w:trHeight w:val="423"/>
        </w:trPr>
        <w:tc>
          <w:tcPr>
            <w:tcW w:w="950" w:type="dxa"/>
          </w:tcPr>
          <w:p w:rsidR="008B1272" w:rsidRPr="00417F49" w:rsidRDefault="008B1272" w:rsidP="00417F49">
            <w:pPr>
              <w:pStyle w:val="BodyText"/>
              <w:spacing w:before="120"/>
              <w:jc w:val="both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417F49">
              <w:rPr>
                <w:rFonts w:ascii="Garamond" w:hAnsi="Garamond"/>
                <w:b/>
                <w:color w:val="000000"/>
                <w:sz w:val="22"/>
                <w:szCs w:val="22"/>
              </w:rPr>
              <w:t>16.1.3</w:t>
            </w:r>
          </w:p>
        </w:tc>
        <w:tc>
          <w:tcPr>
            <w:tcW w:w="7150" w:type="dxa"/>
          </w:tcPr>
          <w:p w:rsidR="008B1272" w:rsidRPr="002D59E1" w:rsidRDefault="008B1272" w:rsidP="00124EBE">
            <w:pPr>
              <w:widowControl w:val="0"/>
              <w:spacing w:before="120" w:after="120" w:line="240" w:lineRule="auto"/>
              <w:ind w:firstLine="537"/>
              <w:jc w:val="both"/>
              <w:rPr>
                <w:rFonts w:ascii="Garamond" w:hAnsi="Garamond"/>
              </w:rPr>
            </w:pPr>
            <w:r w:rsidRPr="002D59E1">
              <w:rPr>
                <w:rFonts w:ascii="Garamond" w:hAnsi="Garamond"/>
              </w:rPr>
              <w:t>…</w:t>
            </w:r>
          </w:p>
          <w:p w:rsidR="008B1272" w:rsidRPr="002D59E1" w:rsidRDefault="008B1272" w:rsidP="00124EBE">
            <w:pPr>
              <w:pStyle w:val="BodyText"/>
              <w:spacing w:before="120"/>
              <w:ind w:firstLine="647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2D59E1">
              <w:rPr>
                <w:rFonts w:ascii="Garamond" w:hAnsi="Garamond"/>
                <w:sz w:val="22"/>
                <w:szCs w:val="22"/>
                <w:lang w:eastAsia="en-US"/>
              </w:rPr>
              <w:t>ЦФР не принимает к учету отчетные данные по форме приложения 47а к настоящему Регламенту</w:t>
            </w:r>
            <w:r w:rsidRPr="002D59E1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, если:</w:t>
            </w:r>
          </w:p>
          <w:p w:rsidR="008B1272" w:rsidRPr="00FD1FD9" w:rsidRDefault="008B1272" w:rsidP="00FD1FD9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</w:rPr>
            </w:pPr>
            <w:r w:rsidRPr="00FD1FD9">
              <w:rPr>
                <w:rFonts w:ascii="Garamond" w:hAnsi="Garamond"/>
              </w:rPr>
              <w:t xml:space="preserve">– указанные даты периодов в соответствующих полях отчетной формы заполнены </w:t>
            </w:r>
            <w:r w:rsidRPr="00FD1FD9">
              <w:rPr>
                <w:rFonts w:ascii="Garamond" w:hAnsi="Garamond"/>
                <w:highlight w:val="yellow"/>
              </w:rPr>
              <w:t>участником оптового рынка</w:t>
            </w:r>
            <w:r w:rsidRPr="00FD1FD9">
              <w:rPr>
                <w:rFonts w:ascii="Garamond" w:hAnsi="Garamond"/>
              </w:rPr>
              <w:t xml:space="preserve"> не в соответствии с пунктом 3.7 </w:t>
            </w:r>
            <w:r w:rsidRPr="00FD1FD9">
              <w:rPr>
                <w:rFonts w:ascii="Garamond" w:hAnsi="Garamond"/>
                <w:color w:val="000000"/>
              </w:rPr>
              <w:t xml:space="preserve">Методики сбора, подготовки и обработки информации по расчетам на розничных рынках электроэнергии, предоставляемой в соответствии с формами № 47 и № 47А, являющейся приложением 1 к </w:t>
            </w:r>
            <w:r w:rsidRPr="00FD1FD9">
              <w:rPr>
                <w:rFonts w:ascii="Garamond" w:hAnsi="Garamond"/>
                <w:i/>
                <w:color w:val="000000"/>
              </w:rPr>
              <w:t>Регламенту мониторинга энергосбытовой деятельности гарантирующих поставщиков и энергосбытовых организаций</w:t>
            </w:r>
            <w:r w:rsidRPr="00FD1FD9">
              <w:rPr>
                <w:rFonts w:ascii="Garamond" w:hAnsi="Garamond"/>
                <w:color w:val="000000"/>
              </w:rPr>
              <w:t xml:space="preserve"> </w:t>
            </w:r>
            <w:r w:rsidRPr="00FD1FD9">
              <w:rPr>
                <w:rFonts w:ascii="Garamond" w:hAnsi="Garamond"/>
              </w:rPr>
              <w:t xml:space="preserve">(Приложение № 29 к </w:t>
            </w:r>
            <w:r w:rsidRPr="00FD1FD9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FD1FD9">
              <w:rPr>
                <w:rFonts w:ascii="Garamond" w:hAnsi="Garamond"/>
              </w:rPr>
              <w:t>)</w:t>
            </w:r>
            <w:r w:rsidRPr="00FD1FD9">
              <w:rPr>
                <w:rFonts w:ascii="Garamond" w:hAnsi="Garamond"/>
                <w:color w:val="000000"/>
              </w:rPr>
              <w:t>,</w:t>
            </w:r>
            <w:r w:rsidRPr="00FD1FD9">
              <w:rPr>
                <w:rFonts w:ascii="Garamond" w:hAnsi="Garamond"/>
              </w:rPr>
              <w:t xml:space="preserve"> и (или) не соответствуют периоду, за который участник оптового рынка направляет отчетные данные;</w:t>
            </w:r>
          </w:p>
          <w:p w:rsidR="008B1272" w:rsidRPr="00FD1FD9" w:rsidRDefault="008B1272" w:rsidP="00FD1FD9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</w:rPr>
            </w:pPr>
            <w:r w:rsidRPr="00FD1FD9">
              <w:rPr>
                <w:rFonts w:ascii="Garamond" w:hAnsi="Garamond"/>
              </w:rPr>
              <w:t>– указанные участником оптового рынка уникальные коды энергосбытовых компаний, гарантирующих поставщиков не соответствуют кодам, присвоенным им инфраструктурными организациями;</w:t>
            </w:r>
          </w:p>
          <w:p w:rsidR="008B1272" w:rsidRPr="00FD1FD9" w:rsidRDefault="008B1272" w:rsidP="00FD1FD9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</w:rPr>
            </w:pPr>
            <w:r w:rsidRPr="00FD1FD9">
              <w:rPr>
                <w:rFonts w:ascii="Garamond" w:hAnsi="Garamond"/>
              </w:rPr>
              <w:t xml:space="preserve">– столбцы и строки заполнены </w:t>
            </w:r>
            <w:r w:rsidRPr="00FD1FD9">
              <w:rPr>
                <w:rFonts w:ascii="Garamond" w:hAnsi="Garamond"/>
                <w:highlight w:val="yellow"/>
              </w:rPr>
              <w:t>участником оптового рынка</w:t>
            </w:r>
            <w:r w:rsidRPr="00FD1FD9">
              <w:rPr>
                <w:rFonts w:ascii="Garamond" w:hAnsi="Garamond"/>
              </w:rPr>
              <w:t xml:space="preserve"> не в соответствии с разделами 3, 5, 6, 7, 8 </w:t>
            </w:r>
            <w:r w:rsidRPr="00FD1FD9">
              <w:rPr>
                <w:rFonts w:ascii="Garamond" w:hAnsi="Garamond"/>
                <w:color w:val="000000"/>
              </w:rPr>
              <w:t xml:space="preserve">Методики сбора, подготовки и обработки информации по расчетам на розничных рынках электроэнергии, предоставляемой в соответствии с формами № 47 и № 47А, являющейся приложением 1 к </w:t>
            </w:r>
            <w:r w:rsidRPr="00FD1FD9">
              <w:rPr>
                <w:rFonts w:ascii="Garamond" w:hAnsi="Garamond"/>
                <w:i/>
                <w:color w:val="000000"/>
              </w:rPr>
              <w:t>Регламенту мониторинга энергосбытовой деятельности гарантирующих поставщиков и энергосбытовых организаций</w:t>
            </w:r>
            <w:r w:rsidRPr="00FD1FD9">
              <w:rPr>
                <w:rFonts w:ascii="Garamond" w:hAnsi="Garamond"/>
                <w:color w:val="000000"/>
              </w:rPr>
              <w:t xml:space="preserve"> </w:t>
            </w:r>
            <w:r w:rsidRPr="00FD1FD9">
              <w:rPr>
                <w:rFonts w:ascii="Garamond" w:hAnsi="Garamond"/>
              </w:rPr>
              <w:t xml:space="preserve">(Приложение № 29 к </w:t>
            </w:r>
            <w:r w:rsidRPr="00FD1FD9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FD1FD9">
              <w:rPr>
                <w:rFonts w:ascii="Garamond" w:hAnsi="Garamond"/>
              </w:rPr>
              <w:t>);</w:t>
            </w:r>
          </w:p>
          <w:p w:rsidR="008B1272" w:rsidRPr="002D59E1" w:rsidRDefault="008B1272" w:rsidP="00124EBE">
            <w:pPr>
              <w:widowControl w:val="0"/>
              <w:spacing w:before="120" w:after="120" w:line="240" w:lineRule="auto"/>
              <w:ind w:left="-13" w:firstLine="66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:rsidR="008B1272" w:rsidRPr="002D59E1" w:rsidRDefault="008B1272" w:rsidP="00124EBE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  <w:highlight w:val="yellow"/>
              </w:rPr>
            </w:pPr>
            <w:r w:rsidRPr="002D59E1">
              <w:rPr>
                <w:rFonts w:ascii="Garamond" w:hAnsi="Garamond"/>
              </w:rPr>
              <w:t xml:space="preserve">– отчетные формы приложения </w:t>
            </w:r>
            <w:r w:rsidRPr="002D59E1">
              <w:rPr>
                <w:rFonts w:ascii="Garamond" w:hAnsi="Garamond"/>
                <w:color w:val="000000"/>
              </w:rPr>
              <w:t>47а</w:t>
            </w:r>
            <w:r w:rsidRPr="002D59E1">
              <w:rPr>
                <w:rFonts w:ascii="Garamond" w:hAnsi="Garamond"/>
              </w:rPr>
              <w:t xml:space="preserve"> направлены в ЦФР без использования ПО «АРМ участника».</w:t>
            </w:r>
          </w:p>
        </w:tc>
        <w:tc>
          <w:tcPr>
            <w:tcW w:w="6946" w:type="dxa"/>
          </w:tcPr>
          <w:p w:rsidR="008B1272" w:rsidRPr="002D59E1" w:rsidRDefault="008B1272" w:rsidP="00FD1FD9">
            <w:pPr>
              <w:widowControl w:val="0"/>
              <w:spacing w:before="120" w:after="120"/>
              <w:ind w:firstLine="601"/>
              <w:jc w:val="both"/>
              <w:rPr>
                <w:rFonts w:ascii="Garamond" w:hAnsi="Garamond"/>
                <w:color w:val="000000"/>
              </w:rPr>
            </w:pPr>
            <w:r w:rsidRPr="002D59E1">
              <w:rPr>
                <w:rFonts w:ascii="Garamond" w:hAnsi="Garamond"/>
                <w:color w:val="000000"/>
              </w:rPr>
              <w:t>…</w:t>
            </w:r>
          </w:p>
          <w:p w:rsidR="008B1272" w:rsidRPr="002D59E1" w:rsidRDefault="008B1272" w:rsidP="00124EBE">
            <w:pPr>
              <w:pStyle w:val="BodyText"/>
              <w:spacing w:before="120"/>
              <w:ind w:firstLine="647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2D59E1">
              <w:rPr>
                <w:rFonts w:ascii="Garamond" w:hAnsi="Garamond"/>
                <w:sz w:val="22"/>
                <w:szCs w:val="22"/>
                <w:lang w:eastAsia="en-US"/>
              </w:rPr>
              <w:t>ЦФР не принимает к учету отчетные данные по форме приложения 47а к настоящему Регламенту</w:t>
            </w:r>
            <w:r w:rsidRPr="002D59E1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, если:</w:t>
            </w:r>
          </w:p>
          <w:p w:rsidR="008B1272" w:rsidRPr="00FD1FD9" w:rsidRDefault="008B1272" w:rsidP="00FD1FD9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</w:rPr>
            </w:pPr>
            <w:r w:rsidRPr="00FD1FD9">
              <w:rPr>
                <w:rFonts w:ascii="Garamond" w:hAnsi="Garamond"/>
              </w:rPr>
              <w:t xml:space="preserve">– указанные даты периодов в соответствующих полях отчетной формы заполнены не в соответствии с пунктом 3.7 </w:t>
            </w:r>
            <w:r w:rsidRPr="00FD1FD9">
              <w:rPr>
                <w:rFonts w:ascii="Garamond" w:hAnsi="Garamond"/>
                <w:color w:val="000000"/>
              </w:rPr>
              <w:t xml:space="preserve">Методики сбора, подготовки и обработки информации по расчетам на розничных рынках электроэнергии, предоставляемой в соответствии с формами № 47 и № 47А, являющейся приложением 1 к </w:t>
            </w:r>
            <w:r w:rsidRPr="00FD1FD9">
              <w:rPr>
                <w:rFonts w:ascii="Garamond" w:hAnsi="Garamond"/>
                <w:i/>
                <w:color w:val="000000"/>
              </w:rPr>
              <w:t>Регламенту мониторинга энергосбытовой деятельности гарантирующих поставщиков и энергосбытовых организаций</w:t>
            </w:r>
            <w:r w:rsidRPr="00FD1FD9">
              <w:rPr>
                <w:rFonts w:ascii="Garamond" w:hAnsi="Garamond"/>
                <w:color w:val="000000"/>
              </w:rPr>
              <w:t xml:space="preserve"> </w:t>
            </w:r>
            <w:r w:rsidRPr="00FD1FD9">
              <w:rPr>
                <w:rFonts w:ascii="Garamond" w:hAnsi="Garamond"/>
              </w:rPr>
              <w:t xml:space="preserve">(Приложение № 29 к </w:t>
            </w:r>
            <w:r w:rsidRPr="00FD1FD9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FD1FD9">
              <w:rPr>
                <w:rFonts w:ascii="Garamond" w:hAnsi="Garamond"/>
              </w:rPr>
              <w:t>)</w:t>
            </w:r>
            <w:r w:rsidRPr="00FD1FD9">
              <w:rPr>
                <w:rFonts w:ascii="Garamond" w:hAnsi="Garamond"/>
                <w:color w:val="000000"/>
              </w:rPr>
              <w:t>,</w:t>
            </w:r>
            <w:r w:rsidRPr="00FD1FD9">
              <w:rPr>
                <w:rFonts w:ascii="Garamond" w:hAnsi="Garamond"/>
              </w:rPr>
              <w:t xml:space="preserve"> и (или) не соответствуют периоду, за который участник оптового рынка направляет отчетные данные;</w:t>
            </w:r>
          </w:p>
          <w:p w:rsidR="008B1272" w:rsidRPr="00FD1FD9" w:rsidRDefault="008B1272" w:rsidP="00FD1FD9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</w:rPr>
            </w:pPr>
            <w:r w:rsidRPr="00FD1FD9">
              <w:rPr>
                <w:rFonts w:ascii="Garamond" w:hAnsi="Garamond"/>
              </w:rPr>
              <w:t>– указанные участником оптового рынка уникальные коды энергосбытовых компаний, гарантирующих поставщиков не соответствуют кодам, присвоенным им инфраструктурными организациями;</w:t>
            </w:r>
          </w:p>
          <w:p w:rsidR="008B1272" w:rsidRDefault="008B1272" w:rsidP="00FD1FD9">
            <w:pPr>
              <w:widowControl w:val="0"/>
              <w:spacing w:before="120" w:after="120" w:line="240" w:lineRule="auto"/>
              <w:ind w:firstLine="601"/>
              <w:jc w:val="both"/>
              <w:rPr>
                <w:rFonts w:ascii="Garamond" w:hAnsi="Garamond"/>
              </w:rPr>
            </w:pPr>
            <w:r w:rsidRPr="00FD1FD9">
              <w:rPr>
                <w:rFonts w:ascii="Garamond" w:hAnsi="Garamond"/>
              </w:rPr>
              <w:t xml:space="preserve">– столбцы и строки заполнены не в соответствии с разделами 3, 5, 6, 7, 8 </w:t>
            </w:r>
            <w:r w:rsidRPr="00FD1FD9">
              <w:rPr>
                <w:rFonts w:ascii="Garamond" w:hAnsi="Garamond"/>
                <w:color w:val="000000"/>
              </w:rPr>
              <w:t xml:space="preserve">Методики сбора, подготовки и обработки информации по расчетам на розничных рынках электроэнергии, предоставляемой в соответствии с формами № 47 и № 47А, являющейся приложением 1 к </w:t>
            </w:r>
            <w:r w:rsidRPr="00FD1FD9">
              <w:rPr>
                <w:rFonts w:ascii="Garamond" w:hAnsi="Garamond"/>
                <w:i/>
                <w:color w:val="000000"/>
              </w:rPr>
              <w:t>Регламенту мониторинга энергосбытовой деятельности гарантирующих поставщиков и энергосбытовых организаций</w:t>
            </w:r>
            <w:r w:rsidRPr="00FD1FD9">
              <w:rPr>
                <w:rFonts w:ascii="Garamond" w:hAnsi="Garamond"/>
                <w:color w:val="000000"/>
              </w:rPr>
              <w:t xml:space="preserve"> </w:t>
            </w:r>
            <w:r w:rsidRPr="00FD1FD9">
              <w:rPr>
                <w:rFonts w:ascii="Garamond" w:hAnsi="Garamond"/>
              </w:rPr>
              <w:t xml:space="preserve">(Приложение № 29 к </w:t>
            </w:r>
            <w:r w:rsidRPr="00FD1FD9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FD1FD9">
              <w:rPr>
                <w:rFonts w:ascii="Garamond" w:hAnsi="Garamond"/>
              </w:rPr>
              <w:t>);</w:t>
            </w:r>
          </w:p>
          <w:p w:rsidR="008B1272" w:rsidRPr="00FD1FD9" w:rsidRDefault="008B1272" w:rsidP="00FD1FD9">
            <w:pPr>
              <w:widowControl w:val="0"/>
              <w:spacing w:before="120" w:after="120" w:line="240" w:lineRule="auto"/>
              <w:ind w:firstLine="601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:rsidR="008B1272" w:rsidRPr="002D59E1" w:rsidRDefault="008B1272" w:rsidP="00124EBE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  <w:color w:val="000000"/>
              </w:rPr>
            </w:pPr>
            <w:r w:rsidRPr="002D59E1">
              <w:rPr>
                <w:rFonts w:ascii="Garamond" w:hAnsi="Garamond"/>
              </w:rPr>
              <w:t xml:space="preserve">– отчетные формы приложения </w:t>
            </w:r>
            <w:r w:rsidRPr="002D59E1">
              <w:rPr>
                <w:rFonts w:ascii="Garamond" w:hAnsi="Garamond"/>
                <w:color w:val="000000"/>
              </w:rPr>
              <w:t>47а</w:t>
            </w:r>
            <w:r w:rsidRPr="002D59E1">
              <w:rPr>
                <w:rFonts w:ascii="Garamond" w:hAnsi="Garamond"/>
              </w:rPr>
              <w:t xml:space="preserve"> направлены в ЦФР без использования </w:t>
            </w:r>
            <w:r w:rsidRPr="002D59E1">
              <w:rPr>
                <w:rFonts w:ascii="Garamond" w:hAnsi="Garamond"/>
                <w:highlight w:val="yellow"/>
              </w:rPr>
              <w:t xml:space="preserve">ЭП в </w:t>
            </w:r>
            <w:r w:rsidRPr="002D59E1">
              <w:rPr>
                <w:rFonts w:ascii="Garamond" w:hAnsi="Garamond"/>
              </w:rPr>
              <w:t>ПО «АРМ участника».</w:t>
            </w:r>
          </w:p>
        </w:tc>
      </w:tr>
      <w:tr w:rsidR="008B1272" w:rsidRPr="009A030B" w:rsidTr="00417F49">
        <w:trPr>
          <w:trHeight w:val="2271"/>
        </w:trPr>
        <w:tc>
          <w:tcPr>
            <w:tcW w:w="950" w:type="dxa"/>
          </w:tcPr>
          <w:p w:rsidR="008B1272" w:rsidRPr="00417F49" w:rsidRDefault="008B1272" w:rsidP="00417F49">
            <w:pPr>
              <w:pStyle w:val="BodyText"/>
              <w:spacing w:before="120"/>
              <w:jc w:val="both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417F49">
              <w:rPr>
                <w:rFonts w:ascii="Garamond" w:hAnsi="Garamond"/>
                <w:b/>
                <w:color w:val="000000"/>
                <w:sz w:val="22"/>
                <w:szCs w:val="22"/>
              </w:rPr>
              <w:t>16.1.4</w:t>
            </w:r>
          </w:p>
        </w:tc>
        <w:tc>
          <w:tcPr>
            <w:tcW w:w="7150" w:type="dxa"/>
          </w:tcPr>
          <w:p w:rsidR="008B1272" w:rsidRPr="00350DA9" w:rsidRDefault="008B1272" w:rsidP="00CA7BDB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:rsidR="008B1272" w:rsidRPr="009F352F" w:rsidRDefault="008B1272" w:rsidP="00350DA9">
            <w:pPr>
              <w:widowControl w:val="0"/>
              <w:spacing w:before="120" w:after="120" w:line="240" w:lineRule="auto"/>
              <w:ind w:firstLine="646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</w:rPr>
              <w:t xml:space="preserve">ЦФР </w:t>
            </w:r>
            <w:r w:rsidRPr="009F352F">
              <w:rPr>
                <w:rFonts w:ascii="Garamond" w:hAnsi="Garamond"/>
              </w:rPr>
              <w:t>не принимает к учету отчетные данные, представленны</w:t>
            </w:r>
            <w:r w:rsidRPr="00350DA9">
              <w:rPr>
                <w:rFonts w:ascii="Garamond" w:hAnsi="Garamond"/>
                <w:highlight w:val="yellow"/>
              </w:rPr>
              <w:t>х</w:t>
            </w:r>
            <w:r w:rsidRPr="009F352F">
              <w:rPr>
                <w:rFonts w:ascii="Garamond" w:hAnsi="Garamond"/>
              </w:rPr>
              <w:t xml:space="preserve"> по форме приложения 49 </w:t>
            </w:r>
            <w:r w:rsidRPr="009F352F">
              <w:rPr>
                <w:rFonts w:ascii="Garamond" w:hAnsi="Garamond"/>
                <w:color w:val="000000"/>
              </w:rPr>
              <w:t>к настоящему Регламенту, если:</w:t>
            </w:r>
          </w:p>
          <w:p w:rsidR="008B1272" w:rsidRPr="009F352F" w:rsidRDefault="008B1272" w:rsidP="00350DA9">
            <w:pPr>
              <w:widowControl w:val="0"/>
              <w:spacing w:before="120" w:after="120" w:line="240" w:lineRule="auto"/>
              <w:ind w:firstLine="646"/>
              <w:jc w:val="both"/>
              <w:rPr>
                <w:rFonts w:ascii="Garamond" w:hAnsi="Garamond"/>
                <w:color w:val="000000"/>
              </w:rPr>
            </w:pPr>
            <w:r w:rsidRPr="009F352F">
              <w:rPr>
                <w:rFonts w:ascii="Garamond" w:hAnsi="Garamond"/>
                <w:color w:val="000000"/>
              </w:rPr>
              <w:t>…</w:t>
            </w:r>
          </w:p>
          <w:p w:rsidR="008B1272" w:rsidRPr="009F352F" w:rsidRDefault="008B1272" w:rsidP="00350DA9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  <w:highlight w:val="yellow"/>
              </w:rPr>
            </w:pPr>
            <w:r w:rsidRPr="009F352F">
              <w:rPr>
                <w:rFonts w:ascii="Garamond" w:hAnsi="Garamond"/>
              </w:rPr>
              <w:t>– отчетные формы направлены в ЦФР без использования</w:t>
            </w:r>
            <w:r>
              <w:rPr>
                <w:rFonts w:ascii="Garamond" w:hAnsi="Garamond"/>
              </w:rPr>
              <w:t xml:space="preserve"> </w:t>
            </w:r>
            <w:r w:rsidRPr="009F352F">
              <w:rPr>
                <w:rFonts w:ascii="Garamond" w:hAnsi="Garamond"/>
              </w:rPr>
              <w:t>ПО «АРМ участника».</w:t>
            </w:r>
          </w:p>
        </w:tc>
        <w:tc>
          <w:tcPr>
            <w:tcW w:w="6946" w:type="dxa"/>
          </w:tcPr>
          <w:p w:rsidR="008B1272" w:rsidRDefault="008B1272" w:rsidP="009F352F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…</w:t>
            </w:r>
          </w:p>
          <w:p w:rsidR="008B1272" w:rsidRPr="00350DA9" w:rsidRDefault="008B1272" w:rsidP="00350DA9">
            <w:pPr>
              <w:widowControl w:val="0"/>
              <w:spacing w:before="120" w:after="120" w:line="240" w:lineRule="auto"/>
              <w:ind w:firstLine="646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ЦФР </w:t>
            </w:r>
            <w:r w:rsidRPr="00350DA9">
              <w:rPr>
                <w:rFonts w:ascii="Garamond" w:hAnsi="Garamond"/>
              </w:rPr>
              <w:t>не принимает к учету отчетные данные, представленны</w:t>
            </w:r>
            <w:r w:rsidRPr="00350DA9">
              <w:rPr>
                <w:rFonts w:ascii="Garamond" w:hAnsi="Garamond"/>
                <w:highlight w:val="yellow"/>
              </w:rPr>
              <w:t>е</w:t>
            </w:r>
            <w:r w:rsidRPr="00350DA9">
              <w:rPr>
                <w:rFonts w:ascii="Garamond" w:hAnsi="Garamond"/>
              </w:rPr>
              <w:t xml:space="preserve"> по форме приложения 49 </w:t>
            </w:r>
            <w:r w:rsidRPr="00350DA9">
              <w:rPr>
                <w:rFonts w:ascii="Garamond" w:hAnsi="Garamond"/>
                <w:color w:val="000000"/>
              </w:rPr>
              <w:t>к настоящему Регламенту, если:</w:t>
            </w:r>
          </w:p>
          <w:p w:rsidR="008B1272" w:rsidRPr="00350DA9" w:rsidRDefault="008B1272" w:rsidP="00350DA9">
            <w:pPr>
              <w:widowControl w:val="0"/>
              <w:spacing w:before="120" w:after="120" w:line="240" w:lineRule="auto"/>
              <w:ind w:firstLine="646"/>
              <w:jc w:val="both"/>
              <w:rPr>
                <w:rFonts w:ascii="Garamond" w:hAnsi="Garamond"/>
                <w:color w:val="000000"/>
              </w:rPr>
            </w:pPr>
            <w:r w:rsidRPr="00350DA9">
              <w:rPr>
                <w:rFonts w:ascii="Garamond" w:hAnsi="Garamond"/>
                <w:color w:val="000000"/>
              </w:rPr>
              <w:t>…</w:t>
            </w:r>
          </w:p>
          <w:p w:rsidR="008B1272" w:rsidRPr="009F352F" w:rsidRDefault="008B1272" w:rsidP="00350DA9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  <w:color w:val="000000"/>
              </w:rPr>
            </w:pPr>
            <w:r w:rsidRPr="00350DA9">
              <w:rPr>
                <w:rFonts w:ascii="Garamond" w:hAnsi="Garamond"/>
              </w:rPr>
              <w:t xml:space="preserve">– отчетные формы направлены в ЦФР без использования </w:t>
            </w:r>
            <w:r>
              <w:rPr>
                <w:rFonts w:ascii="Garamond" w:hAnsi="Garamond"/>
                <w:highlight w:val="yellow"/>
              </w:rPr>
              <w:t xml:space="preserve">ЭП в </w:t>
            </w:r>
            <w:r w:rsidRPr="00350DA9">
              <w:rPr>
                <w:rFonts w:ascii="Garamond" w:hAnsi="Garamond"/>
              </w:rPr>
              <w:t>ПО «АРМ участника».</w:t>
            </w:r>
          </w:p>
        </w:tc>
      </w:tr>
    </w:tbl>
    <w:p w:rsidR="008B1272" w:rsidRDefault="008B1272" w:rsidP="00A42974">
      <w:pPr>
        <w:rPr>
          <w:rFonts w:ascii="Garamond" w:hAnsi="Garamond"/>
          <w:b/>
          <w:iCs/>
          <w:sz w:val="26"/>
          <w:szCs w:val="26"/>
        </w:rPr>
      </w:pPr>
      <w:r w:rsidRPr="008A60C1">
        <w:rPr>
          <w:rFonts w:ascii="Garamond" w:hAnsi="Garamond"/>
          <w:b/>
          <w:iCs/>
          <w:sz w:val="26"/>
          <w:szCs w:val="26"/>
        </w:rPr>
        <w:t xml:space="preserve">Предложения по изменениям и дополнениям в </w:t>
      </w:r>
      <w:r w:rsidRPr="008A60C1">
        <w:rPr>
          <w:rFonts w:ascii="Garamond" w:hAnsi="Garamond"/>
          <w:b/>
          <w:bCs/>
          <w:sz w:val="26"/>
          <w:szCs w:val="26"/>
        </w:rPr>
        <w:t xml:space="preserve">СОГЛАШЕНИЕ </w:t>
      </w:r>
      <w:r w:rsidRPr="008A60C1">
        <w:rPr>
          <w:rFonts w:ascii="Garamond" w:hAnsi="Garamond"/>
          <w:b/>
          <w:bCs/>
          <w:caps/>
          <w:sz w:val="26"/>
          <w:szCs w:val="26"/>
        </w:rPr>
        <w:t>о применении электронной подписи в торговой системе оптового рынка</w:t>
      </w:r>
      <w:r w:rsidRPr="008A60C1">
        <w:rPr>
          <w:rFonts w:ascii="Garamond" w:hAnsi="Garamond"/>
          <w:b/>
          <w:iCs/>
          <w:sz w:val="26"/>
          <w:szCs w:val="26"/>
        </w:rPr>
        <w:t xml:space="preserve"> (</w:t>
      </w:r>
      <w:r w:rsidRPr="008A60C1">
        <w:rPr>
          <w:rFonts w:ascii="Garamond" w:hAnsi="Garamond"/>
          <w:b/>
          <w:bCs/>
          <w:sz w:val="26"/>
          <w:szCs w:val="26"/>
        </w:rPr>
        <w:t xml:space="preserve">Приложение № Д 7 </w:t>
      </w:r>
      <w:r w:rsidRPr="008A60C1">
        <w:rPr>
          <w:rFonts w:ascii="Garamond" w:hAnsi="Garamond"/>
          <w:b/>
          <w:sz w:val="26"/>
          <w:szCs w:val="26"/>
        </w:rPr>
        <w:t>к Договору о присоединении к торговой системе оптового рынка</w:t>
      </w:r>
      <w:r w:rsidRPr="008A60C1">
        <w:rPr>
          <w:rFonts w:ascii="Garamond" w:hAnsi="Garamond"/>
          <w:b/>
          <w:iCs/>
          <w:sz w:val="26"/>
          <w:szCs w:val="26"/>
        </w:rPr>
        <w:t>)</w:t>
      </w:r>
    </w:p>
    <w:p w:rsidR="008B1272" w:rsidRPr="008A60C1" w:rsidRDefault="008B1272" w:rsidP="00A42974">
      <w:pPr>
        <w:rPr>
          <w:rFonts w:ascii="Garamond" w:hAnsi="Garamond"/>
          <w:b/>
          <w:iCs/>
          <w:sz w:val="26"/>
          <w:szCs w:val="26"/>
        </w:rPr>
      </w:pPr>
      <w:r>
        <w:rPr>
          <w:rFonts w:ascii="Garamond" w:hAnsi="Garamond"/>
          <w:b/>
          <w:i/>
        </w:rPr>
        <w:t xml:space="preserve">Изменить позиции в </w:t>
      </w:r>
      <w:r w:rsidRPr="008A60C1">
        <w:rPr>
          <w:rFonts w:ascii="Garamond" w:hAnsi="Garamond"/>
          <w:b/>
          <w:i/>
        </w:rPr>
        <w:t>приложени</w:t>
      </w:r>
      <w:r>
        <w:rPr>
          <w:rFonts w:ascii="Garamond" w:hAnsi="Garamond"/>
          <w:b/>
          <w:i/>
        </w:rPr>
        <w:t>и</w:t>
      </w:r>
      <w:r w:rsidRPr="008A60C1">
        <w:rPr>
          <w:rFonts w:ascii="Garamond" w:hAnsi="Garamond"/>
          <w:b/>
          <w:i/>
        </w:rPr>
        <w:t xml:space="preserve"> 2 </w:t>
      </w:r>
      <w:r w:rsidRPr="008A60C1">
        <w:rPr>
          <w:rFonts w:ascii="Garamond" w:hAnsi="Garamond"/>
          <w:b/>
        </w:rPr>
        <w:t>к</w:t>
      </w:r>
      <w:r w:rsidRPr="008A60C1">
        <w:rPr>
          <w:rFonts w:ascii="Garamond" w:hAnsi="Garamond"/>
          <w:b/>
          <w:i/>
        </w:rPr>
        <w:t xml:space="preserve"> Правилам ЭДО СЭД КО</w:t>
      </w:r>
      <w:r>
        <w:rPr>
          <w:rFonts w:ascii="Garamond" w:hAnsi="Garamond"/>
          <w:b/>
          <w:i/>
        </w:rPr>
        <w:t>:</w:t>
      </w:r>
    </w:p>
    <w:p w:rsidR="008B1272" w:rsidRPr="00A42974" w:rsidRDefault="008B1272" w:rsidP="008A60C1">
      <w:pPr>
        <w:pStyle w:val="ListParagraph"/>
        <w:rPr>
          <w:rFonts w:ascii="Garamond" w:hAnsi="Garamond"/>
          <w:b/>
          <w:i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>Действующая редакция</w:t>
      </w:r>
    </w:p>
    <w:tbl>
      <w:tblPr>
        <w:tblW w:w="15701" w:type="dxa"/>
        <w:jc w:val="center"/>
        <w:tblLayout w:type="fixed"/>
        <w:tblLook w:val="00A0"/>
      </w:tblPr>
      <w:tblGrid>
        <w:gridCol w:w="1277"/>
        <w:gridCol w:w="3807"/>
        <w:gridCol w:w="1276"/>
        <w:gridCol w:w="757"/>
        <w:gridCol w:w="802"/>
        <w:gridCol w:w="789"/>
        <w:gridCol w:w="1176"/>
        <w:gridCol w:w="700"/>
        <w:gridCol w:w="701"/>
        <w:gridCol w:w="1301"/>
        <w:gridCol w:w="1421"/>
        <w:gridCol w:w="851"/>
        <w:gridCol w:w="843"/>
      </w:tblGrid>
      <w:tr w:rsidR="008B1272" w:rsidRPr="00A42974" w:rsidTr="00F146AF">
        <w:trPr>
          <w:trHeight w:val="778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8B1272" w:rsidRPr="00A42974" w:rsidRDefault="008B1272" w:rsidP="00F146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974">
              <w:rPr>
                <w:rFonts w:ascii="Arial" w:hAnsi="Arial" w:cs="Arial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8B1272" w:rsidRPr="00A42974" w:rsidRDefault="008B1272" w:rsidP="00F146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974">
              <w:rPr>
                <w:rFonts w:ascii="Arial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8B1272" w:rsidRPr="00A42974" w:rsidRDefault="008B1272" w:rsidP="00F146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974">
              <w:rPr>
                <w:rFonts w:ascii="Arial" w:hAnsi="Arial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8B1272" w:rsidRPr="00A42974" w:rsidRDefault="008B1272" w:rsidP="00F146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974">
              <w:rPr>
                <w:rFonts w:ascii="Arial" w:hAnsi="Arial" w:cs="Arial"/>
                <w:color w:val="000000"/>
                <w:sz w:val="18"/>
                <w:szCs w:val="18"/>
              </w:rPr>
              <w:t>Формат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8B1272" w:rsidRPr="00A42974" w:rsidRDefault="008B1272" w:rsidP="00F146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974">
              <w:rPr>
                <w:rFonts w:ascii="Arial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8B1272" w:rsidRPr="00A42974" w:rsidRDefault="008B1272" w:rsidP="00F146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974">
              <w:rPr>
                <w:rFonts w:ascii="Arial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8B1272" w:rsidRPr="00A42974" w:rsidRDefault="008B1272" w:rsidP="00F146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974">
              <w:rPr>
                <w:rFonts w:ascii="Arial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8B1272" w:rsidRPr="00A42974" w:rsidRDefault="008B1272" w:rsidP="00F146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974">
              <w:rPr>
                <w:rFonts w:ascii="Arial" w:hAnsi="Arial" w:cs="Arial"/>
                <w:color w:val="000000"/>
                <w:sz w:val="18"/>
                <w:szCs w:val="18"/>
              </w:rPr>
              <w:t>Подтверждать получение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8B1272" w:rsidRPr="00A42974" w:rsidRDefault="008B1272" w:rsidP="00F146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974">
              <w:rPr>
                <w:rFonts w:ascii="Arial" w:hAnsi="Arial" w:cs="Arial"/>
                <w:color w:val="000000"/>
                <w:sz w:val="18"/>
                <w:szCs w:val="18"/>
              </w:rPr>
              <w:t>Шифровать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8B1272" w:rsidRPr="00A42974" w:rsidRDefault="008B1272" w:rsidP="00F146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974">
              <w:rPr>
                <w:rFonts w:ascii="Arial" w:hAnsi="Arial" w:cs="Arial"/>
                <w:color w:val="000000"/>
                <w:sz w:val="18"/>
                <w:szCs w:val="18"/>
              </w:rPr>
              <w:t>Область применения ЭП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8B1272" w:rsidRPr="00A42974" w:rsidRDefault="008B1272" w:rsidP="00F146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974">
              <w:rPr>
                <w:rFonts w:ascii="Arial" w:hAnsi="Arial" w:cs="Arial"/>
                <w:color w:val="000000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B1272" w:rsidRPr="00A42974" w:rsidRDefault="008B1272" w:rsidP="00F146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974">
              <w:rPr>
                <w:rFonts w:ascii="Arial" w:hAnsi="Arial" w:cs="Arial"/>
                <w:color w:val="000000"/>
                <w:sz w:val="18"/>
                <w:szCs w:val="18"/>
              </w:rPr>
              <w:t>Срок хранения ЭД в архиве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B1272" w:rsidRPr="00A42974" w:rsidRDefault="008B1272" w:rsidP="00F146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974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Срок доступа через интерфейс сайта</w:t>
            </w:r>
          </w:p>
        </w:tc>
      </w:tr>
      <w:tr w:rsidR="008B1272" w:rsidRPr="00A42974" w:rsidTr="002D13D0">
        <w:trPr>
          <w:trHeight w:val="82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CFR_PART_DOP_F47_NOTICE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 xml:space="preserve">Уведомление участника оптового рынка об обязанности предоставления информации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16.1.3.1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docx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A42974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97458">
              <w:rPr>
                <w:rFonts w:ascii="Arial" w:hAnsi="Arial" w:cs="Arial"/>
                <w:color w:val="000000"/>
                <w:sz w:val="18"/>
                <w:szCs w:val="18"/>
              </w:rPr>
              <w:t>1.3.6.1.4.1.18545.1.2.1.</w:t>
            </w:r>
            <w:r w:rsidRPr="00A42974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 xml:space="preserve"> Word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A42974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297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B1272" w:rsidRPr="00A42974" w:rsidTr="00F146AF">
        <w:trPr>
          <w:trHeight w:val="94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CFR_PART_DOP_F47_ACCEPT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Уведомление участника оптового рынка о факте исполнения или неисполнения им обязанности предоставления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16.1.3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docx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A42974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97458">
              <w:rPr>
                <w:rFonts w:ascii="Arial" w:hAnsi="Arial" w:cs="Arial"/>
                <w:color w:val="000000"/>
                <w:sz w:val="18"/>
                <w:szCs w:val="18"/>
              </w:rPr>
              <w:t>1.3.6.1.4.1.18545.1.2.1.</w:t>
            </w:r>
            <w:r w:rsidRPr="00A42974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 xml:space="preserve"> Word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A42974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9745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B1272" w:rsidRPr="00A42974" w:rsidTr="00D275DA">
        <w:trPr>
          <w:trHeight w:val="17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CFR_PART_DOP_F47_REJECT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Уведомление участника оптового рынка об отказе в приеме отчета при обработке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16.1.3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docx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A42974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97458">
              <w:rPr>
                <w:rFonts w:ascii="Arial" w:hAnsi="Arial" w:cs="Arial"/>
                <w:color w:val="000000"/>
                <w:sz w:val="18"/>
                <w:szCs w:val="18"/>
              </w:rPr>
              <w:t>1.3.6.1.4.1.18545.1.2.1.</w:t>
            </w:r>
            <w:r w:rsidRPr="00A42974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 xml:space="preserve"> Word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A42974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4297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B1272" w:rsidRPr="00A42974" w:rsidTr="00F146AF">
        <w:trPr>
          <w:trHeight w:val="94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CFR_PART_DOP_RSBU_ACCEPT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Уведомление участника оптового рынка о выполнении обязанности предоставления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16.1.2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docx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A42974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97458">
              <w:rPr>
                <w:rFonts w:ascii="Arial" w:hAnsi="Arial" w:cs="Arial"/>
                <w:color w:val="000000"/>
                <w:sz w:val="18"/>
                <w:szCs w:val="18"/>
              </w:rPr>
              <w:t>1.3.6.1.4.1.18545.1.2.1.</w:t>
            </w:r>
            <w:r w:rsidRPr="00A42974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 xml:space="preserve"> Word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A42974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4297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B1272" w:rsidRPr="00A42974" w:rsidTr="00F146AF">
        <w:trPr>
          <w:trHeight w:val="94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CFR_PART_DOP_RSBU_REJECT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Уведомление участника оптового рынка об отказе в приеме отчета при обработке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16.1.2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docx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A42974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97458">
              <w:rPr>
                <w:rFonts w:ascii="Arial" w:hAnsi="Arial" w:cs="Arial"/>
                <w:color w:val="000000"/>
                <w:sz w:val="18"/>
                <w:szCs w:val="18"/>
              </w:rPr>
              <w:t>1.3.6.1.4.1.18545.1.2.1.</w:t>
            </w:r>
            <w:r w:rsidRPr="00A42974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 xml:space="preserve"> Word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A42974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4297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B1272" w:rsidRPr="00A42974" w:rsidTr="00F146AF">
        <w:trPr>
          <w:trHeight w:val="94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CFR_PART_DOP_RSBU_FORMDDS_NOTICE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Уведомление участника оптового рынка о необходимости предоставления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пп. 16.1.2,16.1.4</w:t>
            </w:r>
            <w:r w:rsidRPr="0047513B" w:rsidDel="001A64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docx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A42974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97458">
              <w:rPr>
                <w:rFonts w:ascii="Arial" w:hAnsi="Arial" w:cs="Arial"/>
                <w:color w:val="000000"/>
                <w:sz w:val="18"/>
                <w:szCs w:val="18"/>
              </w:rPr>
              <w:t>1.3.6.1.4.1.18545.1.2.1.</w:t>
            </w:r>
            <w:r w:rsidRPr="00A42974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 xml:space="preserve"> Word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A42974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4297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B1272" w:rsidRPr="00A42974" w:rsidTr="00F146AF">
        <w:trPr>
          <w:trHeight w:val="94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CFR_PART_DOP_REP_FORMDDS_ACCEPT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Уведомление участника оптового рынка о необходимости предоставления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16.1.4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docx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A42974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97458">
              <w:rPr>
                <w:rFonts w:ascii="Arial" w:hAnsi="Arial" w:cs="Arial"/>
                <w:color w:val="000000"/>
                <w:sz w:val="18"/>
                <w:szCs w:val="18"/>
              </w:rPr>
              <w:t>1.3.6.1.4.1.18545.1.2.1.</w:t>
            </w:r>
            <w:r w:rsidRPr="00A42974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 xml:space="preserve"> Word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A42974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4297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B1272" w:rsidRPr="00A42974" w:rsidTr="00350DA9">
        <w:trPr>
          <w:trHeight w:val="27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CFR_PART_DOP_REP_FORMDDS_REJECT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Уведомление участника оптового рынка об отказе в приеме отчета при обработке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16.1.4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docx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A42974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97458">
              <w:rPr>
                <w:rFonts w:ascii="Arial" w:hAnsi="Arial" w:cs="Arial"/>
                <w:color w:val="000000"/>
                <w:sz w:val="18"/>
                <w:szCs w:val="18"/>
              </w:rPr>
              <w:t>1.3.6.1.4.1.18545.1.2.1.</w:t>
            </w:r>
            <w:r w:rsidRPr="00A42974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 xml:space="preserve"> Word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A42974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4297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B1272" w:rsidRPr="00A42974" w:rsidTr="00F146AF">
        <w:trPr>
          <w:trHeight w:val="94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CFR_PART_RSBU_FORMDDS_F47_OK 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Уведомление о приеме отчета при обработке информации в соответствии с п. 16.X.X Регламента финансовых расчетов на оптовом рынке электроэнергии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пп. 16.1.2–16.1.4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docx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A42974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97458">
              <w:rPr>
                <w:rFonts w:ascii="Arial" w:hAnsi="Arial" w:cs="Arial"/>
                <w:color w:val="000000"/>
                <w:sz w:val="18"/>
                <w:szCs w:val="18"/>
              </w:rPr>
              <w:t>1.3.6.1.4.1.18545.1.2.1.</w:t>
            </w:r>
            <w:r w:rsidRPr="00A42974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 xml:space="preserve"> Word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A42974" w:rsidRDefault="008B1272" w:rsidP="00F146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4297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8B1272" w:rsidRPr="008A60C1" w:rsidRDefault="008B1272" w:rsidP="00D275DA">
      <w:pPr>
        <w:spacing w:after="0" w:line="240" w:lineRule="auto"/>
        <w:ind w:left="426" w:firstLine="708"/>
        <w:jc w:val="center"/>
        <w:rPr>
          <w:rFonts w:ascii="Garamond" w:hAnsi="Garamond"/>
          <w:sz w:val="24"/>
          <w:szCs w:val="26"/>
        </w:rPr>
      </w:pPr>
    </w:p>
    <w:p w:rsidR="008B1272" w:rsidRPr="0047513B" w:rsidRDefault="008B1272" w:rsidP="0047513B">
      <w:pPr>
        <w:rPr>
          <w:b/>
          <w:i/>
          <w:sz w:val="24"/>
          <w:szCs w:val="24"/>
        </w:rPr>
      </w:pPr>
      <w:r w:rsidRPr="0047513B">
        <w:rPr>
          <w:rFonts w:ascii="Garamond" w:hAnsi="Garamond"/>
          <w:b/>
          <w:i/>
          <w:sz w:val="24"/>
          <w:szCs w:val="24"/>
        </w:rPr>
        <w:t xml:space="preserve">Предлагаемая редакция </w:t>
      </w:r>
    </w:p>
    <w:tbl>
      <w:tblPr>
        <w:tblW w:w="15701" w:type="dxa"/>
        <w:jc w:val="center"/>
        <w:tblLayout w:type="fixed"/>
        <w:tblLook w:val="00A0"/>
      </w:tblPr>
      <w:tblGrid>
        <w:gridCol w:w="1277"/>
        <w:gridCol w:w="3807"/>
        <w:gridCol w:w="1276"/>
        <w:gridCol w:w="757"/>
        <w:gridCol w:w="802"/>
        <w:gridCol w:w="789"/>
        <w:gridCol w:w="1176"/>
        <w:gridCol w:w="700"/>
        <w:gridCol w:w="701"/>
        <w:gridCol w:w="1301"/>
        <w:gridCol w:w="1421"/>
        <w:gridCol w:w="851"/>
        <w:gridCol w:w="843"/>
      </w:tblGrid>
      <w:tr w:rsidR="008B1272" w:rsidRPr="00C87E00" w:rsidTr="00124EBE">
        <w:trPr>
          <w:trHeight w:val="778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8B1272" w:rsidRPr="00C87E00" w:rsidRDefault="008B1272" w:rsidP="00124E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7E00">
              <w:rPr>
                <w:rFonts w:ascii="Arial" w:hAnsi="Arial" w:cs="Arial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8B1272" w:rsidRPr="00C87E00" w:rsidRDefault="008B1272" w:rsidP="00124E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7E00">
              <w:rPr>
                <w:rFonts w:ascii="Arial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8B1272" w:rsidRPr="00C87E00" w:rsidRDefault="008B1272" w:rsidP="00124E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7E00">
              <w:rPr>
                <w:rFonts w:ascii="Arial" w:hAnsi="Arial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8B1272" w:rsidRPr="00C87E00" w:rsidRDefault="008B1272" w:rsidP="00124E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7E00">
              <w:rPr>
                <w:rFonts w:ascii="Arial" w:hAnsi="Arial" w:cs="Arial"/>
                <w:color w:val="000000"/>
                <w:sz w:val="18"/>
                <w:szCs w:val="18"/>
              </w:rPr>
              <w:t>Формат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8B1272" w:rsidRPr="00C87E00" w:rsidRDefault="008B1272" w:rsidP="00124E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7E00">
              <w:rPr>
                <w:rFonts w:ascii="Arial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8B1272" w:rsidRPr="00C87E00" w:rsidRDefault="008B1272" w:rsidP="00124E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7E00">
              <w:rPr>
                <w:rFonts w:ascii="Arial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8B1272" w:rsidRPr="00C87E00" w:rsidRDefault="008B1272" w:rsidP="00124E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7E00">
              <w:rPr>
                <w:rFonts w:ascii="Arial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8B1272" w:rsidRPr="00C87E00" w:rsidRDefault="008B1272" w:rsidP="00124E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7E00">
              <w:rPr>
                <w:rFonts w:ascii="Arial" w:hAnsi="Arial" w:cs="Arial"/>
                <w:color w:val="000000"/>
                <w:sz w:val="18"/>
                <w:szCs w:val="18"/>
              </w:rPr>
              <w:t>Подтверждать получение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8B1272" w:rsidRPr="00C87E00" w:rsidRDefault="008B1272" w:rsidP="00124E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7E00">
              <w:rPr>
                <w:rFonts w:ascii="Arial" w:hAnsi="Arial" w:cs="Arial"/>
                <w:color w:val="000000"/>
                <w:sz w:val="18"/>
                <w:szCs w:val="18"/>
              </w:rPr>
              <w:t>Шифровать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8B1272" w:rsidRPr="00C87E00" w:rsidRDefault="008B1272" w:rsidP="00124E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7E00">
              <w:rPr>
                <w:rFonts w:ascii="Arial" w:hAnsi="Arial" w:cs="Arial"/>
                <w:color w:val="000000"/>
                <w:sz w:val="18"/>
                <w:szCs w:val="18"/>
              </w:rPr>
              <w:t>Область применения ЭП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8B1272" w:rsidRPr="00C87E00" w:rsidRDefault="008B1272" w:rsidP="00124E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7E00">
              <w:rPr>
                <w:rFonts w:ascii="Arial" w:hAnsi="Arial" w:cs="Arial"/>
                <w:color w:val="000000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B1272" w:rsidRPr="00C87E00" w:rsidRDefault="008B1272" w:rsidP="00124E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7E00">
              <w:rPr>
                <w:rFonts w:ascii="Arial" w:hAnsi="Arial" w:cs="Arial"/>
                <w:color w:val="000000"/>
                <w:sz w:val="18"/>
                <w:szCs w:val="18"/>
              </w:rPr>
              <w:t>Срок хранения ЭД в архиве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B1272" w:rsidRPr="00C87E00" w:rsidRDefault="008B1272" w:rsidP="00124E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Срок доступа через интерфейс сайта</w:t>
            </w:r>
          </w:p>
        </w:tc>
      </w:tr>
      <w:tr w:rsidR="008B1272" w:rsidRPr="00C87E00" w:rsidTr="00124EBE">
        <w:trPr>
          <w:trHeight w:val="94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CFR_PART_DOP_F47_NOTICE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 xml:space="preserve">Уведомление участника оптового рынка об обязанности предоставления информации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16.1.3.1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docx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C87E00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97458">
              <w:rPr>
                <w:rFonts w:ascii="Arial" w:hAnsi="Arial" w:cs="Arial"/>
                <w:color w:val="000000"/>
                <w:sz w:val="18"/>
                <w:szCs w:val="18"/>
              </w:rPr>
              <w:t>1.3.6.1.4.1.18545.1.2.1.</w:t>
            </w:r>
            <w: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 xml:space="preserve"> Word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C87E00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7E0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B1272" w:rsidRPr="00C87E00" w:rsidTr="00124EBE">
        <w:trPr>
          <w:trHeight w:val="94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CFR_PART_DOP_F47_ACCEPT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Уведомление участника оптового рынка о факте исполнения или неисполнения им обязанности предоставления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16.1.3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docx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C87E00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97458">
              <w:rPr>
                <w:rFonts w:ascii="Arial" w:hAnsi="Arial" w:cs="Arial"/>
                <w:color w:val="000000"/>
                <w:sz w:val="18"/>
                <w:szCs w:val="18"/>
              </w:rPr>
              <w:t>1.3.6.1.4.1.18545.1.2.1.</w:t>
            </w:r>
            <w: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 xml:space="preserve"> Word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B1272" w:rsidRPr="00C87E00" w:rsidTr="00124EBE">
        <w:trPr>
          <w:trHeight w:val="17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CFR_PART_DOP_F47_REJECT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Уведомление участника оптового рынка об отказе в приеме отчета при обработке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16.1.3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docx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C87E00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97458">
              <w:rPr>
                <w:rFonts w:ascii="Arial" w:hAnsi="Arial" w:cs="Arial"/>
                <w:color w:val="000000"/>
                <w:sz w:val="18"/>
                <w:szCs w:val="18"/>
              </w:rPr>
              <w:t>1.3.6.1.4.1.18545.1.2.1.</w:t>
            </w:r>
            <w: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 xml:space="preserve"> Word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7E0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B1272" w:rsidRPr="00C87E00" w:rsidTr="00124EBE">
        <w:trPr>
          <w:trHeight w:val="94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CFR_PART_DOP_RSBU_ACCEPT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Уведомление участника оптового рынка о выполнении обязанности предоставления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16.1.2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docx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C87E00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97458">
              <w:rPr>
                <w:rFonts w:ascii="Arial" w:hAnsi="Arial" w:cs="Arial"/>
                <w:color w:val="000000"/>
                <w:sz w:val="18"/>
                <w:szCs w:val="18"/>
              </w:rPr>
              <w:t>1.3.6.1.4.1.18545.1.2.1.</w:t>
            </w:r>
            <w: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 xml:space="preserve"> Word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7E0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B1272" w:rsidRPr="00C87E00" w:rsidTr="00124EBE">
        <w:trPr>
          <w:trHeight w:val="94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CFR_PART_DOP_RSBU_REJECT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Уведомление участника оптового рынка об отказе в приеме отчета при обработке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16.1.2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docx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C87E00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97458">
              <w:rPr>
                <w:rFonts w:ascii="Arial" w:hAnsi="Arial" w:cs="Arial"/>
                <w:color w:val="000000"/>
                <w:sz w:val="18"/>
                <w:szCs w:val="18"/>
              </w:rPr>
              <w:t>1.3.6.1.4.1.18545.1.2.1.</w:t>
            </w:r>
            <w: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 xml:space="preserve"> Word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7E0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B1272" w:rsidRPr="00C87E00" w:rsidTr="00124EBE">
        <w:trPr>
          <w:trHeight w:val="94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CFR_PART_DOP_RSBU_FORMDDS_NOTICE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Уведомление участника оптового рынка о необходимости предоставления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пп. 16.1.2,16.1.4</w:t>
            </w:r>
            <w:r w:rsidRPr="0047513B" w:rsidDel="001A64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docx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C87E00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97458">
              <w:rPr>
                <w:rFonts w:ascii="Arial" w:hAnsi="Arial" w:cs="Arial"/>
                <w:color w:val="000000"/>
                <w:sz w:val="18"/>
                <w:szCs w:val="18"/>
              </w:rPr>
              <w:t>1.3.6.1.4.1.18545.1.2.1.</w:t>
            </w:r>
            <w: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 xml:space="preserve"> Word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7E0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B1272" w:rsidRPr="00C87E00" w:rsidTr="002D13D0">
        <w:trPr>
          <w:trHeight w:val="17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CFR_PART_DOP_REP_FORMDDS_ACCEPT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Уведомление участника оптового рынка о необходимости предоставления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16.1.4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docx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C87E00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97458">
              <w:rPr>
                <w:rFonts w:ascii="Arial" w:hAnsi="Arial" w:cs="Arial"/>
                <w:color w:val="000000"/>
                <w:sz w:val="18"/>
                <w:szCs w:val="18"/>
              </w:rPr>
              <w:t>1.3.6.1.4.1.18545.1.2.1.</w:t>
            </w:r>
            <w: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 xml:space="preserve"> Word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7E0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B1272" w:rsidRPr="00C87E00" w:rsidTr="00124EBE">
        <w:trPr>
          <w:trHeight w:val="94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CFR_PART_DOP_REP_FORMDDS_REJECT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Уведомление участника оптового рынка об отказе в приеме отчета при обработке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16.1.4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docx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C87E00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97458">
              <w:rPr>
                <w:rFonts w:ascii="Arial" w:hAnsi="Arial" w:cs="Arial"/>
                <w:color w:val="000000"/>
                <w:sz w:val="18"/>
                <w:szCs w:val="18"/>
              </w:rPr>
              <w:t>1.3.6.1.4.1.18545.1.2.1.</w:t>
            </w:r>
            <w: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 xml:space="preserve"> Word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7E0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B1272" w:rsidRPr="00A42974" w:rsidTr="00124EBE">
        <w:trPr>
          <w:trHeight w:val="94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CFR_PART_RSBU_FORMDDS_F47_OK 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Уведомление о приеме отчета при обработке информации в соответствии с п. 16.X.X Регламента финансовых расчетов на оптовом рынке электроэнергии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пп. 16.1.2–16.1.4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docx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C87E00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97458">
              <w:rPr>
                <w:rFonts w:ascii="Arial" w:hAnsi="Arial" w:cs="Arial"/>
                <w:color w:val="000000"/>
                <w:sz w:val="18"/>
                <w:szCs w:val="18"/>
              </w:rPr>
              <w:t>1.3.6.1.4.1.18545.1.2.1.</w:t>
            </w:r>
            <w: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 xml:space="preserve"> Word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13B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272" w:rsidRPr="0047513B" w:rsidRDefault="008B1272" w:rsidP="00124EB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7E0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8B1272" w:rsidRPr="0047513B" w:rsidRDefault="008B1272" w:rsidP="0047513B">
      <w:pPr>
        <w:rPr>
          <w:highlight w:val="yellow"/>
        </w:rPr>
      </w:pPr>
    </w:p>
    <w:p w:rsidR="008B1272" w:rsidRDefault="008B1272" w:rsidP="00350DA9">
      <w:pPr>
        <w:widowControl w:val="0"/>
        <w:jc w:val="right"/>
        <w:rPr>
          <w:rFonts w:ascii="Garamond" w:hAnsi="Garamond"/>
          <w:sz w:val="24"/>
          <w:szCs w:val="26"/>
        </w:rPr>
      </w:pPr>
    </w:p>
    <w:sectPr w:rsidR="008B1272" w:rsidSect="00C125F8">
      <w:headerReference w:type="default" r:id="rId7"/>
      <w:footerReference w:type="default" r:id="rId8"/>
      <w:pgSz w:w="16838" w:h="11906" w:orient="landscape"/>
      <w:pgMar w:top="143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272" w:rsidRDefault="008B1272">
      <w:pPr>
        <w:spacing w:after="0" w:line="240" w:lineRule="auto"/>
      </w:pPr>
      <w:r>
        <w:separator/>
      </w:r>
    </w:p>
  </w:endnote>
  <w:endnote w:type="continuationSeparator" w:id="0">
    <w:p w:rsidR="008B1272" w:rsidRDefault="008B1272">
      <w:pPr>
        <w:spacing w:after="0" w:line="240" w:lineRule="auto"/>
      </w:pPr>
      <w:r>
        <w:continuationSeparator/>
      </w:r>
    </w:p>
  </w:endnote>
  <w:endnote w:type="continuationNotice" w:id="1">
    <w:p w:rsidR="008B1272" w:rsidRDefault="008B1272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NewsGot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Goth Lt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272" w:rsidRDefault="008B1272">
    <w:pPr>
      <w:pStyle w:val="Footer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  \* MERGEFORMAT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1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272" w:rsidRDefault="008B1272">
      <w:pPr>
        <w:spacing w:after="0" w:line="240" w:lineRule="auto"/>
      </w:pPr>
      <w:r>
        <w:separator/>
      </w:r>
    </w:p>
  </w:footnote>
  <w:footnote w:type="continuationSeparator" w:id="0">
    <w:p w:rsidR="008B1272" w:rsidRDefault="008B1272">
      <w:pPr>
        <w:spacing w:after="0" w:line="240" w:lineRule="auto"/>
      </w:pPr>
      <w:r>
        <w:continuationSeparator/>
      </w:r>
    </w:p>
  </w:footnote>
  <w:footnote w:type="continuationNotice" w:id="1">
    <w:p w:rsidR="008B1272" w:rsidRDefault="008B1272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272" w:rsidRPr="00D11C08" w:rsidRDefault="008B1272" w:rsidP="00D11C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D43EFC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FFFFFFFB"/>
    <w:multiLevelType w:val="multilevel"/>
    <w:tmpl w:val="70B41A00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decimal"/>
      <w:lvlText w:val="%2.%3"/>
      <w:lvlJc w:val="left"/>
      <w:pPr>
        <w:tabs>
          <w:tab w:val="num" w:pos="1080"/>
        </w:tabs>
      </w:pPr>
      <w:rPr>
        <w:rFonts w:cs="Times New Roman" w:hint="default"/>
        <w:b w:val="0"/>
        <w:i w:val="0"/>
      </w:rPr>
    </w:lvl>
    <w:lvl w:ilvl="3">
      <w:start w:val="1"/>
      <w:numFmt w:val="decimal"/>
      <w:lvlText w:val="%2.%3.%4"/>
      <w:lvlJc w:val="left"/>
      <w:pPr>
        <w:tabs>
          <w:tab w:val="num" w:pos="1260"/>
        </w:tabs>
        <w:ind w:left="1260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80"/>
        </w:tabs>
      </w:pPr>
      <w:rPr>
        <w:rFonts w:cs="Times New Roman" w:hint="default"/>
      </w:rPr>
    </w:lvl>
    <w:lvl w:ilvl="5">
      <w:start w:val="1"/>
      <w:numFmt w:val="lowerRoman"/>
      <w:lvlText w:val="%6)"/>
      <w:lvlJc w:val="left"/>
      <w:pPr>
        <w:tabs>
          <w:tab w:val="num" w:pos="1080"/>
        </w:tabs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2">
    <w:nsid w:val="0C7057DA"/>
    <w:multiLevelType w:val="multilevel"/>
    <w:tmpl w:val="EB98BD16"/>
    <w:lvl w:ilvl="0">
      <w:start w:val="1"/>
      <w:numFmt w:val="decimal"/>
      <w:lvlText w:val="%1"/>
      <w:lvlJc w:val="left"/>
      <w:pPr>
        <w:tabs>
          <w:tab w:val="num" w:pos="0"/>
        </w:tabs>
        <w:ind w:left="80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20"/>
        </w:tabs>
        <w:ind w:left="2280" w:hanging="360"/>
      </w:pPr>
      <w:rPr>
        <w:rFonts w:cs="Times New Roman" w:hint="default"/>
      </w:rPr>
    </w:lvl>
    <w:lvl w:ilvl="2">
      <w:start w:val="7"/>
      <w:numFmt w:val="decimal"/>
      <w:isLgl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16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166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52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52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8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886" w:hanging="1440"/>
      </w:pPr>
      <w:rPr>
        <w:rFonts w:cs="Times New Roman" w:hint="default"/>
      </w:rPr>
    </w:lvl>
  </w:abstractNum>
  <w:abstractNum w:abstractNumId="3">
    <w:nsid w:val="0FC94AD0"/>
    <w:multiLevelType w:val="hybridMultilevel"/>
    <w:tmpl w:val="0C569314"/>
    <w:lvl w:ilvl="0" w:tplc="47701A86">
      <w:start w:val="8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4">
    <w:nsid w:val="10430999"/>
    <w:multiLevelType w:val="multilevel"/>
    <w:tmpl w:val="40EC1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>
    <w:nsid w:val="13623FE0"/>
    <w:multiLevelType w:val="hybridMultilevel"/>
    <w:tmpl w:val="80A0FEF2"/>
    <w:lvl w:ilvl="0" w:tplc="9AEAA1F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A707087"/>
    <w:multiLevelType w:val="hybridMultilevel"/>
    <w:tmpl w:val="637CF8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956A75"/>
    <w:multiLevelType w:val="multilevel"/>
    <w:tmpl w:val="BA200EC2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8">
    <w:nsid w:val="289F03E1"/>
    <w:multiLevelType w:val="multilevel"/>
    <w:tmpl w:val="C1F44F94"/>
    <w:lvl w:ilvl="0">
      <w:start w:val="4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2EC27CF0"/>
    <w:multiLevelType w:val="hybridMultilevel"/>
    <w:tmpl w:val="AAAC211E"/>
    <w:lvl w:ilvl="0" w:tplc="9AEAA1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D8F39F3"/>
    <w:multiLevelType w:val="multilevel"/>
    <w:tmpl w:val="B2DADA8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45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11">
    <w:nsid w:val="4DA91E4C"/>
    <w:multiLevelType w:val="multilevel"/>
    <w:tmpl w:val="C070265E"/>
    <w:lvl w:ilvl="0">
      <w:start w:val="1"/>
      <w:numFmt w:val="decimal"/>
      <w:lvlText w:val="%1."/>
      <w:lvlJc w:val="left"/>
      <w:pPr>
        <w:tabs>
          <w:tab w:val="num" w:pos="0"/>
        </w:tabs>
        <w:ind w:left="11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80" w:hanging="1800"/>
      </w:pPr>
      <w:rPr>
        <w:rFonts w:cs="Times New Roman" w:hint="default"/>
      </w:rPr>
    </w:lvl>
  </w:abstractNum>
  <w:abstractNum w:abstractNumId="12">
    <w:nsid w:val="4F6A64A6"/>
    <w:multiLevelType w:val="multilevel"/>
    <w:tmpl w:val="09AC594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3">
    <w:nsid w:val="59902E7F"/>
    <w:multiLevelType w:val="multilevel"/>
    <w:tmpl w:val="022A86BA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45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14">
    <w:nsid w:val="7A5E2C54"/>
    <w:multiLevelType w:val="multilevel"/>
    <w:tmpl w:val="7EE6DC70"/>
    <w:lvl w:ilvl="0">
      <w:start w:val="5"/>
      <w:numFmt w:val="decimal"/>
      <w:pStyle w:val="ListNumber2"/>
      <w:lvlText w:val="%1."/>
      <w:lvlJc w:val="left"/>
      <w:pPr>
        <w:ind w:left="600" w:hanging="600"/>
      </w:pPr>
      <w:rPr>
        <w:rFonts w:cs="Times New Roman" w:hint="default"/>
        <w:i w:val="0"/>
        <w:u w:val="none"/>
      </w:rPr>
    </w:lvl>
    <w:lvl w:ilvl="1">
      <w:start w:val="26"/>
      <w:numFmt w:val="decimal"/>
      <w:lvlText w:val="%1.%2."/>
      <w:lvlJc w:val="left"/>
      <w:pPr>
        <w:ind w:left="862" w:hanging="72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  <w:i w:val="0"/>
        <w:u w:val="no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"/>
  </w:num>
  <w:num w:numId="18">
    <w:abstractNumId w:val="2"/>
  </w:num>
  <w:num w:numId="19">
    <w:abstractNumId w:val="11"/>
  </w:num>
  <w:num w:numId="20">
    <w:abstractNumId w:val="13"/>
  </w:num>
  <w:num w:numId="21">
    <w:abstractNumId w:val="10"/>
  </w:num>
  <w:num w:numId="22">
    <w:abstractNumId w:val="12"/>
  </w:num>
  <w:num w:numId="23">
    <w:abstractNumId w:val="8"/>
  </w:num>
  <w:num w:numId="24">
    <w:abstractNumId w:val="9"/>
  </w:num>
  <w:num w:numId="25">
    <w:abstractNumId w:val="7"/>
  </w:num>
  <w:num w:numId="26">
    <w:abstractNumId w:val="4"/>
  </w:num>
  <w:num w:numId="27">
    <w:abstractNumId w:val="3"/>
  </w:num>
  <w:num w:numId="28">
    <w:abstractNumId w:val="6"/>
  </w:num>
  <w:num w:numId="29">
    <w:abstractNumId w:val="5"/>
  </w:num>
  <w:num w:numId="30">
    <w:abstractNumId w:val="14"/>
  </w:num>
  <w:num w:numId="31">
    <w:abstractNumId w:val="0"/>
  </w:num>
  <w:num w:numId="32">
    <w:abstractNumId w:val="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6D13"/>
    <w:rsid w:val="00006200"/>
    <w:rsid w:val="0001695D"/>
    <w:rsid w:val="00024E52"/>
    <w:rsid w:val="00040AF8"/>
    <w:rsid w:val="00057CF1"/>
    <w:rsid w:val="0009533C"/>
    <w:rsid w:val="000B200F"/>
    <w:rsid w:val="000B5D51"/>
    <w:rsid w:val="000E2F95"/>
    <w:rsid w:val="000F3895"/>
    <w:rsid w:val="001078B2"/>
    <w:rsid w:val="00111C5E"/>
    <w:rsid w:val="00124EBE"/>
    <w:rsid w:val="00144A5C"/>
    <w:rsid w:val="0015127E"/>
    <w:rsid w:val="00162D87"/>
    <w:rsid w:val="00163434"/>
    <w:rsid w:val="0017173A"/>
    <w:rsid w:val="00180679"/>
    <w:rsid w:val="001A32E6"/>
    <w:rsid w:val="001A64A4"/>
    <w:rsid w:val="001B30DC"/>
    <w:rsid w:val="001B70D2"/>
    <w:rsid w:val="001B7A52"/>
    <w:rsid w:val="001C5CFD"/>
    <w:rsid w:val="001E56E4"/>
    <w:rsid w:val="001E6095"/>
    <w:rsid w:val="00220EB3"/>
    <w:rsid w:val="00232208"/>
    <w:rsid w:val="00240234"/>
    <w:rsid w:val="00240D3A"/>
    <w:rsid w:val="00245C89"/>
    <w:rsid w:val="00245E1F"/>
    <w:rsid w:val="002B34B2"/>
    <w:rsid w:val="002D13D0"/>
    <w:rsid w:val="002D5726"/>
    <w:rsid w:val="002D59E1"/>
    <w:rsid w:val="003347E5"/>
    <w:rsid w:val="00350DA9"/>
    <w:rsid w:val="0035667E"/>
    <w:rsid w:val="003618DF"/>
    <w:rsid w:val="003E30F7"/>
    <w:rsid w:val="003F718F"/>
    <w:rsid w:val="0040746B"/>
    <w:rsid w:val="00411304"/>
    <w:rsid w:val="00416C00"/>
    <w:rsid w:val="00417F49"/>
    <w:rsid w:val="004244F9"/>
    <w:rsid w:val="00426090"/>
    <w:rsid w:val="00433BDD"/>
    <w:rsid w:val="00464805"/>
    <w:rsid w:val="0047513B"/>
    <w:rsid w:val="00476B83"/>
    <w:rsid w:val="00487951"/>
    <w:rsid w:val="00493022"/>
    <w:rsid w:val="004A2EB8"/>
    <w:rsid w:val="004A5647"/>
    <w:rsid w:val="004B2862"/>
    <w:rsid w:val="0050440A"/>
    <w:rsid w:val="005068F3"/>
    <w:rsid w:val="00513186"/>
    <w:rsid w:val="005242B3"/>
    <w:rsid w:val="00536A9D"/>
    <w:rsid w:val="00554F6B"/>
    <w:rsid w:val="0058098E"/>
    <w:rsid w:val="005D0F89"/>
    <w:rsid w:val="00636EF9"/>
    <w:rsid w:val="00661109"/>
    <w:rsid w:val="00672AA5"/>
    <w:rsid w:val="00692BC3"/>
    <w:rsid w:val="006963D0"/>
    <w:rsid w:val="006966F8"/>
    <w:rsid w:val="006A3100"/>
    <w:rsid w:val="006E704B"/>
    <w:rsid w:val="00703F80"/>
    <w:rsid w:val="00756304"/>
    <w:rsid w:val="00774AEF"/>
    <w:rsid w:val="0077663E"/>
    <w:rsid w:val="007819B9"/>
    <w:rsid w:val="00797458"/>
    <w:rsid w:val="007A47D9"/>
    <w:rsid w:val="007C6765"/>
    <w:rsid w:val="007D0905"/>
    <w:rsid w:val="008077CA"/>
    <w:rsid w:val="00822490"/>
    <w:rsid w:val="00852109"/>
    <w:rsid w:val="00854A63"/>
    <w:rsid w:val="00857DD0"/>
    <w:rsid w:val="008758D6"/>
    <w:rsid w:val="008805A8"/>
    <w:rsid w:val="00887582"/>
    <w:rsid w:val="008950D4"/>
    <w:rsid w:val="008A3EA9"/>
    <w:rsid w:val="008A60C1"/>
    <w:rsid w:val="008B1272"/>
    <w:rsid w:val="008C12F2"/>
    <w:rsid w:val="008D4CCA"/>
    <w:rsid w:val="008F5392"/>
    <w:rsid w:val="00902DB4"/>
    <w:rsid w:val="00982D25"/>
    <w:rsid w:val="009A030B"/>
    <w:rsid w:val="009C382A"/>
    <w:rsid w:val="009C47EA"/>
    <w:rsid w:val="009D3C90"/>
    <w:rsid w:val="009D4180"/>
    <w:rsid w:val="009E1EB9"/>
    <w:rsid w:val="009E593D"/>
    <w:rsid w:val="009F352F"/>
    <w:rsid w:val="00A14DED"/>
    <w:rsid w:val="00A26D13"/>
    <w:rsid w:val="00A42974"/>
    <w:rsid w:val="00AB40C7"/>
    <w:rsid w:val="00AB6649"/>
    <w:rsid w:val="00AB750C"/>
    <w:rsid w:val="00AC3329"/>
    <w:rsid w:val="00AC6CE6"/>
    <w:rsid w:val="00AC7FAB"/>
    <w:rsid w:val="00AD3355"/>
    <w:rsid w:val="00AD3DCF"/>
    <w:rsid w:val="00AE590A"/>
    <w:rsid w:val="00B372A7"/>
    <w:rsid w:val="00BA399A"/>
    <w:rsid w:val="00BE3711"/>
    <w:rsid w:val="00C07117"/>
    <w:rsid w:val="00C125F8"/>
    <w:rsid w:val="00C213FE"/>
    <w:rsid w:val="00C57923"/>
    <w:rsid w:val="00C64247"/>
    <w:rsid w:val="00C67EC2"/>
    <w:rsid w:val="00C71B03"/>
    <w:rsid w:val="00C8327A"/>
    <w:rsid w:val="00C87E00"/>
    <w:rsid w:val="00CA7BDB"/>
    <w:rsid w:val="00CB0F9C"/>
    <w:rsid w:val="00D11920"/>
    <w:rsid w:val="00D11C08"/>
    <w:rsid w:val="00D275DA"/>
    <w:rsid w:val="00D351AD"/>
    <w:rsid w:val="00D821BE"/>
    <w:rsid w:val="00D94894"/>
    <w:rsid w:val="00D96E46"/>
    <w:rsid w:val="00DA3270"/>
    <w:rsid w:val="00DC6130"/>
    <w:rsid w:val="00DE036B"/>
    <w:rsid w:val="00DF50CD"/>
    <w:rsid w:val="00E053EC"/>
    <w:rsid w:val="00E518C6"/>
    <w:rsid w:val="00E70F22"/>
    <w:rsid w:val="00E815BC"/>
    <w:rsid w:val="00E84DCF"/>
    <w:rsid w:val="00E8582A"/>
    <w:rsid w:val="00E9188B"/>
    <w:rsid w:val="00E93955"/>
    <w:rsid w:val="00EA289C"/>
    <w:rsid w:val="00EC167B"/>
    <w:rsid w:val="00ED01CC"/>
    <w:rsid w:val="00F146AF"/>
    <w:rsid w:val="00F15E45"/>
    <w:rsid w:val="00F16EC3"/>
    <w:rsid w:val="00F520C7"/>
    <w:rsid w:val="00F67509"/>
    <w:rsid w:val="00FA189A"/>
    <w:rsid w:val="00FB157B"/>
    <w:rsid w:val="00FD1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8077CA"/>
    <w:pPr>
      <w:spacing w:after="200" w:line="276" w:lineRule="auto"/>
    </w:pPr>
    <w:rPr>
      <w:lang w:eastAsia="en-US"/>
    </w:rPr>
  </w:style>
  <w:style w:type="paragraph" w:styleId="Heading1">
    <w:name w:val="heading 1"/>
    <w:aliases w:val="Заголовок параграфа (1.),Section,level2 hdg,111"/>
    <w:basedOn w:val="Normal"/>
    <w:next w:val="Normal"/>
    <w:link w:val="Heading1Char"/>
    <w:uiPriority w:val="99"/>
    <w:qFormat/>
    <w:rsid w:val="008077CA"/>
    <w:pPr>
      <w:numPr>
        <w:numId w:val="14"/>
      </w:numPr>
      <w:tabs>
        <w:tab w:val="clear" w:pos="643"/>
        <w:tab w:val="left" w:pos="1134"/>
      </w:tabs>
      <w:spacing w:before="240" w:after="120" w:line="270" w:lineRule="atLeast"/>
      <w:ind w:left="0" w:firstLine="0"/>
      <w:outlineLvl w:val="0"/>
    </w:pPr>
    <w:rPr>
      <w:rFonts w:ascii="Garamond" w:eastAsia="Times New Roman" w:hAnsi="Garamond"/>
      <w:b/>
      <w:sz w:val="20"/>
      <w:szCs w:val="20"/>
      <w:lang w:eastAsia="ru-RU"/>
    </w:rPr>
  </w:style>
  <w:style w:type="paragraph" w:styleId="Heading2">
    <w:name w:val="heading 2"/>
    <w:aliases w:val="h2,h21,Заголовок пункта (1.1),5,Reset numbering,222"/>
    <w:basedOn w:val="Normal"/>
    <w:next w:val="Normal"/>
    <w:link w:val="Heading2Char"/>
    <w:uiPriority w:val="99"/>
    <w:qFormat/>
    <w:rsid w:val="008077CA"/>
    <w:pPr>
      <w:keepNext/>
      <w:numPr>
        <w:ilvl w:val="1"/>
        <w:numId w:val="14"/>
      </w:numPr>
      <w:tabs>
        <w:tab w:val="clear" w:pos="643"/>
        <w:tab w:val="num" w:pos="1080"/>
        <w:tab w:val="left" w:pos="1134"/>
      </w:tabs>
      <w:spacing w:before="120" w:after="120" w:line="312" w:lineRule="exact"/>
      <w:ind w:left="0" w:firstLine="0"/>
      <w:outlineLvl w:val="1"/>
    </w:pPr>
    <w:rPr>
      <w:rFonts w:ascii="Garamond" w:eastAsia="Times New Roman" w:hAnsi="Garamond"/>
      <w:bCs/>
      <w:sz w:val="20"/>
      <w:szCs w:val="20"/>
      <w:lang w:eastAsia="ru-RU"/>
    </w:rPr>
  </w:style>
  <w:style w:type="paragraph" w:styleId="Heading3">
    <w:name w:val="heading 3"/>
    <w:aliases w:val="Заголовок подпукта (1.1.1),Level 1 - 1,H3,o"/>
    <w:basedOn w:val="Normal"/>
    <w:next w:val="Normal"/>
    <w:link w:val="Heading3Char"/>
    <w:uiPriority w:val="99"/>
    <w:qFormat/>
    <w:rsid w:val="008077CA"/>
    <w:pPr>
      <w:numPr>
        <w:ilvl w:val="2"/>
        <w:numId w:val="14"/>
      </w:numPr>
      <w:tabs>
        <w:tab w:val="clear" w:pos="643"/>
        <w:tab w:val="num" w:pos="1080"/>
        <w:tab w:val="left" w:pos="1134"/>
      </w:tabs>
      <w:spacing w:before="120" w:line="270" w:lineRule="atLeast"/>
      <w:ind w:left="0" w:firstLine="0"/>
      <w:outlineLvl w:val="2"/>
    </w:pPr>
    <w:rPr>
      <w:rFonts w:ascii="NewsGoth BT" w:eastAsia="Times New Roman" w:hAnsi="NewsGoth BT"/>
      <w:b/>
      <w:sz w:val="20"/>
      <w:szCs w:val="20"/>
      <w:lang w:val="de-DE" w:eastAsia="ru-RU"/>
    </w:rPr>
  </w:style>
  <w:style w:type="paragraph" w:styleId="Heading4">
    <w:name w:val="heading 4"/>
    <w:aliases w:val="H41,Sub-Minor,Level 2 - a"/>
    <w:basedOn w:val="Normal"/>
    <w:next w:val="Normal"/>
    <w:link w:val="Heading4Char"/>
    <w:uiPriority w:val="99"/>
    <w:qFormat/>
    <w:rsid w:val="008077CA"/>
    <w:pPr>
      <w:numPr>
        <w:ilvl w:val="3"/>
        <w:numId w:val="14"/>
      </w:numPr>
      <w:tabs>
        <w:tab w:val="clear" w:pos="643"/>
        <w:tab w:val="left" w:pos="1134"/>
        <w:tab w:val="num" w:pos="1260"/>
      </w:tabs>
      <w:spacing w:before="120" w:line="270" w:lineRule="atLeast"/>
      <w:ind w:left="1260" w:firstLine="0"/>
      <w:outlineLvl w:val="3"/>
    </w:pPr>
    <w:rPr>
      <w:rFonts w:ascii="NewsGoth BT" w:eastAsia="Times New Roman" w:hAnsi="NewsGoth BT"/>
      <w:b/>
      <w:sz w:val="20"/>
      <w:szCs w:val="20"/>
      <w:lang w:val="de-DE" w:eastAsia="ru-RU"/>
    </w:rPr>
  </w:style>
  <w:style w:type="paragraph" w:styleId="Heading5">
    <w:name w:val="heading 5"/>
    <w:aliases w:val="h5,h51,H5,H51,h52,test,Block Label,Level 3 - i"/>
    <w:basedOn w:val="Normal"/>
    <w:next w:val="Normal"/>
    <w:link w:val="Heading5Char"/>
    <w:uiPriority w:val="99"/>
    <w:qFormat/>
    <w:rsid w:val="008077CA"/>
    <w:pPr>
      <w:numPr>
        <w:ilvl w:val="4"/>
        <w:numId w:val="14"/>
      </w:numPr>
      <w:tabs>
        <w:tab w:val="clear" w:pos="643"/>
        <w:tab w:val="num" w:pos="1080"/>
      </w:tabs>
      <w:spacing w:before="240" w:after="60" w:line="270" w:lineRule="atLeast"/>
      <w:ind w:left="0" w:firstLine="0"/>
      <w:outlineLvl w:val="4"/>
    </w:pPr>
    <w:rPr>
      <w:rFonts w:ascii="Arial" w:eastAsia="Times New Roman" w:hAnsi="Arial"/>
      <w:sz w:val="20"/>
      <w:szCs w:val="20"/>
      <w:lang w:val="de-DE" w:eastAsia="ru-RU"/>
    </w:rPr>
  </w:style>
  <w:style w:type="paragraph" w:styleId="Heading6">
    <w:name w:val="heading 6"/>
    <w:aliases w:val="Legal Level 1."/>
    <w:basedOn w:val="Normal"/>
    <w:next w:val="Normal"/>
    <w:link w:val="Heading6Char"/>
    <w:uiPriority w:val="99"/>
    <w:qFormat/>
    <w:rsid w:val="008077CA"/>
    <w:pPr>
      <w:numPr>
        <w:ilvl w:val="5"/>
        <w:numId w:val="14"/>
      </w:numPr>
      <w:tabs>
        <w:tab w:val="clear" w:pos="643"/>
        <w:tab w:val="num" w:pos="1080"/>
      </w:tabs>
      <w:spacing w:before="240" w:after="60" w:line="270" w:lineRule="atLeast"/>
      <w:ind w:left="0" w:firstLine="0"/>
      <w:outlineLvl w:val="5"/>
    </w:pPr>
    <w:rPr>
      <w:rFonts w:ascii="Arial" w:eastAsia="Times New Roman" w:hAnsi="Arial"/>
      <w:i/>
      <w:sz w:val="20"/>
      <w:szCs w:val="20"/>
      <w:lang w:val="de-DE" w:eastAsia="ru-RU"/>
    </w:rPr>
  </w:style>
  <w:style w:type="paragraph" w:styleId="Heading7">
    <w:name w:val="heading 7"/>
    <w:aliases w:val="Appendix Header,Legal Level 1.1."/>
    <w:basedOn w:val="Normal"/>
    <w:next w:val="Normal"/>
    <w:link w:val="Heading7Char"/>
    <w:uiPriority w:val="99"/>
    <w:qFormat/>
    <w:rsid w:val="008077CA"/>
    <w:pPr>
      <w:numPr>
        <w:ilvl w:val="6"/>
        <w:numId w:val="14"/>
      </w:numPr>
      <w:tabs>
        <w:tab w:val="clear" w:pos="643"/>
      </w:tabs>
      <w:spacing w:before="240" w:after="60" w:line="270" w:lineRule="atLeast"/>
      <w:ind w:left="0" w:firstLine="0"/>
      <w:outlineLvl w:val="6"/>
    </w:pPr>
    <w:rPr>
      <w:rFonts w:ascii="Arial" w:eastAsia="Times New Roman" w:hAnsi="Arial"/>
      <w:sz w:val="20"/>
      <w:szCs w:val="20"/>
      <w:lang w:val="de-DE" w:eastAsia="ru-RU"/>
    </w:rPr>
  </w:style>
  <w:style w:type="paragraph" w:styleId="Heading8">
    <w:name w:val="heading 8"/>
    <w:aliases w:val="Legal Level 1.1.1."/>
    <w:basedOn w:val="Normal"/>
    <w:next w:val="Normal"/>
    <w:link w:val="Heading8Char"/>
    <w:uiPriority w:val="99"/>
    <w:qFormat/>
    <w:rsid w:val="008077CA"/>
    <w:pPr>
      <w:numPr>
        <w:ilvl w:val="7"/>
        <w:numId w:val="14"/>
      </w:numPr>
      <w:tabs>
        <w:tab w:val="clear" w:pos="643"/>
      </w:tabs>
      <w:spacing w:before="240" w:after="60" w:line="270" w:lineRule="atLeast"/>
      <w:ind w:left="0" w:firstLine="0"/>
      <w:outlineLvl w:val="7"/>
    </w:pPr>
    <w:rPr>
      <w:rFonts w:ascii="Arial" w:eastAsia="Times New Roman" w:hAnsi="Arial"/>
      <w:i/>
      <w:sz w:val="20"/>
      <w:szCs w:val="20"/>
      <w:lang w:val="de-DE" w:eastAsia="ru-RU"/>
    </w:rPr>
  </w:style>
  <w:style w:type="paragraph" w:styleId="Heading9">
    <w:name w:val="heading 9"/>
    <w:aliases w:val="Legal Level 1.1.1.1."/>
    <w:basedOn w:val="Normal"/>
    <w:next w:val="Normal"/>
    <w:link w:val="Heading9Char"/>
    <w:uiPriority w:val="99"/>
    <w:qFormat/>
    <w:rsid w:val="008077CA"/>
    <w:pPr>
      <w:numPr>
        <w:ilvl w:val="8"/>
        <w:numId w:val="14"/>
      </w:numPr>
      <w:tabs>
        <w:tab w:val="clear" w:pos="643"/>
      </w:tabs>
      <w:spacing w:before="240" w:after="60" w:line="270" w:lineRule="atLeast"/>
      <w:ind w:left="0" w:firstLine="0"/>
      <w:outlineLvl w:val="8"/>
    </w:pPr>
    <w:rPr>
      <w:rFonts w:ascii="Arial" w:eastAsia="Times New Roman" w:hAnsi="Arial"/>
      <w:i/>
      <w:sz w:val="18"/>
      <w:szCs w:val="20"/>
      <w:lang w:val="de-DE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Заголовок параграфа (1.) Char,Section Char,level2 hdg Char,111 Char"/>
    <w:basedOn w:val="DefaultParagraphFont"/>
    <w:link w:val="Heading1"/>
    <w:uiPriority w:val="99"/>
    <w:locked/>
    <w:rsid w:val="008077CA"/>
    <w:rPr>
      <w:rFonts w:ascii="Garamond" w:hAnsi="Garamond" w:cs="Times New Roman"/>
      <w:b/>
      <w:lang w:val="ru-RU" w:eastAsia="ru-RU" w:bidi="ar-SA"/>
    </w:rPr>
  </w:style>
  <w:style w:type="character" w:customStyle="1" w:styleId="Heading2Char">
    <w:name w:val="Heading 2 Char"/>
    <w:aliases w:val="h2 Char,h21 Char,Заголовок пункта (1.1) Char,5 Char,Reset numbering Char,222 Char"/>
    <w:basedOn w:val="DefaultParagraphFont"/>
    <w:link w:val="Heading2"/>
    <w:uiPriority w:val="99"/>
    <w:locked/>
    <w:rsid w:val="008077CA"/>
    <w:rPr>
      <w:rFonts w:ascii="Garamond" w:hAnsi="Garamond" w:cs="Times New Roman"/>
      <w:bCs/>
      <w:lang w:val="ru-RU" w:eastAsia="ru-RU" w:bidi="ar-SA"/>
    </w:rPr>
  </w:style>
  <w:style w:type="character" w:customStyle="1" w:styleId="Heading3Char">
    <w:name w:val="Heading 3 Char"/>
    <w:aliases w:val="Заголовок подпукта (1.1.1) Char,Level 1 - 1 Char,H3 Char,o Char"/>
    <w:basedOn w:val="DefaultParagraphFont"/>
    <w:link w:val="Heading3"/>
    <w:uiPriority w:val="99"/>
    <w:locked/>
    <w:rsid w:val="008077CA"/>
    <w:rPr>
      <w:rFonts w:ascii="NewsGoth BT" w:hAnsi="NewsGoth BT" w:cs="Times New Roman"/>
      <w:b/>
      <w:lang w:val="de-DE" w:eastAsia="ru-RU" w:bidi="ar-SA"/>
    </w:rPr>
  </w:style>
  <w:style w:type="character" w:customStyle="1" w:styleId="Heading4Char">
    <w:name w:val="Heading 4 Char"/>
    <w:aliases w:val="H41 Char,Sub-Minor Char,Level 2 - a Char"/>
    <w:basedOn w:val="DefaultParagraphFont"/>
    <w:link w:val="Heading4"/>
    <w:uiPriority w:val="99"/>
    <w:locked/>
    <w:rsid w:val="008077CA"/>
    <w:rPr>
      <w:rFonts w:ascii="NewsGoth BT" w:hAnsi="NewsGoth BT" w:cs="Times New Roman"/>
      <w:b/>
      <w:lang w:val="de-DE" w:eastAsia="ru-RU" w:bidi="ar-SA"/>
    </w:rPr>
  </w:style>
  <w:style w:type="character" w:customStyle="1" w:styleId="Heading5Char">
    <w:name w:val="Heading 5 Char"/>
    <w:aliases w:val="h5 Char,h51 Char,H5 Char,H51 Char,h52 Char,test Char,Block Label Char,Level 3 - i Char"/>
    <w:basedOn w:val="DefaultParagraphFont"/>
    <w:link w:val="Heading5"/>
    <w:uiPriority w:val="99"/>
    <w:locked/>
    <w:rsid w:val="008077CA"/>
    <w:rPr>
      <w:rFonts w:ascii="Arial" w:hAnsi="Arial" w:cs="Times New Roman"/>
      <w:lang w:val="de-DE" w:eastAsia="ru-RU" w:bidi="ar-SA"/>
    </w:rPr>
  </w:style>
  <w:style w:type="character" w:customStyle="1" w:styleId="Heading6Char">
    <w:name w:val="Heading 6 Char"/>
    <w:aliases w:val="Legal Level 1. Char"/>
    <w:basedOn w:val="DefaultParagraphFont"/>
    <w:link w:val="Heading6"/>
    <w:uiPriority w:val="99"/>
    <w:locked/>
    <w:rsid w:val="008077CA"/>
    <w:rPr>
      <w:rFonts w:ascii="Arial" w:hAnsi="Arial" w:cs="Times New Roman"/>
      <w:i/>
      <w:lang w:val="de-DE" w:eastAsia="ru-RU" w:bidi="ar-SA"/>
    </w:rPr>
  </w:style>
  <w:style w:type="character" w:customStyle="1" w:styleId="Heading7Char">
    <w:name w:val="Heading 7 Char"/>
    <w:aliases w:val="Appendix Header Char,Legal Level 1.1. Char"/>
    <w:basedOn w:val="DefaultParagraphFont"/>
    <w:link w:val="Heading7"/>
    <w:uiPriority w:val="99"/>
    <w:locked/>
    <w:rsid w:val="008077CA"/>
    <w:rPr>
      <w:rFonts w:ascii="Arial" w:hAnsi="Arial" w:cs="Times New Roman"/>
      <w:lang w:val="de-DE" w:eastAsia="ru-RU" w:bidi="ar-SA"/>
    </w:rPr>
  </w:style>
  <w:style w:type="character" w:customStyle="1" w:styleId="Heading8Char">
    <w:name w:val="Heading 8 Char"/>
    <w:aliases w:val="Legal Level 1.1.1. Char"/>
    <w:basedOn w:val="DefaultParagraphFont"/>
    <w:link w:val="Heading8"/>
    <w:uiPriority w:val="99"/>
    <w:locked/>
    <w:rsid w:val="008077CA"/>
    <w:rPr>
      <w:rFonts w:ascii="Arial" w:hAnsi="Arial" w:cs="Times New Roman"/>
      <w:i/>
      <w:lang w:val="de-DE" w:eastAsia="ru-RU" w:bidi="ar-SA"/>
    </w:rPr>
  </w:style>
  <w:style w:type="character" w:customStyle="1" w:styleId="Heading9Char">
    <w:name w:val="Heading 9 Char"/>
    <w:aliases w:val="Legal Level 1.1.1.1. Char"/>
    <w:basedOn w:val="DefaultParagraphFont"/>
    <w:link w:val="Heading9"/>
    <w:uiPriority w:val="99"/>
    <w:locked/>
    <w:rsid w:val="008077CA"/>
    <w:rPr>
      <w:rFonts w:ascii="Arial" w:hAnsi="Arial" w:cs="Times New Roman"/>
      <w:i/>
      <w:sz w:val="18"/>
      <w:lang w:val="de-DE" w:eastAsia="ru-RU" w:bidi="ar-SA"/>
    </w:rPr>
  </w:style>
  <w:style w:type="paragraph" w:styleId="ListParagraph">
    <w:name w:val="List Paragraph"/>
    <w:basedOn w:val="Normal"/>
    <w:uiPriority w:val="99"/>
    <w:qFormat/>
    <w:rsid w:val="008077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077C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77CA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rsid w:val="008077C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8077C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8077CA"/>
    <w:pPr>
      <w:spacing w:line="240" w:lineRule="auto"/>
    </w:pPr>
    <w:rPr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077CA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077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077CA"/>
    <w:rPr>
      <w:b/>
    </w:rPr>
  </w:style>
  <w:style w:type="paragraph" w:styleId="Revision">
    <w:name w:val="Revision"/>
    <w:hidden/>
    <w:uiPriority w:val="99"/>
    <w:semiHidden/>
    <w:rsid w:val="008077CA"/>
    <w:rPr>
      <w:lang w:eastAsia="en-US"/>
    </w:rPr>
  </w:style>
  <w:style w:type="paragraph" w:styleId="Header">
    <w:name w:val="header"/>
    <w:basedOn w:val="Normal"/>
    <w:link w:val="HeaderChar"/>
    <w:uiPriority w:val="99"/>
    <w:rsid w:val="008077CA"/>
    <w:pPr>
      <w:tabs>
        <w:tab w:val="center" w:pos="4536"/>
        <w:tab w:val="right" w:pos="9072"/>
      </w:tabs>
      <w:spacing w:before="120" w:line="270" w:lineRule="atLeast"/>
      <w:ind w:left="1134"/>
    </w:pPr>
    <w:rPr>
      <w:rFonts w:ascii="NewsGoth Lt BT" w:eastAsia="Times New Roman" w:hAnsi="NewsGoth Lt BT"/>
      <w:sz w:val="20"/>
      <w:szCs w:val="20"/>
      <w:lang w:val="de-DE"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77CA"/>
    <w:rPr>
      <w:rFonts w:ascii="NewsGoth Lt BT" w:hAnsi="NewsGoth Lt BT" w:cs="Times New Roman"/>
      <w:sz w:val="20"/>
      <w:lang w:val="de-DE" w:eastAsia="ru-RU"/>
    </w:rPr>
  </w:style>
  <w:style w:type="paragraph" w:styleId="Footer">
    <w:name w:val="footer"/>
    <w:basedOn w:val="Normal"/>
    <w:link w:val="FooterChar"/>
    <w:uiPriority w:val="99"/>
    <w:rsid w:val="00807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77CA"/>
    <w:rPr>
      <w:rFonts w:cs="Times New Roman"/>
    </w:rPr>
  </w:style>
  <w:style w:type="paragraph" w:styleId="TOCHeading">
    <w:name w:val="TOC Heading"/>
    <w:basedOn w:val="Heading1"/>
    <w:next w:val="Normal"/>
    <w:uiPriority w:val="99"/>
    <w:qFormat/>
    <w:rsid w:val="008077CA"/>
    <w:pPr>
      <w:keepNext/>
      <w:keepLines/>
      <w:numPr>
        <w:numId w:val="0"/>
      </w:numPr>
      <w:tabs>
        <w:tab w:val="clear" w:pos="1134"/>
      </w:tabs>
      <w:spacing w:after="0" w:line="259" w:lineRule="auto"/>
      <w:outlineLvl w:val="9"/>
    </w:pPr>
    <w:rPr>
      <w:rFonts w:ascii="Cambria" w:hAnsi="Cambria"/>
      <w:b w:val="0"/>
      <w:color w:val="365F91"/>
      <w:sz w:val="32"/>
      <w:szCs w:val="32"/>
    </w:rPr>
  </w:style>
  <w:style w:type="paragraph" w:styleId="TOC1">
    <w:name w:val="toc 1"/>
    <w:basedOn w:val="Normal"/>
    <w:next w:val="Normal"/>
    <w:autoRedefine/>
    <w:uiPriority w:val="99"/>
    <w:rsid w:val="008077CA"/>
    <w:pPr>
      <w:tabs>
        <w:tab w:val="left" w:pos="440"/>
        <w:tab w:val="right" w:leader="dot" w:pos="9345"/>
      </w:tabs>
      <w:spacing w:after="100"/>
      <w:ind w:left="284" w:hanging="284"/>
    </w:pPr>
  </w:style>
  <w:style w:type="paragraph" w:styleId="TOC3">
    <w:name w:val="toc 3"/>
    <w:basedOn w:val="Normal"/>
    <w:next w:val="Normal"/>
    <w:autoRedefine/>
    <w:uiPriority w:val="99"/>
    <w:rsid w:val="008077CA"/>
    <w:pPr>
      <w:spacing w:after="100"/>
      <w:ind w:left="440"/>
    </w:pPr>
  </w:style>
  <w:style w:type="character" w:styleId="Hyperlink">
    <w:name w:val="Hyperlink"/>
    <w:basedOn w:val="DefaultParagraphFont"/>
    <w:uiPriority w:val="99"/>
    <w:rsid w:val="008077CA"/>
    <w:rPr>
      <w:rFonts w:cs="Times New Roman"/>
      <w:color w:val="0000FF"/>
      <w:u w:val="single"/>
    </w:rPr>
  </w:style>
  <w:style w:type="paragraph" w:styleId="TOC2">
    <w:name w:val="toc 2"/>
    <w:basedOn w:val="Normal"/>
    <w:next w:val="Normal"/>
    <w:autoRedefine/>
    <w:uiPriority w:val="99"/>
    <w:rsid w:val="008077CA"/>
    <w:pPr>
      <w:spacing w:after="100" w:line="259" w:lineRule="auto"/>
      <w:ind w:left="220"/>
    </w:pPr>
    <w:rPr>
      <w:rFonts w:eastAsia="Times New Roman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8077CA"/>
    <w:rPr>
      <w:rFonts w:cs="Times New Roman"/>
      <w:color w:val="808080"/>
    </w:rPr>
  </w:style>
  <w:style w:type="paragraph" w:styleId="NormalWeb">
    <w:name w:val="Normal (Web)"/>
    <w:basedOn w:val="Normal"/>
    <w:uiPriority w:val="99"/>
    <w:rsid w:val="008077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8077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077CA"/>
    <w:rPr>
      <w:rFonts w:cs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8077CA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8077CA"/>
    <w:pPr>
      <w:autoSpaceDE w:val="0"/>
      <w:autoSpaceDN w:val="0"/>
      <w:adjustRightInd w:val="0"/>
    </w:pPr>
    <w:rPr>
      <w:rFonts w:ascii="Garamond" w:hAnsi="Garamond" w:cs="Garamond"/>
    </w:rPr>
  </w:style>
  <w:style w:type="paragraph" w:styleId="BodyTextIndent">
    <w:name w:val="Body Text Indent"/>
    <w:basedOn w:val="Normal"/>
    <w:link w:val="BodyTextIndentChar"/>
    <w:uiPriority w:val="99"/>
    <w:rsid w:val="00982D25"/>
    <w:pPr>
      <w:overflowPunct w:val="0"/>
      <w:autoSpaceDE w:val="0"/>
      <w:autoSpaceDN w:val="0"/>
      <w:adjustRightInd w:val="0"/>
      <w:spacing w:after="0" w:line="240" w:lineRule="auto"/>
      <w:ind w:firstLine="851"/>
      <w:jc w:val="both"/>
      <w:textAlignment w:val="baseline"/>
    </w:pPr>
    <w:rPr>
      <w:rFonts w:ascii="Times New Roman" w:eastAsia="Times New Roman" w:hAnsi="Times New Roman"/>
      <w:bCs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82D25"/>
    <w:rPr>
      <w:rFonts w:ascii="Times New Roman" w:hAnsi="Times New Roman" w:cs="Times New Roman"/>
      <w:bCs/>
      <w:sz w:val="28"/>
      <w:szCs w:val="28"/>
    </w:rPr>
  </w:style>
  <w:style w:type="paragraph" w:styleId="Caption">
    <w:name w:val="caption"/>
    <w:basedOn w:val="Normal"/>
    <w:next w:val="Normal"/>
    <w:uiPriority w:val="99"/>
    <w:qFormat/>
    <w:rsid w:val="00982D2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36"/>
      <w:szCs w:val="20"/>
      <w:lang w:val="en-US" w:eastAsia="ru-RU"/>
    </w:rPr>
  </w:style>
  <w:style w:type="paragraph" w:styleId="Title">
    <w:name w:val="Title"/>
    <w:basedOn w:val="Normal"/>
    <w:link w:val="TitleChar"/>
    <w:uiPriority w:val="99"/>
    <w:qFormat/>
    <w:rsid w:val="00982D25"/>
    <w:pPr>
      <w:spacing w:after="0" w:line="240" w:lineRule="auto"/>
      <w:ind w:right="43"/>
      <w:jc w:val="center"/>
      <w:outlineLvl w:val="0"/>
    </w:pPr>
    <w:rPr>
      <w:rFonts w:ascii="Times New Roman" w:eastAsia="Times New Roman" w:hAnsi="Times New Roman"/>
      <w:sz w:val="28"/>
      <w:szCs w:val="20"/>
      <w:lang w:val="en-US"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982D25"/>
    <w:rPr>
      <w:rFonts w:ascii="Times New Roman" w:hAnsi="Times New Roman" w:cs="Times New Roman"/>
      <w:sz w:val="28"/>
      <w:lang w:val="en-US"/>
    </w:rPr>
  </w:style>
  <w:style w:type="paragraph" w:customStyle="1" w:styleId="a">
    <w:name w:val="ЭАА"/>
    <w:basedOn w:val="Heading1"/>
    <w:link w:val="a0"/>
    <w:uiPriority w:val="99"/>
    <w:rsid w:val="00982D25"/>
    <w:pPr>
      <w:keepNext/>
      <w:numPr>
        <w:numId w:val="0"/>
      </w:numPr>
      <w:tabs>
        <w:tab w:val="clear" w:pos="1134"/>
        <w:tab w:val="num" w:pos="1080"/>
      </w:tabs>
      <w:spacing w:before="0" w:after="0" w:line="240" w:lineRule="auto"/>
      <w:ind w:firstLine="851"/>
      <w:jc w:val="right"/>
    </w:pPr>
    <w:rPr>
      <w:rFonts w:eastAsia="Calibri"/>
      <w:sz w:val="22"/>
    </w:rPr>
  </w:style>
  <w:style w:type="character" w:customStyle="1" w:styleId="a0">
    <w:name w:val="ЭАА Знак"/>
    <w:link w:val="a"/>
    <w:uiPriority w:val="99"/>
    <w:locked/>
    <w:rsid w:val="00982D25"/>
    <w:rPr>
      <w:rFonts w:ascii="Garamond" w:hAnsi="Garamond"/>
      <w:b/>
      <w:sz w:val="22"/>
    </w:rPr>
  </w:style>
  <w:style w:type="paragraph" w:styleId="ListNumber2">
    <w:name w:val="List Number 2"/>
    <w:basedOn w:val="Normal"/>
    <w:uiPriority w:val="99"/>
    <w:rsid w:val="008A60C1"/>
    <w:pPr>
      <w:keepNext/>
      <w:keepLines/>
      <w:numPr>
        <w:numId w:val="30"/>
      </w:numPr>
      <w:tabs>
        <w:tab w:val="num" w:pos="643"/>
        <w:tab w:val="left" w:pos="1260"/>
      </w:tabs>
      <w:spacing w:before="120" w:after="0" w:line="240" w:lineRule="auto"/>
      <w:ind w:left="643" w:hanging="360"/>
      <w:jc w:val="both"/>
    </w:pPr>
    <w:rPr>
      <w:rFonts w:ascii="Garamond" w:eastAsia="Times New Roman" w:hAnsi="Garamond"/>
      <w:szCs w:val="20"/>
    </w:rPr>
  </w:style>
  <w:style w:type="paragraph" w:styleId="BodyText3">
    <w:name w:val="Body Text 3"/>
    <w:basedOn w:val="Normal"/>
    <w:link w:val="BodyText3Char"/>
    <w:uiPriority w:val="99"/>
    <w:rsid w:val="008A60C1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8A60C1"/>
    <w:rPr>
      <w:rFonts w:ascii="Times New Roman" w:hAnsi="Times New Roman" w:cs="Times New Roman"/>
      <w:sz w:val="16"/>
      <w:szCs w:val="16"/>
    </w:rPr>
  </w:style>
  <w:style w:type="paragraph" w:customStyle="1" w:styleId="1">
    <w:name w:val="Обычный1"/>
    <w:uiPriority w:val="99"/>
    <w:rsid w:val="008A60C1"/>
    <w:rPr>
      <w:rFonts w:ascii="Times New Roman CYR" w:eastAsia="Times New Roman" w:hAnsi="Times New Roman CYR"/>
      <w:sz w:val="20"/>
      <w:szCs w:val="20"/>
      <w:lang w:val="en-US"/>
    </w:rPr>
  </w:style>
  <w:style w:type="paragraph" w:customStyle="1" w:styleId="2">
    <w:name w:val="Обычный2"/>
    <w:basedOn w:val="Normal"/>
    <w:uiPriority w:val="99"/>
    <w:rsid w:val="008A60C1"/>
    <w:pPr>
      <w:spacing w:after="0" w:line="240" w:lineRule="auto"/>
    </w:pPr>
    <w:rPr>
      <w:rFonts w:ascii="Times New Roman CYR" w:hAnsi="Times New Roman CYR" w:cs="Times New Roman CYR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8A60C1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8A60C1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8A60C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A60C1"/>
    <w:rPr>
      <w:rFonts w:ascii="Times New Roman" w:hAnsi="Times New Roman" w:cs="Times New Roman"/>
      <w:sz w:val="24"/>
      <w:szCs w:val="24"/>
    </w:rPr>
  </w:style>
  <w:style w:type="paragraph" w:customStyle="1" w:styleId="a1">
    <w:name w:val="Знак"/>
    <w:basedOn w:val="Normal"/>
    <w:uiPriority w:val="99"/>
    <w:rsid w:val="008A60C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semiHidden/>
    <w:rsid w:val="008A60C1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A60C1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8A60C1"/>
    <w:rPr>
      <w:rFonts w:cs="Times New Roman"/>
      <w:b/>
    </w:rPr>
  </w:style>
  <w:style w:type="paragraph" w:customStyle="1" w:styleId="normal0">
    <w:name w:val="normal0"/>
    <w:basedOn w:val="Normal"/>
    <w:uiPriority w:val="99"/>
    <w:rsid w:val="008A60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">
    <w:name w:val="u"/>
    <w:basedOn w:val="Normal"/>
    <w:uiPriority w:val="99"/>
    <w:rsid w:val="008A60C1"/>
    <w:pPr>
      <w:spacing w:after="0" w:line="240" w:lineRule="auto"/>
      <w:ind w:firstLine="39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EndnoteText">
    <w:name w:val="endnote text"/>
    <w:basedOn w:val="Normal"/>
    <w:link w:val="EndnoteTextChar"/>
    <w:uiPriority w:val="99"/>
    <w:semiHidden/>
    <w:rsid w:val="008A60C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8A60C1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25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7</Pages>
  <Words>1906</Words>
  <Characters>10868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glazova</dc:creator>
  <cp:keywords/>
  <dc:description/>
  <cp:lastModifiedBy>pii</cp:lastModifiedBy>
  <cp:revision>4</cp:revision>
  <cp:lastPrinted>2016-11-24T12:44:00Z</cp:lastPrinted>
  <dcterms:created xsi:type="dcterms:W3CDTF">2016-12-05T13:15:00Z</dcterms:created>
  <dcterms:modified xsi:type="dcterms:W3CDTF">2016-12-14T12:31:00Z</dcterms:modified>
</cp:coreProperties>
</file>