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3389" w14:textId="55350737" w:rsidR="00C23309" w:rsidRPr="00363213" w:rsidRDefault="007C1317" w:rsidP="00A13EA2">
      <w:pPr>
        <w:widowControl w:val="0"/>
        <w:spacing w:after="0" w:line="240" w:lineRule="auto"/>
        <w:ind w:right="-11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I</w:t>
      </w:r>
      <w:r w:rsidR="003755CC">
        <w:rPr>
          <w:rFonts w:ascii="Garamond" w:hAnsi="Garamond" w:cs="Arial"/>
          <w:b/>
          <w:sz w:val="28"/>
          <w:szCs w:val="28"/>
        </w:rPr>
        <w:t>.5.</w:t>
      </w:r>
      <w:r w:rsidRPr="007C1317">
        <w:rPr>
          <w:rFonts w:ascii="Garamond" w:hAnsi="Garamond" w:cs="Arial"/>
          <w:b/>
          <w:sz w:val="28"/>
          <w:szCs w:val="28"/>
        </w:rPr>
        <w:t xml:space="preserve"> </w:t>
      </w:r>
      <w:r w:rsidR="00812ACA">
        <w:rPr>
          <w:rFonts w:ascii="Garamond" w:hAnsi="Garamond" w:cs="Arial"/>
          <w:b/>
          <w:sz w:val="28"/>
          <w:szCs w:val="28"/>
        </w:rPr>
        <w:t>Изменения</w:t>
      </w:r>
      <w:r w:rsidR="00EC08BB">
        <w:rPr>
          <w:rFonts w:ascii="Garamond" w:hAnsi="Garamond" w:cs="Arial"/>
          <w:b/>
          <w:sz w:val="28"/>
          <w:szCs w:val="28"/>
        </w:rPr>
        <w:t>, связанны</w:t>
      </w:r>
      <w:r w:rsidR="00812ACA">
        <w:rPr>
          <w:rFonts w:ascii="Garamond" w:hAnsi="Garamond" w:cs="Arial"/>
          <w:b/>
          <w:sz w:val="28"/>
          <w:szCs w:val="28"/>
        </w:rPr>
        <w:t>е</w:t>
      </w:r>
      <w:r w:rsidR="00EC08BB">
        <w:rPr>
          <w:rFonts w:ascii="Garamond" w:hAnsi="Garamond" w:cs="Arial"/>
          <w:b/>
          <w:sz w:val="28"/>
          <w:szCs w:val="28"/>
        </w:rPr>
        <w:t xml:space="preserve"> </w:t>
      </w:r>
      <w:r w:rsidR="00EC08BB" w:rsidRPr="00EC08BB">
        <w:rPr>
          <w:rFonts w:ascii="Garamond" w:hAnsi="Garamond" w:cs="Arial"/>
          <w:b/>
          <w:sz w:val="28"/>
          <w:szCs w:val="28"/>
        </w:rPr>
        <w:t xml:space="preserve">с </w:t>
      </w:r>
      <w:r w:rsidR="00812ACA">
        <w:rPr>
          <w:rFonts w:ascii="Garamond" w:hAnsi="Garamond" w:cs="Arial"/>
          <w:b/>
          <w:sz w:val="28"/>
          <w:szCs w:val="28"/>
        </w:rPr>
        <w:t>датой</w:t>
      </w:r>
      <w:r w:rsidR="00D1342D">
        <w:rPr>
          <w:rFonts w:ascii="Garamond" w:hAnsi="Garamond" w:cs="Arial"/>
          <w:b/>
          <w:sz w:val="28"/>
          <w:szCs w:val="28"/>
        </w:rPr>
        <w:t xml:space="preserve"> начала поставки мощности по договорам КОМ, заключенным в отношении объектов генерации, </w:t>
      </w:r>
      <w:r w:rsidR="00D1342D" w:rsidRPr="00D1342D">
        <w:rPr>
          <w:rFonts w:ascii="Garamond" w:hAnsi="Garamond" w:cs="Arial"/>
          <w:b/>
          <w:sz w:val="28"/>
          <w:szCs w:val="28"/>
        </w:rPr>
        <w:t>указанных в абзаце 3 пункта 113(1) Правил оптового рынка</w:t>
      </w:r>
      <w:r w:rsidR="00D1342D">
        <w:rPr>
          <w:rFonts w:ascii="Garamond" w:hAnsi="Garamond" w:cs="Arial"/>
          <w:b/>
          <w:sz w:val="28"/>
          <w:szCs w:val="28"/>
        </w:rPr>
        <w:t xml:space="preserve"> </w:t>
      </w:r>
    </w:p>
    <w:p w14:paraId="0224FA72" w14:textId="77777777" w:rsidR="00A13EA2" w:rsidRDefault="00A13EA2" w:rsidP="00A13EA2">
      <w:pPr>
        <w:widowControl w:val="0"/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14:paraId="5FA89B90" w14:textId="01197548" w:rsidR="002C7565" w:rsidRPr="00682654" w:rsidRDefault="00717744" w:rsidP="00A13EA2">
      <w:pPr>
        <w:widowControl w:val="0"/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7C1317" w:rsidRPr="006739FE">
        <w:rPr>
          <w:rFonts w:ascii="Garamond" w:hAnsi="Garamond" w:cs="Arial"/>
          <w:b/>
          <w:sz w:val="28"/>
          <w:szCs w:val="28"/>
        </w:rPr>
        <w:t>1.5</w:t>
      </w:r>
      <w:r w:rsidR="00A0684F" w:rsidRPr="00682654">
        <w:rPr>
          <w:rFonts w:ascii="Garamond" w:hAnsi="Garamond" w:cs="Arial"/>
          <w:b/>
          <w:sz w:val="28"/>
          <w:szCs w:val="28"/>
        </w:rPr>
        <w:t>.1</w:t>
      </w:r>
    </w:p>
    <w:p w14:paraId="6264CD56" w14:textId="77777777" w:rsidR="00A13EA2" w:rsidRPr="002C7565" w:rsidRDefault="00A13EA2" w:rsidP="00A13EA2">
      <w:pPr>
        <w:widowControl w:val="0"/>
        <w:spacing w:after="0" w:line="240" w:lineRule="auto"/>
        <w:ind w:right="-10"/>
        <w:jc w:val="right"/>
        <w:rPr>
          <w:rFonts w:ascii="Garamond" w:hAnsi="Garamond"/>
          <w:b/>
          <w:sz w:val="28"/>
          <w:szCs w:val="28"/>
        </w:rPr>
      </w:pPr>
    </w:p>
    <w:p w14:paraId="50264DE8" w14:textId="77777777" w:rsidR="009C6DBF" w:rsidRPr="0021209C" w:rsidRDefault="009C6DBF" w:rsidP="0021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1209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21209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21209C">
        <w:rPr>
          <w:rFonts w:ascii="Garamond" w:hAnsi="Garamond"/>
          <w:sz w:val="24"/>
          <w:szCs w:val="24"/>
        </w:rPr>
        <w:t>ООО «ВО «Технопромэкспорт»</w:t>
      </w:r>
      <w:r w:rsidR="00FE4B36" w:rsidRPr="0021209C">
        <w:rPr>
          <w:rFonts w:ascii="Garamond" w:hAnsi="Garamond"/>
          <w:sz w:val="24"/>
          <w:szCs w:val="24"/>
        </w:rPr>
        <w:t>.</w:t>
      </w:r>
    </w:p>
    <w:p w14:paraId="6887AC2C" w14:textId="7711D3C0" w:rsidR="0013652F" w:rsidRPr="0021209C" w:rsidRDefault="00FA5712" w:rsidP="0021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1209C">
        <w:rPr>
          <w:rFonts w:ascii="Garamond" w:hAnsi="Garamond"/>
          <w:b/>
          <w:sz w:val="24"/>
          <w:szCs w:val="24"/>
        </w:rPr>
        <w:t>Обоснование:</w:t>
      </w:r>
      <w:r w:rsidRPr="0021209C">
        <w:rPr>
          <w:rFonts w:ascii="Garamond" w:hAnsi="Garamond"/>
          <w:sz w:val="24"/>
          <w:szCs w:val="24"/>
        </w:rPr>
        <w:t xml:space="preserve"> </w:t>
      </w:r>
      <w:r w:rsidR="006C4248">
        <w:rPr>
          <w:rFonts w:ascii="Garamond" w:hAnsi="Garamond"/>
          <w:sz w:val="24"/>
          <w:szCs w:val="24"/>
        </w:rPr>
        <w:t>р</w:t>
      </w:r>
      <w:r w:rsidR="00D1342D">
        <w:rPr>
          <w:rFonts w:ascii="Garamond" w:hAnsi="Garamond"/>
          <w:sz w:val="24"/>
          <w:szCs w:val="24"/>
        </w:rPr>
        <w:t xml:space="preserve">аспоряжением Правительства Российской Федерации от </w:t>
      </w:r>
      <w:r w:rsidR="00D1342D" w:rsidRPr="00D1342D">
        <w:rPr>
          <w:rFonts w:ascii="Garamond" w:hAnsi="Garamond"/>
          <w:sz w:val="24"/>
          <w:szCs w:val="24"/>
        </w:rPr>
        <w:t>29</w:t>
      </w:r>
      <w:r w:rsidR="00D1342D">
        <w:rPr>
          <w:rFonts w:ascii="Garamond" w:hAnsi="Garamond"/>
          <w:sz w:val="24"/>
          <w:szCs w:val="24"/>
        </w:rPr>
        <w:t>.03.2021 № </w:t>
      </w:r>
      <w:r w:rsidR="00D1342D" w:rsidRPr="00D1342D">
        <w:rPr>
          <w:rFonts w:ascii="Garamond" w:hAnsi="Garamond"/>
          <w:sz w:val="24"/>
          <w:szCs w:val="24"/>
        </w:rPr>
        <w:t>769-р</w:t>
      </w:r>
      <w:r w:rsidR="00D1342D">
        <w:rPr>
          <w:rFonts w:ascii="Garamond" w:hAnsi="Garamond"/>
          <w:sz w:val="24"/>
          <w:szCs w:val="24"/>
        </w:rPr>
        <w:t xml:space="preserve"> внесены изменения </w:t>
      </w:r>
      <w:r w:rsidR="00D1342D" w:rsidRPr="00D1342D">
        <w:rPr>
          <w:rFonts w:ascii="Garamond" w:hAnsi="Garamond"/>
          <w:sz w:val="24"/>
          <w:szCs w:val="24"/>
        </w:rPr>
        <w:t>в пер</w:t>
      </w:r>
      <w:r w:rsidR="006C4248">
        <w:rPr>
          <w:rFonts w:ascii="Garamond" w:hAnsi="Garamond"/>
          <w:sz w:val="24"/>
          <w:szCs w:val="24"/>
        </w:rPr>
        <w:t xml:space="preserve">ечень субъектов оптового рынка </w:t>
      </w:r>
      <w:r w:rsidR="006C4248" w:rsidRPr="00335D5C">
        <w:rPr>
          <w:rFonts w:ascii="Garamond" w:hAnsi="Garamond"/>
        </w:rPr>
        <w:t>–</w:t>
      </w:r>
      <w:r w:rsidR="00D1342D" w:rsidRPr="00D1342D">
        <w:rPr>
          <w:rFonts w:ascii="Garamond" w:hAnsi="Garamond"/>
          <w:sz w:val="24"/>
          <w:szCs w:val="24"/>
        </w:rPr>
        <w:t xml:space="preserve">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утвержденный распоряжением Правительства Российской Федерации от 26</w:t>
      </w:r>
      <w:r w:rsidR="00D1342D">
        <w:rPr>
          <w:rFonts w:ascii="Garamond" w:hAnsi="Garamond"/>
          <w:sz w:val="24"/>
          <w:szCs w:val="24"/>
        </w:rPr>
        <w:t>.12.2015 № </w:t>
      </w:r>
      <w:r w:rsidR="00D1342D" w:rsidRPr="00D1342D">
        <w:rPr>
          <w:rFonts w:ascii="Garamond" w:hAnsi="Garamond"/>
          <w:sz w:val="24"/>
          <w:szCs w:val="24"/>
        </w:rPr>
        <w:t>2699-р</w:t>
      </w:r>
      <w:r w:rsidR="00D1342D">
        <w:rPr>
          <w:rFonts w:ascii="Garamond" w:hAnsi="Garamond"/>
          <w:sz w:val="24"/>
          <w:szCs w:val="24"/>
        </w:rPr>
        <w:t xml:space="preserve">, в части даты ввода в эксплуатацию указанных в нем объектов генерации. Предлагается в Договоре о присоединении </w:t>
      </w:r>
      <w:r w:rsidR="006C4248">
        <w:rPr>
          <w:rFonts w:ascii="Garamond" w:hAnsi="Garamond"/>
          <w:sz w:val="24"/>
          <w:szCs w:val="24"/>
        </w:rPr>
        <w:t xml:space="preserve">к торговой системе оптового рынка </w:t>
      </w:r>
      <w:r w:rsidR="00D1342D">
        <w:rPr>
          <w:rFonts w:ascii="Garamond" w:hAnsi="Garamond"/>
          <w:sz w:val="24"/>
          <w:szCs w:val="24"/>
        </w:rPr>
        <w:t>предусмотреть порядок внесения соответствующих изменений в заключенные в отношении указанных объектов генерации договоры КОМ</w:t>
      </w:r>
      <w:r w:rsidR="00830BD9" w:rsidRPr="0021209C">
        <w:rPr>
          <w:rFonts w:ascii="Garamond" w:hAnsi="Garamond"/>
          <w:sz w:val="24"/>
          <w:szCs w:val="24"/>
        </w:rPr>
        <w:t>.</w:t>
      </w:r>
    </w:p>
    <w:p w14:paraId="37E50D98" w14:textId="77777777" w:rsidR="0013652F" w:rsidRPr="0021209C" w:rsidRDefault="0013652F" w:rsidP="0021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21209C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 w:rsidR="007C1317" w:rsidRPr="007C1317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7C1317" w:rsidRPr="007C1317">
        <w:rPr>
          <w:rFonts w:ascii="Garamond" w:hAnsi="Garamond"/>
          <w:sz w:val="24"/>
          <w:szCs w:val="24"/>
        </w:rPr>
        <w:t>27</w:t>
      </w:r>
      <w:r w:rsidR="00363213" w:rsidRPr="007C1317">
        <w:rPr>
          <w:rFonts w:ascii="Garamond" w:hAnsi="Garamond"/>
          <w:sz w:val="24"/>
          <w:szCs w:val="24"/>
        </w:rPr>
        <w:t xml:space="preserve"> </w:t>
      </w:r>
      <w:r w:rsidR="00F250EF" w:rsidRPr="007C1317">
        <w:rPr>
          <w:rFonts w:ascii="Garamond" w:hAnsi="Garamond"/>
          <w:sz w:val="24"/>
          <w:szCs w:val="24"/>
        </w:rPr>
        <w:t>апреля</w:t>
      </w:r>
      <w:r w:rsidR="00363213" w:rsidRPr="007C1317">
        <w:rPr>
          <w:rFonts w:ascii="Garamond" w:hAnsi="Garamond"/>
          <w:sz w:val="24"/>
          <w:szCs w:val="24"/>
        </w:rPr>
        <w:t xml:space="preserve"> 20</w:t>
      </w:r>
      <w:r w:rsidR="00C37290" w:rsidRPr="007C1317">
        <w:rPr>
          <w:rFonts w:ascii="Garamond" w:hAnsi="Garamond"/>
          <w:sz w:val="24"/>
          <w:szCs w:val="24"/>
        </w:rPr>
        <w:t>2</w:t>
      </w:r>
      <w:r w:rsidR="005E51BD" w:rsidRPr="007C1317">
        <w:rPr>
          <w:rFonts w:ascii="Garamond" w:hAnsi="Garamond"/>
          <w:sz w:val="24"/>
          <w:szCs w:val="24"/>
        </w:rPr>
        <w:t>1</w:t>
      </w:r>
      <w:r w:rsidRPr="007C1317">
        <w:rPr>
          <w:rFonts w:ascii="Garamond" w:hAnsi="Garamond"/>
          <w:sz w:val="24"/>
          <w:szCs w:val="24"/>
        </w:rPr>
        <w:t xml:space="preserve"> года.</w:t>
      </w:r>
    </w:p>
    <w:p w14:paraId="7034702E" w14:textId="77777777" w:rsidR="000D705C" w:rsidRPr="000D705C" w:rsidRDefault="000D705C" w:rsidP="000D705C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635C89BC" w14:textId="77777777" w:rsidR="00F46971" w:rsidRPr="00AE3003" w:rsidRDefault="00F46971" w:rsidP="00335D5C">
      <w:pPr>
        <w:widowControl w:val="0"/>
        <w:spacing w:after="0"/>
        <w:rPr>
          <w:rFonts w:ascii="Garamond" w:hAnsi="Garamond"/>
          <w:b/>
          <w:sz w:val="26"/>
          <w:szCs w:val="26"/>
        </w:rPr>
      </w:pPr>
      <w:r w:rsidRPr="00AE3003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ДОГОВОРА О ПРИСОЕДИНЕНИИ К ТОРГОВОЙ СИСТЕМЕ ОПТОВОГО РЫНКА</w:t>
      </w:r>
    </w:p>
    <w:p w14:paraId="701CE3C9" w14:textId="77777777" w:rsidR="00F46971" w:rsidRPr="00AE3003" w:rsidRDefault="00F46971" w:rsidP="00F46971">
      <w:pPr>
        <w:spacing w:after="0"/>
        <w:rPr>
          <w:rFonts w:ascii="Garamond" w:hAnsi="Garamond"/>
          <w:sz w:val="26"/>
          <w:szCs w:val="26"/>
        </w:rPr>
      </w:pP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17"/>
        <w:gridCol w:w="6969"/>
      </w:tblGrid>
      <w:tr w:rsidR="00F46971" w:rsidRPr="00335D5C" w14:paraId="2A98408B" w14:textId="77777777" w:rsidTr="00335D5C">
        <w:trPr>
          <w:trHeight w:val="435"/>
        </w:trPr>
        <w:tc>
          <w:tcPr>
            <w:tcW w:w="988" w:type="dxa"/>
            <w:vAlign w:val="center"/>
          </w:tcPr>
          <w:p w14:paraId="1F5B933A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335D5C">
              <w:rPr>
                <w:rFonts w:ascii="Garamond" w:hAnsi="Garamond"/>
                <w:b/>
              </w:rPr>
              <w:t>№</w:t>
            </w:r>
          </w:p>
          <w:p w14:paraId="172BDFA1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335D5C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17" w:type="dxa"/>
            <w:vAlign w:val="center"/>
          </w:tcPr>
          <w:p w14:paraId="092EE8E0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335D5C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67A8947E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335D5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969" w:type="dxa"/>
            <w:vAlign w:val="center"/>
          </w:tcPr>
          <w:p w14:paraId="49558BAD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335D5C">
              <w:rPr>
                <w:rFonts w:ascii="Garamond" w:hAnsi="Garamond"/>
                <w:b/>
              </w:rPr>
              <w:t>Предлагаемые изменения</w:t>
            </w:r>
          </w:p>
          <w:p w14:paraId="71DC46E2" w14:textId="77777777" w:rsidR="00F46971" w:rsidRPr="00335D5C" w:rsidRDefault="00F46971" w:rsidP="000D5EFB">
            <w:pPr>
              <w:spacing w:after="0"/>
              <w:jc w:val="center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46971" w:rsidRPr="00335D5C" w14:paraId="27F1AE1D" w14:textId="77777777" w:rsidTr="00335D5C">
        <w:trPr>
          <w:trHeight w:val="435"/>
        </w:trPr>
        <w:tc>
          <w:tcPr>
            <w:tcW w:w="988" w:type="dxa"/>
            <w:shd w:val="clear" w:color="auto" w:fill="auto"/>
            <w:vAlign w:val="center"/>
          </w:tcPr>
          <w:p w14:paraId="2DF0D277" w14:textId="22020EDA" w:rsidR="00F46971" w:rsidRPr="00335D5C" w:rsidRDefault="00335D5C" w:rsidP="00F4697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18`.19.3</w:t>
            </w:r>
          </w:p>
        </w:tc>
        <w:tc>
          <w:tcPr>
            <w:tcW w:w="6917" w:type="dxa"/>
          </w:tcPr>
          <w:p w14:paraId="7E851E0D" w14:textId="291347E1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 xml:space="preserve">Договоры </w:t>
            </w:r>
            <w:r w:rsidRPr="00335D5C">
              <w:rPr>
                <w:rFonts w:ascii="Garamond" w:hAnsi="Garamond" w:cs="Garamond"/>
              </w:rPr>
              <w:t xml:space="preserve">купли-продажи мощности по результатам КОМ, в которых </w:t>
            </w:r>
            <w:r w:rsidRPr="00335D5C">
              <w:rPr>
                <w:rFonts w:ascii="Garamond" w:hAnsi="Garamond"/>
              </w:rPr>
              <w:t>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перечне поставщиков мощности, ценовые заявки на продажу мощности которых были отобраны по результатам конкурентного отбора мощности, или в р</w:t>
            </w:r>
            <w:r w:rsidRPr="00335D5C">
              <w:rPr>
                <w:rFonts w:ascii="Garamond" w:hAnsi="Garamond"/>
                <w:bCs/>
              </w:rPr>
              <w:t>еестре обязательств по поставке мощности по результатам конкурентного отбора мощности</w:t>
            </w:r>
            <w:r w:rsidRPr="00335D5C">
              <w:rPr>
                <w:rFonts w:ascii="Garamond" w:hAnsi="Garamond"/>
              </w:rPr>
              <w:t>.</w:t>
            </w:r>
          </w:p>
          <w:p w14:paraId="53DEC1FF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 xml:space="preserve">Договоры купли-продажи мощности по результатам КОМ на 2018 – 2021 годы, в которых Участник оптового рынка – поставщик электрической энергии и мощности является продавцом мощности, заключаются в случае, если соответствующий поставщик указан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указанном в абзаце 3 пункта 113(1) Правил оптового рынка электрической </w:t>
            </w:r>
            <w:r w:rsidRPr="00335D5C">
              <w:rPr>
                <w:rFonts w:ascii="Garamond" w:hAnsi="Garamond"/>
              </w:rPr>
              <w:lastRenderedPageBreak/>
              <w:t>энергии и мощности (далее – Перечень генерирующих объектов, подлежащих строительству на территориях Республики Крым и г. Севастополя). При этом в отношении каждого указанного календарного года заключается отдельный договор купли-продажи мощности по результатам КОМ и отдельный договор купли-продажи мощности по результатам КОМ в целях компенсации потерь.</w:t>
            </w:r>
          </w:p>
          <w:p w14:paraId="23C5356C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  <w:highlight w:val="yellow"/>
              </w:rPr>
              <w:t>Договоры купли-продажи мощности по результатам КОМ в отношении генерирующих объектов, указанных в Перечне генерирующих объектов, подлежащих строительству на территориях Республики Крым и г. Севастополя, заключаются только в случае получения организациями коммерческой инфраструктуры от Минэнерго России информации, содержащейся в Перечне генерирующих объектов, подлежащих строительству на территориях Республики Крым и г. Севастополя, а именно: наименование субъекта оптового рынка, наименование генерирующего объекта, местонахождение генерирующего объекта, установленная мощность генерирующего объекта, дата ввода в эксплуатацию генерирующего объекта.</w:t>
            </w:r>
          </w:p>
          <w:p w14:paraId="5F9F2548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>Договоры купли-продажи мощности по результатам КОМ новых генерирующих объектов,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новых генерирующих объектов перечне поставщиков мощности, ценовые заявки на продажу мощности которых были отобраны по результатам конкурентного отбора мощности новых генерирующих объектов, или в р</w:t>
            </w:r>
            <w:r w:rsidRPr="00335D5C">
              <w:rPr>
                <w:rFonts w:ascii="Garamond" w:hAnsi="Garamond"/>
                <w:bCs/>
              </w:rPr>
              <w:t>еестре обязательств по поставке мощности по результатам конкурентного отбора мощности</w:t>
            </w:r>
            <w:r w:rsidRPr="00335D5C">
              <w:rPr>
                <w:rFonts w:ascii="Garamond" w:hAnsi="Garamond"/>
              </w:rPr>
              <w:t xml:space="preserve"> новых генерирующих объектов.</w:t>
            </w:r>
          </w:p>
          <w:p w14:paraId="241287DA" w14:textId="55ECB4C1" w:rsidR="00F46971" w:rsidRPr="00335D5C" w:rsidRDefault="00F46971" w:rsidP="006C4248">
            <w:pPr>
              <w:widowControl w:val="0"/>
              <w:spacing w:before="120" w:after="120" w:line="240" w:lineRule="auto"/>
              <w:rPr>
                <w:rFonts w:ascii="Garamond" w:hAnsi="Garamond"/>
                <w:lang w:val="en-US"/>
              </w:rPr>
            </w:pPr>
            <w:r w:rsidRPr="00335D5C"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6969" w:type="dxa"/>
          </w:tcPr>
          <w:p w14:paraId="05A59CAB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lastRenderedPageBreak/>
              <w:t xml:space="preserve">Договоры </w:t>
            </w:r>
            <w:r w:rsidRPr="00335D5C">
              <w:rPr>
                <w:rFonts w:ascii="Garamond" w:hAnsi="Garamond" w:cs="Garamond"/>
              </w:rPr>
              <w:t xml:space="preserve">купли-продажи мощности по результатам КОМ, в которых </w:t>
            </w:r>
            <w:r w:rsidRPr="00335D5C">
              <w:rPr>
                <w:rFonts w:ascii="Garamond" w:hAnsi="Garamond"/>
              </w:rPr>
              <w:t>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перечне поставщиков мощности, ценовые заявки на продажу мощности которых были отобраны по результатам конкурентного отбора мощности, или в р</w:t>
            </w:r>
            <w:r w:rsidRPr="00335D5C">
              <w:rPr>
                <w:rFonts w:ascii="Garamond" w:hAnsi="Garamond"/>
                <w:bCs/>
              </w:rPr>
              <w:t>еестре обязательств по поставке мощности по результатам конкурентного отбора мощности</w:t>
            </w:r>
            <w:r w:rsidRPr="00335D5C">
              <w:rPr>
                <w:rFonts w:ascii="Garamond" w:hAnsi="Garamond"/>
              </w:rPr>
              <w:t>.</w:t>
            </w:r>
          </w:p>
          <w:p w14:paraId="3D78116E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 xml:space="preserve">Договоры купли-продажи мощности по результатам КОМ на 2018 – 2021 годы, в которых Участник оптового рынка – поставщик электрической энергии и мощности является продавцом мощности, заключаются в случае, если соответствующий поставщик указан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указанном в абзаце 3 пункта 113(1) Правил оптового рынка электрической </w:t>
            </w:r>
            <w:r w:rsidRPr="00335D5C">
              <w:rPr>
                <w:rFonts w:ascii="Garamond" w:hAnsi="Garamond"/>
              </w:rPr>
              <w:lastRenderedPageBreak/>
              <w:t>энергии и мощности (далее – Перечень генерирующих объектов, подлежащих строительству на территориях Республики Крым и г. Севастополя). При этом в отношении каждого указанного календарного года заключается отдельный договор купли-продажи мощности по результатам КОМ и отдельный договор купли-продажи мощности по результатам КОМ в целях компенсации потерь.</w:t>
            </w:r>
          </w:p>
          <w:p w14:paraId="665DA2FB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</w:rPr>
              <w:t>Договоры купли-продажи мощности по результатам КОМ новых генерирующих объектов,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новых генерирующих объектов перечне поставщиков мощности, ценовые заявки на продажу мощности которых были отобраны по результатам конкурентного отбора мощности новых генерирующих объектов, или в р</w:t>
            </w:r>
            <w:r w:rsidRPr="00335D5C">
              <w:rPr>
                <w:rFonts w:ascii="Garamond" w:hAnsi="Garamond"/>
                <w:bCs/>
              </w:rPr>
              <w:t>еестре обязательств по поставке мощности по результатам конкурентного отбора мощности</w:t>
            </w:r>
            <w:r w:rsidRPr="00335D5C">
              <w:rPr>
                <w:rFonts w:ascii="Garamond" w:hAnsi="Garamond"/>
              </w:rPr>
              <w:t xml:space="preserve"> новых генерирующих объектов.</w:t>
            </w:r>
          </w:p>
          <w:p w14:paraId="5720FF5E" w14:textId="7A403A44" w:rsidR="00F46971" w:rsidRPr="00335D5C" w:rsidRDefault="00F46971" w:rsidP="006C424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lang w:val="en-US"/>
              </w:rPr>
            </w:pPr>
            <w:r w:rsidRPr="00335D5C">
              <w:rPr>
                <w:rFonts w:ascii="Garamond" w:hAnsi="Garamond"/>
                <w:lang w:val="en-US"/>
              </w:rPr>
              <w:t>…</w:t>
            </w:r>
          </w:p>
        </w:tc>
      </w:tr>
      <w:tr w:rsidR="00F46971" w:rsidRPr="00335D5C" w14:paraId="04AD468D" w14:textId="77777777" w:rsidTr="00335D5C">
        <w:trPr>
          <w:trHeight w:val="435"/>
        </w:trPr>
        <w:tc>
          <w:tcPr>
            <w:tcW w:w="988" w:type="dxa"/>
            <w:shd w:val="clear" w:color="auto" w:fill="auto"/>
            <w:vAlign w:val="center"/>
          </w:tcPr>
          <w:p w14:paraId="40625224" w14:textId="617A314B" w:rsidR="00F46971" w:rsidRPr="00335D5C" w:rsidRDefault="00335D5C" w:rsidP="00F4697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18`.19.17</w:t>
            </w:r>
          </w:p>
        </w:tc>
        <w:tc>
          <w:tcPr>
            <w:tcW w:w="6917" w:type="dxa"/>
          </w:tcPr>
          <w:p w14:paraId="224BAAF2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t>По результатам рассмотрения документов, представленных в соответствии с пунктом 18`.19.15 настоящего Договора, продавцом мощности по договорам купли-продажи мощности по результатам КОМ, заключенным в отношении генерирующего объекта, указанного в Перечне генерирующих объектов, подлежащих строительству на территориях Республики Крым и г. Севастополя,  Наблюдательный совет Совета рынка принимает решение о выполнении (невыполнении) продавцом требований по своевременному и полному представлению указанных документов.</w:t>
            </w:r>
          </w:p>
          <w:p w14:paraId="4BE9CD3F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lastRenderedPageBreak/>
              <w:t>В случае подтверждения решением Наблюдательного совета Совета рынка факта выполнения поставщиком требований по своевременному и полному представлению документов, указанных в пункте 18`.19.15 настоящего Договора, продавец обязан информировать Совет рынка о вступивших в законную силу судебных актах по исковому заявлению продавца к сетевой (газотранспортной, газораспределительной) организации, а в случае заключения мирового соглашения между продавцом и сетевой (газотранспортной, газораспределительной) организацией представить заверенную уполномоченным лицом копию такого мирового соглашения.</w:t>
            </w:r>
          </w:p>
          <w:p w14:paraId="6373C0BA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t>На основании вступивших в законную силу судебных актов или мирового соглашения Наблюдательным советом Совета рынка принимается решение о наличии (отсутствии) оснований для освобождения поставщика от ответственности за</w:t>
            </w:r>
            <w:r w:rsidRPr="00335D5C">
              <w:rPr>
                <w:lang w:eastAsia="ru-RU"/>
              </w:rPr>
              <w:t xml:space="preserve"> </w:t>
            </w:r>
            <w:r w:rsidRPr="00335D5C">
              <w:rPr>
                <w:rFonts w:ascii="Garamond" w:hAnsi="Garamond"/>
                <w:lang w:eastAsia="ru-RU"/>
              </w:rPr>
              <w:t>непоставку (недопоставку) мощности по договору купли-продажи мощности по результатам конкурентного отбора мощности.</w:t>
            </w:r>
          </w:p>
          <w:p w14:paraId="6AB58D6A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t>Совет рынка в течение 3 рабочих дней обязан направить Коммерческому оператору информацию о решениях, принятых Наблюдательным советом Совета рынка в соответствии с настоящим пунктом Договора.</w:t>
            </w:r>
          </w:p>
          <w:p w14:paraId="16F60FAA" w14:textId="77777777" w:rsidR="00F46971" w:rsidRPr="00335D5C" w:rsidRDefault="00F4697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6969" w:type="dxa"/>
          </w:tcPr>
          <w:p w14:paraId="13FF95AA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lastRenderedPageBreak/>
              <w:t>По результатам рассмотрения документов, представленных в соответствии с пунктом 18`.19.15 настоящего Договора, продавцом мощности по договорам купли-продажи мощности по результатам КОМ, заключенным в отношении генерирующего объекта, указанного в Перечне генерирующих объектов, подлежащих строительству на территориях Республики Крым и г. Севастополя,  Наблюдательный совет Совета рынка принимает решение о выполнении (невыполнении) продавцом требований по своевременному и полному представлению указанных документов.</w:t>
            </w:r>
          </w:p>
          <w:p w14:paraId="4F1D5AF9" w14:textId="77777777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lastRenderedPageBreak/>
              <w:t>В случае подтверждения решением Наблюдательного совета Совета рынка факта выполнения поставщиком требований по своевременному и полному представлению документов, указанных в пункте 18`.19.15 настоящего Договора, продавец обязан информировать Совет рынка о вступивших в законную силу судебных актах по исковому заявлению продавца к сетевой (газотранспортной, газораспределительной) организации, а в случае заключения мирового соглашения между продавцом и сетевой (газотранспортной, газораспределительной) организацией представить заверенную уполномоченным лицом копию такого мирового соглашения.</w:t>
            </w:r>
          </w:p>
          <w:p w14:paraId="48B99E6D" w14:textId="5C1F9765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t>На основании вступивших в законную силу судебных актов или мирового соглашения Наблюдательным советом Совета рынка принимается решение о наличии (отсутствии) оснований для освобождения поставщика от ответственности за</w:t>
            </w:r>
            <w:r w:rsidRPr="00335D5C">
              <w:rPr>
                <w:lang w:eastAsia="ru-RU"/>
              </w:rPr>
              <w:t xml:space="preserve"> </w:t>
            </w:r>
            <w:r w:rsidRPr="00335D5C">
              <w:rPr>
                <w:rFonts w:ascii="Garamond" w:hAnsi="Garamond"/>
                <w:lang w:eastAsia="ru-RU"/>
              </w:rPr>
              <w:t>непоставку (недопоставку) мощности по договору купли-продажи мощности по результатам конкурентного отбора мощности.</w:t>
            </w:r>
          </w:p>
          <w:p w14:paraId="42FFE53E" w14:textId="634DFFAB" w:rsidR="00F46971" w:rsidRPr="00335D5C" w:rsidRDefault="0006507F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35D5C">
              <w:rPr>
                <w:rFonts w:ascii="Garamond" w:hAnsi="Garamond"/>
                <w:highlight w:val="yellow"/>
              </w:rPr>
              <w:t>В случае принятия Правительством Российской Федерации решения об изменении даты ввода в эксплуатацию генерирующего объекта на более позднюю</w:t>
            </w:r>
            <w:r w:rsidR="006C4248">
              <w:rPr>
                <w:rFonts w:ascii="Garamond" w:hAnsi="Garamond"/>
                <w:highlight w:val="yellow"/>
              </w:rPr>
              <w:t>,</w:t>
            </w:r>
            <w:r w:rsidRPr="00335D5C">
              <w:rPr>
                <w:rFonts w:ascii="Garamond" w:hAnsi="Garamond"/>
                <w:highlight w:val="yellow"/>
              </w:rPr>
              <w:t xml:space="preserve"> предусмотренный </w:t>
            </w:r>
            <w:r w:rsidR="003F7861" w:rsidRPr="00335D5C">
              <w:rPr>
                <w:rFonts w:ascii="Garamond" w:hAnsi="Garamond"/>
                <w:highlight w:val="yellow"/>
                <w:lang w:eastAsia="ru-RU"/>
              </w:rPr>
              <w:t>договором купли-продажи мощности по результатам конкурентного отбора мощности</w:t>
            </w:r>
            <w:r w:rsidRPr="00335D5C">
              <w:rPr>
                <w:rFonts w:ascii="Garamond" w:hAnsi="Garamond"/>
                <w:highlight w:val="yellow"/>
              </w:rPr>
              <w:t xml:space="preserve"> штраф за непоставку (недопоставку) мощности за период до новой даты ввода в эксплуатацию генерирующего объекта</w:t>
            </w:r>
            <w:bookmarkStart w:id="0" w:name="_GoBack"/>
            <w:bookmarkEnd w:id="0"/>
            <w:r w:rsidRPr="00335D5C">
              <w:rPr>
                <w:rFonts w:ascii="Garamond" w:hAnsi="Garamond"/>
                <w:highlight w:val="yellow"/>
              </w:rPr>
              <w:t>, указанной в Перечне</w:t>
            </w:r>
            <w:r w:rsidR="003F7861" w:rsidRPr="00335D5C">
              <w:rPr>
                <w:rFonts w:ascii="Garamond" w:hAnsi="Garamond"/>
                <w:highlight w:val="yellow"/>
              </w:rPr>
              <w:t xml:space="preserve"> </w:t>
            </w:r>
            <w:r w:rsidR="003F7861" w:rsidRPr="00335D5C">
              <w:rPr>
                <w:rFonts w:ascii="Garamond" w:hAnsi="Garamond"/>
                <w:highlight w:val="yellow"/>
                <w:lang w:eastAsia="ru-RU"/>
              </w:rPr>
              <w:t>генерирующих объектов, подлежащих строительству на территориях Республики Крым и г. Севастополя,</w:t>
            </w:r>
            <w:r w:rsidRPr="00335D5C">
              <w:rPr>
                <w:rFonts w:ascii="Garamond" w:hAnsi="Garamond"/>
                <w:highlight w:val="yellow"/>
              </w:rPr>
              <w:t xml:space="preserve"> который не был рассчитан и списан в соответствии с </w:t>
            </w:r>
            <w:r w:rsidR="003F7861" w:rsidRPr="00335D5C">
              <w:rPr>
                <w:rFonts w:ascii="Garamond" w:hAnsi="Garamond"/>
                <w:highlight w:val="yellow"/>
              </w:rPr>
              <w:t>указанным д</w:t>
            </w:r>
            <w:r w:rsidRPr="00335D5C">
              <w:rPr>
                <w:rFonts w:ascii="Garamond" w:hAnsi="Garamond"/>
                <w:highlight w:val="yellow"/>
              </w:rPr>
              <w:t>оговором, не рассчитывается и не взыскивается за период до новой даты ввода в эксплуатацию генерирующего объекта.</w:t>
            </w:r>
          </w:p>
          <w:p w14:paraId="78C3A567" w14:textId="6634065C" w:rsidR="003F7861" w:rsidRPr="00335D5C" w:rsidRDefault="003F7861" w:rsidP="006C4248">
            <w:pPr>
              <w:widowControl w:val="0"/>
              <w:tabs>
                <w:tab w:val="num" w:pos="1004"/>
              </w:tabs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335D5C">
              <w:rPr>
                <w:rFonts w:ascii="Garamond" w:hAnsi="Garamond"/>
                <w:lang w:eastAsia="ru-RU"/>
              </w:rPr>
              <w:t>Совет рынка в течение 3 рабочих дней обязан направить Коммерческому оператору информацию о решениях, принятых Наблюдательным советом Совета рынка в соответствии с настоящим пунктом Договора.</w:t>
            </w:r>
          </w:p>
        </w:tc>
      </w:tr>
    </w:tbl>
    <w:p w14:paraId="19C69CFC" w14:textId="78BB3133" w:rsidR="00F46971" w:rsidRDefault="00F46971" w:rsidP="000D705C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14:paraId="26C08EB2" w14:textId="77777777" w:rsidR="000D705C" w:rsidRDefault="000D705C" w:rsidP="00682654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0D705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СТАНДАРТНУЮ ФОРМУ ДОГОВОРА </w:t>
      </w:r>
      <w:r>
        <w:rPr>
          <w:rFonts w:ascii="Garamond" w:hAnsi="Garamond"/>
          <w:b/>
          <w:sz w:val="26"/>
          <w:szCs w:val="26"/>
        </w:rPr>
        <w:t>КУПЛИ-ПРОДАЖИ МОЩНОСТИ ПО РЕЗУЛЬТАТАМ КОНКУРЕНТНОГО ОТБОРА МОЩНОСТИ (ДЛЯ ГЕНЕРИРУЮЩИХ ОБЪЕКТОВ, УКАЗАННЫХ В АБЗАЦЕ 3 ПУНКТА 113(1) ПРАВИЛ ОПТОВОГО РЫНКА</w:t>
      </w:r>
      <w:r w:rsidRPr="000D705C">
        <w:rPr>
          <w:rFonts w:ascii="Garamond" w:hAnsi="Garamond"/>
          <w:b/>
          <w:sz w:val="26"/>
          <w:szCs w:val="26"/>
        </w:rPr>
        <w:t>)</w:t>
      </w:r>
      <w:r>
        <w:rPr>
          <w:rFonts w:ascii="Garamond" w:hAnsi="Garamond"/>
          <w:b/>
          <w:sz w:val="26"/>
          <w:szCs w:val="26"/>
        </w:rPr>
        <w:t xml:space="preserve"> (Приложение № Д </w:t>
      </w:r>
      <w:r w:rsidRPr="000D705C">
        <w:rPr>
          <w:rFonts w:ascii="Garamond" w:hAnsi="Garamond"/>
          <w:b/>
          <w:sz w:val="26"/>
          <w:szCs w:val="26"/>
        </w:rPr>
        <w:t>18.3.5</w:t>
      </w:r>
      <w:r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442F116A" w14:textId="77777777" w:rsidR="000D705C" w:rsidRDefault="000D705C" w:rsidP="000D705C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5713"/>
        <w:gridCol w:w="7877"/>
      </w:tblGrid>
      <w:tr w:rsidR="000D705C" w:rsidRPr="00682654" w14:paraId="00095A5F" w14:textId="77777777" w:rsidTr="00682654">
        <w:trPr>
          <w:trHeight w:val="435"/>
        </w:trPr>
        <w:tc>
          <w:tcPr>
            <w:tcW w:w="333" w:type="pct"/>
            <w:tcMar>
              <w:left w:w="57" w:type="dxa"/>
              <w:right w:w="57" w:type="dxa"/>
            </w:tcMar>
            <w:vAlign w:val="center"/>
          </w:tcPr>
          <w:p w14:paraId="5CBBE5AD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2F66F358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1962" w:type="pct"/>
            <w:vAlign w:val="center"/>
          </w:tcPr>
          <w:p w14:paraId="1B92341D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2E5F867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705" w:type="pct"/>
            <w:vAlign w:val="center"/>
          </w:tcPr>
          <w:p w14:paraId="5B776647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0E9B89FD" w14:textId="77777777" w:rsidR="000D705C" w:rsidRPr="00682654" w:rsidRDefault="000D705C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530228" w:rsidRPr="00682654" w14:paraId="6D547B53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01DCAF7B" w14:textId="577C4F28" w:rsidR="00530228" w:rsidRPr="00682654" w:rsidRDefault="00682654" w:rsidP="00D562FB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</w:t>
            </w:r>
            <w:r w:rsidR="0076578B"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реамбула</w:t>
            </w:r>
          </w:p>
        </w:tc>
        <w:tc>
          <w:tcPr>
            <w:tcW w:w="1962" w:type="pct"/>
          </w:tcPr>
          <w:p w14:paraId="0A44A14F" w14:textId="77777777" w:rsidR="0076578B" w:rsidRPr="00682654" w:rsidRDefault="0076578B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05ED077F" w14:textId="77777777" w:rsidR="00530228" w:rsidRPr="00682654" w:rsidRDefault="0076578B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ПРИНИМАЯ ВО ВНИМАНИЕ, ЧТО настоящий Договор заключается в отношении генерирующего объекта, указанного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рынка;</w:t>
            </w:r>
          </w:p>
          <w:p w14:paraId="71455278" w14:textId="77777777" w:rsidR="0076578B" w:rsidRPr="00682654" w:rsidRDefault="0076578B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</w:tc>
        <w:tc>
          <w:tcPr>
            <w:tcW w:w="2705" w:type="pct"/>
            <w:shd w:val="clear" w:color="auto" w:fill="auto"/>
          </w:tcPr>
          <w:p w14:paraId="0B79AA3F" w14:textId="77777777" w:rsidR="0076578B" w:rsidRPr="00682654" w:rsidRDefault="0076578B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5584DC79" w14:textId="77777777" w:rsidR="0076578B" w:rsidRPr="00682654" w:rsidRDefault="0076578B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ПРИНИМАЯ ВО ВНИМАНИЕ, ЧТО настоящий Договор заключается в отношении генерирующего объекта, указанного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</w:t>
            </w:r>
            <w:r w:rsidRPr="00682654">
              <w:rPr>
                <w:rFonts w:ascii="Garamond" w:hAnsi="Garamond"/>
                <w:highlight w:val="yellow"/>
              </w:rPr>
              <w:t>(далее – Перечень)</w:t>
            </w:r>
            <w:r w:rsidRPr="00682654">
              <w:rPr>
                <w:rFonts w:ascii="Garamond" w:hAnsi="Garamond"/>
              </w:rPr>
              <w:t>;</w:t>
            </w:r>
          </w:p>
          <w:p w14:paraId="650AE087" w14:textId="77777777" w:rsidR="00530228" w:rsidRPr="00682654" w:rsidRDefault="0076578B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hAnsi="Garamond"/>
              </w:rPr>
              <w:t>…</w:t>
            </w:r>
          </w:p>
        </w:tc>
      </w:tr>
      <w:tr w:rsidR="004B0766" w:rsidRPr="00682654" w14:paraId="226F7F79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5D0C08A6" w14:textId="028856B0" w:rsidR="004B0766" w:rsidRPr="00682654" w:rsidRDefault="005E5669" w:rsidP="00D562FB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8.2</w:t>
            </w:r>
          </w:p>
        </w:tc>
        <w:tc>
          <w:tcPr>
            <w:tcW w:w="1962" w:type="pct"/>
          </w:tcPr>
          <w:p w14:paraId="31B4BEEB" w14:textId="77777777" w:rsidR="004B0766" w:rsidRPr="00682654" w:rsidRDefault="004B0766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Настоящий Договор изменяется и (или) дополняется Коммерческим оператором в одностороннем внесудебном </w:t>
            </w:r>
            <w:r w:rsidRPr="006F39B4">
              <w:rPr>
                <w:rFonts w:ascii="Garamond" w:hAnsi="Garamond"/>
              </w:rPr>
              <w:t>порядке в случае</w:t>
            </w:r>
            <w:r w:rsidRPr="00682654">
              <w:rPr>
                <w:rFonts w:ascii="Garamond" w:hAnsi="Garamond"/>
              </w:rPr>
              <w:t xml:space="preserve">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(или) дополнений в стандартную форму Договора купли-продажи мощности по результатам конкурентного отбора мощности (для генерирующих объектов, указанных в абзаце 3 пункта 113(1) Правил оптового рынка), являющуюся приложением к Договорам о присоединении.</w:t>
            </w:r>
          </w:p>
        </w:tc>
        <w:tc>
          <w:tcPr>
            <w:tcW w:w="2705" w:type="pct"/>
            <w:shd w:val="clear" w:color="auto" w:fill="auto"/>
          </w:tcPr>
          <w:p w14:paraId="7E0D0573" w14:textId="77777777" w:rsidR="004B0766" w:rsidRPr="00682654" w:rsidRDefault="004B0766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eastAsia="Times New Roman" w:hAnsi="Garamond"/>
                <w:bCs/>
              </w:rPr>
              <w:t xml:space="preserve">Настоящий Договор изменяется и (или) дополняется Коммерческим оператором в одностороннем внесудебном </w:t>
            </w:r>
            <w:r w:rsidRPr="006F39B4">
              <w:rPr>
                <w:rFonts w:ascii="Garamond" w:eastAsia="Times New Roman" w:hAnsi="Garamond"/>
                <w:bCs/>
              </w:rPr>
              <w:t xml:space="preserve">порядке 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>в следующих случаях:</w:t>
            </w:r>
            <w:r w:rsidRPr="00682654">
              <w:rPr>
                <w:rFonts w:ascii="Garamond" w:eastAsia="Times New Roman" w:hAnsi="Garamond"/>
                <w:bCs/>
              </w:rPr>
              <w:t xml:space="preserve"> </w:t>
            </w:r>
          </w:p>
          <w:p w14:paraId="549702F0" w14:textId="77777777" w:rsidR="00773B11" w:rsidRPr="00682654" w:rsidRDefault="004B0766" w:rsidP="00AE3003">
            <w:pPr>
              <w:pStyle w:val="ae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82654">
              <w:rPr>
                <w:rFonts w:ascii="Garamond" w:hAnsi="Garamond"/>
                <w:bCs/>
                <w:sz w:val="22"/>
                <w:szCs w:val="22"/>
              </w:rPr>
              <w:t>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(или) дополнений в стандартную форму Договора купли-продажи мощности по результатам конкурентного отбора мощности (для генерирующих объектов, указанных в абзаце 3 пункта 113(1) Правил оптового рынка), являющуюся приложением к Договорам о присоединении</w:t>
            </w:r>
            <w:r w:rsidR="00773B11" w:rsidRPr="006F39B4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40589C43" w14:textId="474A9372" w:rsidR="004B0766" w:rsidRPr="00682654" w:rsidRDefault="00773B11" w:rsidP="008564F9">
            <w:pPr>
              <w:pStyle w:val="ae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случае вступления в силу изменений в </w:t>
            </w:r>
            <w:r w:rsidR="00914564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утвержденный Правительством Российской Федерации </w:t>
            </w:r>
            <w:r w:rsidR="0076578B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П</w:t>
            </w:r>
            <w:r w:rsidR="00914564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еречень в части даты</w:t>
            </w:r>
            <w:r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ввода в эксплуатацию </w:t>
            </w:r>
            <w:r w:rsidR="00914564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генерирующего объекта</w:t>
            </w:r>
            <w:r w:rsidR="008564F9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 w:rsidR="008564F9" w:rsidRPr="00682654">
              <w:rPr>
                <w:sz w:val="22"/>
                <w:szCs w:val="22"/>
                <w:highlight w:val="yellow"/>
              </w:rPr>
              <w:t xml:space="preserve"> </w:t>
            </w:r>
            <w:r w:rsidR="008564F9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том числе изменений, внесенных распоряжением Правительства Российской Федерации от 29.03.2021 № 769-р</w:t>
            </w:r>
            <w:r w:rsidR="00A84A20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</w:tc>
      </w:tr>
      <w:tr w:rsidR="0076578B" w:rsidRPr="00682654" w14:paraId="48B5EF74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2A7A0339" w14:textId="26FBE910" w:rsidR="0076578B" w:rsidRPr="00682654" w:rsidRDefault="00682654" w:rsidP="00D562FB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8.5</w:t>
            </w:r>
          </w:p>
        </w:tc>
        <w:tc>
          <w:tcPr>
            <w:tcW w:w="1962" w:type="pct"/>
          </w:tcPr>
          <w:p w14:paraId="25DA7960" w14:textId="77777777" w:rsidR="0076578B" w:rsidRPr="00682654" w:rsidRDefault="0076578B" w:rsidP="00D562FB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68265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705" w:type="pct"/>
            <w:shd w:val="clear" w:color="auto" w:fill="auto"/>
          </w:tcPr>
          <w:p w14:paraId="496F1F48" w14:textId="3C7E30AF" w:rsidR="0076578B" w:rsidRPr="00682654" w:rsidRDefault="00587AB4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>В случае вступления в силу</w:t>
            </w:r>
            <w:r w:rsidR="005E5669" w:rsidRPr="00682654">
              <w:rPr>
                <w:rFonts w:ascii="Garamond" w:eastAsia="Times New Roman" w:hAnsi="Garamond"/>
                <w:bCs/>
                <w:highlight w:val="yellow"/>
              </w:rPr>
              <w:t xml:space="preserve"> изменений в утвержденный Правительством Российской Федерации Перечень в части даты ввода в эксплуатацию генерирующего объекта</w:t>
            </w:r>
            <w:r w:rsidR="00C7305B" w:rsidRPr="0068265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="005E5669" w:rsidRPr="00682654">
              <w:rPr>
                <w:rFonts w:ascii="Garamond" w:eastAsia="Times New Roman" w:hAnsi="Garamond"/>
                <w:bCs/>
                <w:highlight w:val="yellow"/>
              </w:rPr>
              <w:t xml:space="preserve">соответствующие изменения в одностороннем внесудебном порядке вносятся Коммерческим оператором в </w:t>
            </w:r>
            <w:r w:rsidR="00CC4FBF">
              <w:rPr>
                <w:rFonts w:ascii="Garamond" w:eastAsia="Times New Roman" w:hAnsi="Garamond"/>
                <w:bCs/>
                <w:highlight w:val="yellow"/>
              </w:rPr>
              <w:t>п</w:t>
            </w:r>
            <w:r w:rsidR="005E5669" w:rsidRPr="00682654">
              <w:rPr>
                <w:rFonts w:ascii="Garamond" w:eastAsia="Times New Roman" w:hAnsi="Garamond"/>
                <w:bCs/>
                <w:highlight w:val="yellow"/>
              </w:rPr>
              <w:t>риложение 1 к настоящему Договору.</w:t>
            </w:r>
          </w:p>
          <w:p w14:paraId="41C7C807" w14:textId="135F39DB" w:rsidR="00F35B4A" w:rsidRPr="00682654" w:rsidRDefault="00F35B4A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новая дата ввода в эксплуатацию генерирующего объекта, указанная в утвержденном Правительством Российской Федерации Перечне, приходится на период поставки мощности по настоящему Договору, и при этом дата начала 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lastRenderedPageBreak/>
              <w:t>поставки мощности по настоящему Договору, указанная в пункте 7.3 настоящего Договора, ранее такой новой даты, то дата начала поставки мощности по настоящему Договору, указанная в пункте 7.3 настоящего Договора, изменяется Коммерческим оператором в одностороннем порядке на новую дату, указанную в Перечне.</w:t>
            </w:r>
          </w:p>
          <w:p w14:paraId="470FEAF7" w14:textId="77777777" w:rsidR="005E5669" w:rsidRPr="00682654" w:rsidRDefault="007A304F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color w:val="FF0000"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>О внесенных в соответствии с настоящим пунктом изменениях Коммерческий оператор уведомляет Стороны настоящего Договора путем направления уведомления в электронном виде с применением электронной подписи и (или) на бумажном носителе</w:t>
            </w:r>
            <w:r w:rsidR="00286EAE" w:rsidRPr="00682654">
              <w:rPr>
                <w:rFonts w:ascii="Garamond" w:eastAsia="Times New Roman" w:hAnsi="Garamond"/>
                <w:bCs/>
                <w:highlight w:val="yellow"/>
              </w:rPr>
              <w:t xml:space="preserve">. </w:t>
            </w:r>
          </w:p>
        </w:tc>
      </w:tr>
      <w:tr w:rsidR="00036C86" w:rsidRPr="00682654" w14:paraId="2B3F4A76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5C1A1F4E" w14:textId="70958844" w:rsidR="00036C86" w:rsidRPr="00682654" w:rsidRDefault="00682654" w:rsidP="00036C86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9.5</w:t>
            </w:r>
          </w:p>
        </w:tc>
        <w:tc>
          <w:tcPr>
            <w:tcW w:w="1962" w:type="pct"/>
          </w:tcPr>
          <w:p w14:paraId="712FD963" w14:textId="04FEA4A7" w:rsidR="00036C86" w:rsidRPr="00682654" w:rsidRDefault="00036C86" w:rsidP="00036C86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68265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705" w:type="pct"/>
            <w:shd w:val="clear" w:color="auto" w:fill="auto"/>
          </w:tcPr>
          <w:p w14:paraId="37FF5929" w14:textId="45267D13" w:rsidR="00036C86" w:rsidRPr="00682654" w:rsidRDefault="00036C86" w:rsidP="00036C86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Настоящий </w:t>
            </w:r>
            <w:r w:rsidR="00CC4FBF">
              <w:rPr>
                <w:rFonts w:ascii="Garamond" w:eastAsia="Times New Roman" w:hAnsi="Garamond"/>
                <w:bCs/>
                <w:highlight w:val="yellow"/>
              </w:rPr>
              <w:t>Д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оговор прекращается досрочно в случае, если Правительством Российской Федерации внесены изменения в Перечень в части даты ввода в эксплуатацию генерирующего объекта и новая дата ввода в эксплуатацию генерирующего объекта наступает позже периода поставки мощности по настоящему Договору. </w:t>
            </w:r>
          </w:p>
          <w:p w14:paraId="53B393F0" w14:textId="5A0C401A" w:rsidR="00036C86" w:rsidRPr="00682654" w:rsidRDefault="00036C86" w:rsidP="00036C86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>Коммерческий оператор в целях информирования Сторон о прекращении обязательств Сторон по настоящему Договору по основаниям, предусмотренным настоящим пунктом,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</w:tc>
      </w:tr>
      <w:tr w:rsidR="00036C86" w:rsidRPr="00682654" w14:paraId="2A6330B7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06B01A4C" w14:textId="1C0783D3" w:rsidR="00036C86" w:rsidRPr="00682654" w:rsidRDefault="00682654" w:rsidP="00036C86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10.4</w:t>
            </w:r>
          </w:p>
        </w:tc>
        <w:tc>
          <w:tcPr>
            <w:tcW w:w="1962" w:type="pct"/>
          </w:tcPr>
          <w:p w14:paraId="2CED9154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Указанный в пункте 10.3 настоящего Договора штраф за непоставку (недопоставку) мощности генерирующего объекта, указанного в приложении 1 к настоящему Договору, не подлежит взысканию с Продавца в случае своевременного и полного представления им в установленном Договорами о присоединении порядке документов, свидетельствующих о том, что непоставка (недопоставка) мощности по настоящему Договору возникла исключительно вследствие неисполнения или ненадлежащего исполнения (в том числе просрочки исполнения) сетевой организацией обязанностей по заключенному с ней Продавцом договору об осуществлении технологического присоединения генерирующего объекта, указанного в приложении 1 к </w:t>
            </w:r>
            <w:r w:rsidRPr="00682654">
              <w:rPr>
                <w:rFonts w:ascii="Garamond" w:hAnsi="Garamond"/>
              </w:rPr>
              <w:lastRenderedPageBreak/>
              <w:t>настоящему Договору, к электрической сети и (или) вследствие неисполнения или ненадлежащего исполнения (в том числе просрочки исполнения) газораспределительной (газотранспортной) организацией установленных договором или нормативными правовыми актами ее обязательств, связанных с выполнением мероприятий, обеспечивающих присоединение генерирующего объекта, указанного в приложении 1 к настоящему Договору, к газораспределительной сети (магистральному газопроводу) (в случае если основным топливом для объекта генерации является природный газ), в условиях своевременного и полного выполнения Продавцом его встречных обязательств, предусмотренных такими договорами и нормативными правовыми актами.</w:t>
            </w:r>
          </w:p>
          <w:p w14:paraId="30ED1470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1235ED20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Вопрос о наличии (отсутствии) оснований для освобождения Продавца от предусмотренной настоящим Договором ответственности за непоставку (недопоставку) мощности выносится на рассмотрение Наблюдательного совета Совета рынка в установленном Договором о присоединении порядке в случае вступления в законную силу судебного акта по итогам рассмотрения искового заявления Продавца к сетевой (газотранспортной, газораспределительной) организации или утверждения судом мирового соглашения между Продавцом и сетевой (газотранспортной, газораспределительной) организацией.</w:t>
            </w:r>
          </w:p>
          <w:p w14:paraId="39D68F56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В случае если Продавец своевременно и в полном объеме представил документы в соответствии с требованиями Договоров о присоединении и настоящего пункта, однако впоследствии вступившим в законную силу судебным актом было установлено неисполнение или ненадлежащее исполнение Продавцом его встречных обязательств, связанных с присоединением объекта генерации к электрической (газораспределительной, газотранспортной) </w:t>
            </w:r>
            <w:r w:rsidRPr="00682654">
              <w:rPr>
                <w:rFonts w:ascii="Garamond" w:hAnsi="Garamond"/>
              </w:rPr>
              <w:lastRenderedPageBreak/>
              <w:t>сети, или такой вывод вытекает из содержания утвержденного судом мирового соглашения, либо из содержания вступившего в законную силу судебного акта или акта проверки (заключения) уполномоченного федерального органа исполнительной власти (органа исполнительной власти субъекта Российской Федерации) следует недостоверность подтверждения факта полного и своевременного выполнения Продавцом его встречных обязательств по отношению к сетевой (газораспределительной, газотранспортной) организации, предусмотренный настоящим пунктом штраф взыскивается с Продавца в установленном Договором о присоединении порядке за весь период непоставки (недопоставки) мощности, исчисляемый с указанной в приложении 1 даты начала исполнения обязательства по поставке мощности объекта генерации.</w:t>
            </w:r>
          </w:p>
        </w:tc>
        <w:tc>
          <w:tcPr>
            <w:tcW w:w="2705" w:type="pct"/>
            <w:shd w:val="clear" w:color="auto" w:fill="auto"/>
          </w:tcPr>
          <w:p w14:paraId="77459E3F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lastRenderedPageBreak/>
              <w:t xml:space="preserve">Указанный в пункте 10.3 настоящего Договора штраф за непоставку (недопоставку) мощности генерирующего объекта, указанного в приложении 1 к настоящему Договору, не подлежит взысканию с Продавца в случае своевременного и полного представления им в установленном Договорами о присоединении порядке документов, свидетельствующих о том, что непоставка (недопоставка) мощности по настоящему Договору возникла исключительно вследствие неисполнения или ненадлежащего исполнения (в том числе просрочки исполнения) сетевой организацией обязанностей по заключенному с ней Продавцом договору об осуществлении технологического присоединения генерирующего объекта, указанного в приложении 1 к настоящему Договору, к электрической сети и (или) вследствие неисполнения или ненадлежащего исполнения (в том числе просрочки исполнения) газораспределительной (газотранспортной) организацией установленных договором или нормативными правовыми актами ее обязательств, </w:t>
            </w:r>
            <w:r w:rsidRPr="00682654">
              <w:rPr>
                <w:rFonts w:ascii="Garamond" w:hAnsi="Garamond"/>
              </w:rPr>
              <w:lastRenderedPageBreak/>
              <w:t>связанных с выполнением мероприятий, обеспечивающих присоединение генерирующего объекта, указанного в приложении 1 к настоящему Договору, к газораспределительной сети (магистральному газопроводу) (в случае если основным топливом для объекта генерации является природный газ), в условиях своевременного и полного выполнения Продавцом его встречных обязательств, предусмотренных такими договорами и нормативными правовыми актами.</w:t>
            </w:r>
          </w:p>
          <w:p w14:paraId="44D4C615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31BFDC63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Вопрос о наличии (отсутствии) оснований для освобождения Продавца от предусмотренной настоящим Договором ответственности за непоставку (недопоставку) мощности выносится на рассмотрение Наблюдательного совета Совета рынка в установленном Договором о присоединении порядке в случае вступления в законную силу судебного акта по итогам рассмотрения искового заявления Продавца к сетевой (газотранспортной, газораспределительной) организации или утверждения судом мирового соглашения между Продавцом и сетевой (газотранспортной, газораспределительной) организацией.</w:t>
            </w:r>
          </w:p>
          <w:p w14:paraId="287683C1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В случае если Продавец своевременно и в полном объеме представил документы в соответствии с требованиями Договоров о присоединении и настоящего пункта, однако впоследствии вступившим в законную силу судебным актом было установлено неисполнение или ненадлежащее исполнение Продавцом его встречных обязательств, связанных с присоединением объекта генерации к электрической (газораспределительной, газотранспортной) сети, или такой вывод вытекает из содержания утвержденного судом мирового соглашения, либо из содержания вступившего в законную силу судебного акта или акта проверки (заключения) уполномоченного федерального органа исполнительной власти (органа исполнительной власти субъекта Российской Федерации) следует недостоверность подтверждения факта полного и своевременного выполнения Продавцом его встречных обязательств по отношению к сетевой (газораспределительной, газотранспортной) организации, предусмотренный настоящим пунктом штраф взыскивается с Продавца в установленном Договором о присоединении порядке за весь период непоставки (недопоставки) мощности, исчисляемый с указанной в приложении 1 даты начала исполнения обязательства по поставке мощности объекта генерации.</w:t>
            </w:r>
          </w:p>
          <w:p w14:paraId="65A94905" w14:textId="19672115" w:rsidR="00036C86" w:rsidRPr="00682654" w:rsidRDefault="00036C86" w:rsidP="007B048A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В случае принятия Правительством Российской Федерации решения об изменении даты ввода в эксплуатацию генерирующего объекта на более позднюю 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lastRenderedPageBreak/>
              <w:t>предусмотренный настоящим Договором штраф за непоставку (недопоставку) мощности за период до новой даты ввода в эксплуатацию генерирующего объекта, указанной в Перечне, который не был рассчитан и списан в соответствии с настоящим Договором, не рассчитывается и не взыскивается за период до новой даты ввода в эксплуатацию генерирующего объекта.</w:t>
            </w:r>
          </w:p>
        </w:tc>
      </w:tr>
      <w:tr w:rsidR="00036C86" w:rsidRPr="00682654" w14:paraId="043A6BE1" w14:textId="77777777" w:rsidTr="00682654">
        <w:trPr>
          <w:trHeight w:val="345"/>
        </w:trPr>
        <w:tc>
          <w:tcPr>
            <w:tcW w:w="333" w:type="pct"/>
            <w:vAlign w:val="center"/>
          </w:tcPr>
          <w:p w14:paraId="3A50A589" w14:textId="77777777" w:rsidR="00036C86" w:rsidRPr="00682654" w:rsidRDefault="00036C86" w:rsidP="00036C86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 xml:space="preserve">Приложение 1 </w:t>
            </w:r>
          </w:p>
        </w:tc>
        <w:tc>
          <w:tcPr>
            <w:tcW w:w="1962" w:type="pct"/>
          </w:tcPr>
          <w:p w14:paraId="42EB566E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595F95BF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* Описание генерирующего объекта осуществляется на основании информации, </w:t>
            </w:r>
            <w:r w:rsidRPr="00682654">
              <w:rPr>
                <w:rFonts w:ascii="Garamond" w:hAnsi="Garamond"/>
                <w:highlight w:val="yellow"/>
              </w:rPr>
              <w:t>полученной от Минэнерго России.</w:t>
            </w:r>
          </w:p>
        </w:tc>
        <w:tc>
          <w:tcPr>
            <w:tcW w:w="2705" w:type="pct"/>
            <w:shd w:val="clear" w:color="auto" w:fill="auto"/>
          </w:tcPr>
          <w:p w14:paraId="4300ADC8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eastAsia="Times New Roman" w:hAnsi="Garamond"/>
                <w:bCs/>
              </w:rPr>
              <w:t>…</w:t>
            </w:r>
          </w:p>
          <w:p w14:paraId="0C17B2FE" w14:textId="77777777" w:rsidR="00036C86" w:rsidRPr="00682654" w:rsidRDefault="00036C86" w:rsidP="00036C86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</w:rPr>
              <w:t xml:space="preserve">* Описание генерирующего объекта осуществляется на основании информации, 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указанной в утвержденном Правительством Российской Федерации Перечне либо </w:t>
            </w:r>
            <w:r w:rsidRPr="00682654">
              <w:rPr>
                <w:rFonts w:ascii="Garamond" w:hAnsi="Garamond"/>
                <w:highlight w:val="yellow"/>
              </w:rPr>
              <w:t>полученной от Минэнерго России.</w:t>
            </w:r>
          </w:p>
        </w:tc>
      </w:tr>
    </w:tbl>
    <w:p w14:paraId="18DD776A" w14:textId="77777777" w:rsidR="00CF469C" w:rsidRDefault="00CF469C" w:rsidP="00286EAE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14:paraId="504953A8" w14:textId="03A69741" w:rsidR="00286EAE" w:rsidRDefault="00286EAE" w:rsidP="00682654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86EA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СТАНДАРТНУЮ ФОРМУ ДОГОВОРА КУПЛИ-ПРОДАЖИ МОЩНОСТИ ПО РЕЗУЛЬТАТАМ КОНКУРЕНТНОГО ОТБОРА МОЩНОСТИ </w:t>
      </w:r>
      <w:r>
        <w:rPr>
          <w:rFonts w:ascii="Garamond" w:hAnsi="Garamond"/>
          <w:b/>
          <w:sz w:val="26"/>
          <w:szCs w:val="26"/>
        </w:rPr>
        <w:t xml:space="preserve">В ЦЕЛЯХ КОМПЕНСАЦИИ ПОТЕРЬ В ЭЛЕКТРИЧЕСКИХ СЕТЯХ </w:t>
      </w:r>
      <w:r w:rsidRPr="00286EAE">
        <w:rPr>
          <w:rFonts w:ascii="Garamond" w:hAnsi="Garamond"/>
          <w:b/>
          <w:sz w:val="26"/>
          <w:szCs w:val="26"/>
        </w:rPr>
        <w:t>(ДЛЯ ГЕНЕРИРУЮЩИХ ОБЪЕКТОВ, УКАЗАННЫХ В АБЗАЦЕ 3 ПУНКТА 113(1) ПРАВИЛ ОПТО</w:t>
      </w:r>
      <w:r>
        <w:rPr>
          <w:rFonts w:ascii="Garamond" w:hAnsi="Garamond"/>
          <w:b/>
          <w:sz w:val="26"/>
          <w:szCs w:val="26"/>
        </w:rPr>
        <w:t>ВОГО РЫНКА) (Приложение № Д 18.5.4</w:t>
      </w:r>
      <w:r w:rsidRPr="00286EAE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595EC3E0" w14:textId="77777777" w:rsidR="00682654" w:rsidRDefault="00682654" w:rsidP="00682654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5649"/>
        <w:gridCol w:w="8063"/>
      </w:tblGrid>
      <w:tr w:rsidR="00ED5FBE" w:rsidRPr="00682654" w14:paraId="3698F38B" w14:textId="77777777" w:rsidTr="00682654">
        <w:trPr>
          <w:trHeight w:val="435"/>
        </w:trPr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14:paraId="33DB8B48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087B203A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1940" w:type="pct"/>
            <w:vAlign w:val="center"/>
          </w:tcPr>
          <w:p w14:paraId="76900717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0E6CFC23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768" w:type="pct"/>
            <w:vAlign w:val="center"/>
          </w:tcPr>
          <w:p w14:paraId="06118B15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6A11593A" w14:textId="77777777" w:rsidR="00ED5FBE" w:rsidRPr="00682654" w:rsidRDefault="00ED5FBE" w:rsidP="0032478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ED5FBE" w:rsidRPr="00682654" w14:paraId="3F305CFE" w14:textId="77777777" w:rsidTr="00682654">
        <w:trPr>
          <w:trHeight w:val="345"/>
        </w:trPr>
        <w:tc>
          <w:tcPr>
            <w:tcW w:w="291" w:type="pct"/>
            <w:vAlign w:val="center"/>
          </w:tcPr>
          <w:p w14:paraId="24C3DD6F" w14:textId="24BB7865" w:rsidR="00ED5FBE" w:rsidRPr="00682654" w:rsidRDefault="00682654" w:rsidP="0032478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</w:t>
            </w:r>
            <w:r w:rsidR="00ED5FBE"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реамбула</w:t>
            </w:r>
          </w:p>
        </w:tc>
        <w:tc>
          <w:tcPr>
            <w:tcW w:w="1940" w:type="pct"/>
          </w:tcPr>
          <w:p w14:paraId="0912BF2C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2F3CB847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ПРИНИМАЯ ВО ВНИМАНИЕ, ЧТО настоящий Договор заключается в отношении генерирующего объекта, указанного в перечне субъектов оптового рынка – </w:t>
            </w:r>
            <w:r w:rsidRPr="00682654">
              <w:rPr>
                <w:rFonts w:ascii="Garamond" w:hAnsi="Garamond"/>
              </w:rPr>
              <w:lastRenderedPageBreak/>
              <w:t>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рынка;</w:t>
            </w:r>
          </w:p>
          <w:p w14:paraId="47764599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</w:tc>
        <w:tc>
          <w:tcPr>
            <w:tcW w:w="2768" w:type="pct"/>
            <w:shd w:val="clear" w:color="auto" w:fill="auto"/>
          </w:tcPr>
          <w:p w14:paraId="1F58D534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lastRenderedPageBreak/>
              <w:t>…</w:t>
            </w:r>
          </w:p>
          <w:p w14:paraId="2DF7DE78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ПРИНИМАЯ ВО ВНИМАНИЕ, ЧТО настоящий Договор заключается в отношении генерирующего объекта, указанного в перечне субъектов оптового рынка – производителей электрической энергии (мощности), генерирующие объекты </w:t>
            </w:r>
            <w:r w:rsidRPr="00682654">
              <w:rPr>
                <w:rFonts w:ascii="Garamond" w:hAnsi="Garamond"/>
              </w:rPr>
              <w:lastRenderedPageBreak/>
              <w:t xml:space="preserve">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</w:t>
            </w:r>
            <w:r w:rsidRPr="00682654">
              <w:rPr>
                <w:rFonts w:ascii="Garamond" w:hAnsi="Garamond"/>
                <w:highlight w:val="yellow"/>
              </w:rPr>
              <w:t>(далее – Перечень)</w:t>
            </w:r>
            <w:r w:rsidRPr="00682654">
              <w:rPr>
                <w:rFonts w:ascii="Garamond" w:hAnsi="Garamond"/>
              </w:rPr>
              <w:t>;</w:t>
            </w:r>
          </w:p>
          <w:p w14:paraId="191E6C60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hAnsi="Garamond"/>
              </w:rPr>
              <w:t>…</w:t>
            </w:r>
          </w:p>
        </w:tc>
      </w:tr>
      <w:tr w:rsidR="00ED5FBE" w:rsidRPr="00682654" w14:paraId="08FDA50F" w14:textId="77777777" w:rsidTr="00682654">
        <w:trPr>
          <w:trHeight w:val="345"/>
        </w:trPr>
        <w:tc>
          <w:tcPr>
            <w:tcW w:w="291" w:type="pct"/>
            <w:vAlign w:val="center"/>
          </w:tcPr>
          <w:p w14:paraId="3D6C4601" w14:textId="5E19DF48" w:rsidR="00ED5FBE" w:rsidRPr="00682654" w:rsidRDefault="00682654" w:rsidP="0032478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8.2</w:t>
            </w:r>
          </w:p>
        </w:tc>
        <w:tc>
          <w:tcPr>
            <w:tcW w:w="1940" w:type="pct"/>
          </w:tcPr>
          <w:p w14:paraId="7DC66402" w14:textId="77777777" w:rsidR="00C31188" w:rsidRPr="00682654" w:rsidRDefault="00C31188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Настоящий Договор изменяется и (или) дополняется </w:t>
            </w:r>
            <w:r w:rsidRPr="00682654">
              <w:rPr>
                <w:rFonts w:ascii="Garamond" w:hAnsi="Garamond"/>
                <w:color w:val="000000"/>
              </w:rPr>
              <w:t>Коммерческим оператором</w:t>
            </w:r>
            <w:r w:rsidRPr="00682654">
              <w:rPr>
                <w:rFonts w:ascii="Garamond" w:hAnsi="Garamond"/>
              </w:rPr>
              <w:t xml:space="preserve"> в одностороннем внесудебном порядке </w:t>
            </w:r>
            <w:r w:rsidRPr="007A45B4">
              <w:rPr>
                <w:rFonts w:ascii="Garamond" w:hAnsi="Garamond"/>
              </w:rPr>
              <w:t xml:space="preserve">в случае </w:t>
            </w:r>
            <w:r w:rsidRPr="00682654">
              <w:rPr>
                <w:rFonts w:ascii="Garamond" w:hAnsi="Garamond"/>
              </w:rPr>
              <w:t xml:space="preserve">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(или) дополнений в стандартную форму Договора купли-продажи мощности по результатам конкурентного отбора мощности в целях компенсации потерь в электрических сетях, являющуюся приложением к Договорам о присоединении. </w:t>
            </w:r>
          </w:p>
          <w:p w14:paraId="3EF7A427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</w:tc>
        <w:tc>
          <w:tcPr>
            <w:tcW w:w="2768" w:type="pct"/>
            <w:shd w:val="clear" w:color="auto" w:fill="auto"/>
          </w:tcPr>
          <w:p w14:paraId="3D6136B9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eastAsia="Times New Roman" w:hAnsi="Garamond"/>
                <w:bCs/>
              </w:rPr>
              <w:t>Настоящий Договор изменяется и (или) дополняется Коммерческим оператором в одностороннем внесудебном порядке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 в следующих случаях:</w:t>
            </w:r>
            <w:r w:rsidRPr="00682654">
              <w:rPr>
                <w:rFonts w:ascii="Garamond" w:eastAsia="Times New Roman" w:hAnsi="Garamond"/>
                <w:bCs/>
              </w:rPr>
              <w:t xml:space="preserve"> </w:t>
            </w:r>
          </w:p>
          <w:p w14:paraId="557D26C8" w14:textId="77777777" w:rsidR="00ED5FBE" w:rsidRPr="00682654" w:rsidRDefault="00CD12BA" w:rsidP="00AE3003">
            <w:pPr>
              <w:pStyle w:val="ae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82654">
              <w:rPr>
                <w:rFonts w:ascii="Garamond" w:hAnsi="Garamond"/>
                <w:sz w:val="22"/>
                <w:szCs w:val="22"/>
              </w:rPr>
              <w:t>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(или) дополнений в стандартную форму Договора купли-продажи мощности по результатам конкурентного отбора мощности в целях компенсации потерь в электрических сетях, являющуюся приложением к Договорам о присоединении</w:t>
            </w:r>
            <w:r w:rsidR="00ED5FBE" w:rsidRPr="007A45B4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3D459CC0" w14:textId="3763053B" w:rsidR="00ED5FBE" w:rsidRPr="00682654" w:rsidRDefault="00ED5FBE" w:rsidP="00564A30">
            <w:pPr>
              <w:pStyle w:val="ae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случае вступления в силу изменений в утвержденный Правительством Российской Федерации Перечень в части даты ввода в экс</w:t>
            </w:r>
            <w:r w:rsidR="00D96DE9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плуатацию генерирующего объекта</w:t>
            </w:r>
            <w:r w:rsidR="00564A30" w:rsidRPr="00682654">
              <w:rPr>
                <w:rFonts w:ascii="Garamond" w:hAnsi="Garamond"/>
                <w:bCs/>
                <w:sz w:val="22"/>
                <w:szCs w:val="22"/>
                <w:highlight w:val="yellow"/>
              </w:rPr>
              <w:t>, в том числе изменений, внесенных распоряжением Правительства Российской Федерации от 29.03.2021 № 769-р</w:t>
            </w:r>
            <w:r w:rsidR="00D96DE9" w:rsidRPr="00682654">
              <w:rPr>
                <w:rFonts w:ascii="Garamond" w:hAnsi="Garamond"/>
                <w:bCs/>
                <w:color w:val="FF0000"/>
                <w:sz w:val="22"/>
                <w:szCs w:val="22"/>
                <w:highlight w:val="yellow"/>
              </w:rPr>
              <w:t>.</w:t>
            </w:r>
          </w:p>
          <w:p w14:paraId="329B4047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682654">
              <w:rPr>
                <w:rFonts w:ascii="Garamond" w:hAnsi="Garamond"/>
                <w:bCs/>
              </w:rPr>
              <w:t>…</w:t>
            </w:r>
          </w:p>
        </w:tc>
      </w:tr>
      <w:tr w:rsidR="00ED5FBE" w:rsidRPr="00682654" w14:paraId="4A9DC2AB" w14:textId="77777777" w:rsidTr="00682654">
        <w:trPr>
          <w:trHeight w:val="345"/>
        </w:trPr>
        <w:tc>
          <w:tcPr>
            <w:tcW w:w="291" w:type="pct"/>
            <w:vAlign w:val="center"/>
          </w:tcPr>
          <w:p w14:paraId="05B1EBF2" w14:textId="2197C6B1" w:rsidR="00ED5FBE" w:rsidRPr="00682654" w:rsidRDefault="00ED5FBE" w:rsidP="0032478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8</w:t>
            </w:r>
            <w:r w:rsidR="00E56751"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t>.3</w:t>
            </w:r>
          </w:p>
        </w:tc>
        <w:tc>
          <w:tcPr>
            <w:tcW w:w="1940" w:type="pct"/>
          </w:tcPr>
          <w:p w14:paraId="15B55EEF" w14:textId="77777777" w:rsidR="00ED5FBE" w:rsidRPr="00682654" w:rsidRDefault="00ED5FBE" w:rsidP="00AE3003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68265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768" w:type="pct"/>
            <w:shd w:val="clear" w:color="auto" w:fill="auto"/>
          </w:tcPr>
          <w:p w14:paraId="6A07BD41" w14:textId="4DF0B7C8" w:rsidR="00ED5FBE" w:rsidRPr="00682654" w:rsidRDefault="00ED5FBE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В случае вступления в силу изменений в утвержденный Правительством Российской Федерации Перечень в части даты ввода в эксплуатацию генерирующего объекта соответствующие изменения в одностороннем внесудебном порядке вносятся Коммерческим оператором в </w:t>
            </w:r>
            <w:r w:rsidR="007A45B4">
              <w:rPr>
                <w:rFonts w:ascii="Garamond" w:eastAsia="Times New Roman" w:hAnsi="Garamond"/>
                <w:bCs/>
                <w:highlight w:val="yellow"/>
              </w:rPr>
              <w:t>п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>риложение 1 к настоящему Договору.</w:t>
            </w:r>
          </w:p>
          <w:p w14:paraId="0ADA6235" w14:textId="7EE70FDF" w:rsidR="00036C86" w:rsidRPr="00682654" w:rsidRDefault="00036C86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t>В случае если новая дата ввода в эксплуатацию генерирующего объекта, указанная в утвержденном Правительством Российской Федерации Перечне, приходится на период поставки мощности по настоящему Договору, и при этом дата начала поставки мощности по настоящему Договору, указанная в пункте 7.3 настоящего Договора, ранее такой новой даты, то дата начала поставки мощности по настоящему Договору, указанная в пункте 7.3 настоящего Договора, изменяется Коммерческим оператором в одностороннем порядке на новую дату, указанную в Перечне.</w:t>
            </w:r>
          </w:p>
          <w:p w14:paraId="45F45CED" w14:textId="228D114D" w:rsidR="00ED5FBE" w:rsidRPr="00682654" w:rsidRDefault="00ED5FBE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color w:val="FF0000"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  <w:highlight w:val="yellow"/>
              </w:rPr>
              <w:lastRenderedPageBreak/>
              <w:t>О внесенных в соответствии с настоящим пунктом изменениях Коммерческий оператор уведомл</w:t>
            </w:r>
            <w:r w:rsidR="00106A33" w:rsidRPr="00682654">
              <w:rPr>
                <w:rFonts w:ascii="Garamond" w:eastAsia="Times New Roman" w:hAnsi="Garamond"/>
                <w:bCs/>
                <w:highlight w:val="yellow"/>
              </w:rPr>
              <w:t>яет Стороны настоящего Договора путем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="00106A33" w:rsidRPr="00682654">
              <w:rPr>
                <w:rFonts w:ascii="Garamond" w:eastAsia="Times New Roman" w:hAnsi="Garamond"/>
                <w:bCs/>
                <w:highlight w:val="yellow"/>
              </w:rPr>
              <w:t>направления уведомления в электронном виде с применением электронной подписи и (или) на бумажном носителе.</w:t>
            </w:r>
            <w:r w:rsidR="00CF469C" w:rsidRPr="0068265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</w:p>
        </w:tc>
      </w:tr>
      <w:tr w:rsidR="00A44A33" w:rsidRPr="00682654" w14:paraId="1E687299" w14:textId="77777777" w:rsidTr="00682654">
        <w:trPr>
          <w:trHeight w:val="345"/>
        </w:trPr>
        <w:tc>
          <w:tcPr>
            <w:tcW w:w="291" w:type="pct"/>
            <w:vAlign w:val="center"/>
          </w:tcPr>
          <w:p w14:paraId="2141FA68" w14:textId="77777777" w:rsidR="00A44A33" w:rsidRPr="00682654" w:rsidRDefault="00A44A33" w:rsidP="0032478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82654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1</w:t>
            </w:r>
          </w:p>
        </w:tc>
        <w:tc>
          <w:tcPr>
            <w:tcW w:w="1940" w:type="pct"/>
          </w:tcPr>
          <w:p w14:paraId="7B302AEA" w14:textId="77777777" w:rsidR="00A44A33" w:rsidRPr="00682654" w:rsidRDefault="00A44A33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>…</w:t>
            </w:r>
          </w:p>
          <w:p w14:paraId="01EB49A0" w14:textId="77777777" w:rsidR="00A44A33" w:rsidRPr="00682654" w:rsidRDefault="00A44A33" w:rsidP="00AE3003">
            <w:pPr>
              <w:spacing w:before="120" w:after="120"/>
              <w:jc w:val="both"/>
              <w:rPr>
                <w:rFonts w:ascii="Garamond" w:hAnsi="Garamond"/>
              </w:rPr>
            </w:pPr>
            <w:r w:rsidRPr="00682654">
              <w:rPr>
                <w:rFonts w:ascii="Garamond" w:hAnsi="Garamond"/>
              </w:rPr>
              <w:t xml:space="preserve">* Описание генерирующего объекта осуществляется на основании информации, </w:t>
            </w:r>
            <w:r w:rsidRPr="00682654">
              <w:rPr>
                <w:rFonts w:ascii="Garamond" w:hAnsi="Garamond"/>
                <w:highlight w:val="yellow"/>
              </w:rPr>
              <w:t>полученной от Минэнерго России.</w:t>
            </w:r>
          </w:p>
        </w:tc>
        <w:tc>
          <w:tcPr>
            <w:tcW w:w="2768" w:type="pct"/>
            <w:shd w:val="clear" w:color="auto" w:fill="auto"/>
          </w:tcPr>
          <w:p w14:paraId="3A7420EB" w14:textId="77777777" w:rsidR="00A44A33" w:rsidRPr="00682654" w:rsidRDefault="00A44A33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</w:rPr>
            </w:pPr>
            <w:r w:rsidRPr="00682654">
              <w:rPr>
                <w:rFonts w:ascii="Garamond" w:eastAsia="Times New Roman" w:hAnsi="Garamond"/>
                <w:bCs/>
              </w:rPr>
              <w:t>…</w:t>
            </w:r>
          </w:p>
          <w:p w14:paraId="141FAE25" w14:textId="77777777" w:rsidR="00A44A33" w:rsidRPr="00682654" w:rsidRDefault="00A44A33" w:rsidP="00AE3003">
            <w:pPr>
              <w:spacing w:before="120" w:after="120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682654">
              <w:rPr>
                <w:rFonts w:ascii="Garamond" w:eastAsia="Times New Roman" w:hAnsi="Garamond"/>
                <w:bCs/>
              </w:rPr>
              <w:t xml:space="preserve">* Описание генерирующего объекта осуществляется на основании информации, 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>указанной в утвержденном Правительством Российской Федерации Перечне</w:t>
            </w:r>
            <w:r w:rsidR="00D96DE9" w:rsidRPr="00682654">
              <w:rPr>
                <w:rFonts w:ascii="Garamond" w:eastAsia="Times New Roman" w:hAnsi="Garamond"/>
                <w:bCs/>
                <w:highlight w:val="yellow"/>
              </w:rPr>
              <w:t xml:space="preserve"> либо </w:t>
            </w:r>
            <w:r w:rsidR="00D96DE9" w:rsidRPr="00682654">
              <w:rPr>
                <w:rFonts w:ascii="Garamond" w:hAnsi="Garamond"/>
                <w:highlight w:val="yellow"/>
              </w:rPr>
              <w:t>полученной от Минэнерго России</w:t>
            </w:r>
            <w:r w:rsidRPr="00682654">
              <w:rPr>
                <w:rFonts w:ascii="Garamond" w:eastAsia="Times New Roman" w:hAnsi="Garamond"/>
                <w:bCs/>
                <w:highlight w:val="yellow"/>
              </w:rPr>
              <w:t>.</w:t>
            </w:r>
          </w:p>
        </w:tc>
      </w:tr>
    </w:tbl>
    <w:p w14:paraId="5E77044B" w14:textId="77777777" w:rsidR="00C01A09" w:rsidRDefault="00C01A09" w:rsidP="007A45B4">
      <w:pPr>
        <w:tabs>
          <w:tab w:val="left" w:pos="709"/>
        </w:tabs>
        <w:spacing w:after="60"/>
        <w:rPr>
          <w:rFonts w:ascii="Garamond" w:hAnsi="Garamond"/>
        </w:rPr>
      </w:pPr>
    </w:p>
    <w:p w14:paraId="0F874C5C" w14:textId="09FF363C" w:rsidR="00026540" w:rsidRPr="00026540" w:rsidRDefault="00026540" w:rsidP="00CC4FBF">
      <w:pPr>
        <w:spacing w:after="0" w:line="240" w:lineRule="auto"/>
        <w:ind w:left="142"/>
        <w:rPr>
          <w:rFonts w:ascii="Garamond" w:hAnsi="Garamond"/>
          <w:b/>
          <w:sz w:val="26"/>
          <w:szCs w:val="26"/>
        </w:rPr>
      </w:pPr>
      <w:r w:rsidRPr="00026540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7A45B4" w:rsidRPr="00026540">
        <w:rPr>
          <w:rFonts w:ascii="Garamond" w:hAnsi="Garamond"/>
          <w:b/>
          <w:sz w:val="26"/>
          <w:szCs w:val="26"/>
        </w:rPr>
        <w:t xml:space="preserve">РЕГЛАМЕНТ ФИНАНСОВЫХ РАСЧЕТОВ НА ОПТОВОМ РЫНКЕ ЭЛЕКТРОЭНЕРГИИ </w:t>
      </w:r>
      <w:r w:rsidRPr="00026540">
        <w:rPr>
          <w:rFonts w:ascii="Garamond" w:hAnsi="Garamond"/>
          <w:b/>
          <w:sz w:val="26"/>
          <w:szCs w:val="26"/>
        </w:rPr>
        <w:t>(Приложение № 16 к Договору о присоединении к торговой системе оптового рынка)</w:t>
      </w:r>
    </w:p>
    <w:p w14:paraId="54893020" w14:textId="77777777" w:rsidR="00026540" w:rsidRPr="00ED3177" w:rsidRDefault="00026540" w:rsidP="00026540">
      <w:pPr>
        <w:spacing w:after="0"/>
        <w:ind w:right="-314"/>
        <w:rPr>
          <w:b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7796"/>
      </w:tblGrid>
      <w:tr w:rsidR="00026540" w:rsidRPr="007A45B4" w14:paraId="45D9986F" w14:textId="77777777" w:rsidTr="007A45B4">
        <w:tc>
          <w:tcPr>
            <w:tcW w:w="993" w:type="dxa"/>
            <w:vAlign w:val="center"/>
          </w:tcPr>
          <w:p w14:paraId="2E081923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/>
                <w:b/>
              </w:rPr>
              <w:t xml:space="preserve">№ </w:t>
            </w:r>
          </w:p>
          <w:p w14:paraId="07B92192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644986F3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A45B4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73CAF8DB" w14:textId="77777777" w:rsidR="00026540" w:rsidRPr="007A45B4" w:rsidRDefault="00026540" w:rsidP="00456633">
            <w:pPr>
              <w:widowControl w:val="0"/>
              <w:tabs>
                <w:tab w:val="center" w:pos="3708"/>
                <w:tab w:val="left" w:pos="5298"/>
              </w:tabs>
              <w:spacing w:after="0"/>
              <w:jc w:val="center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CB9EEEE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/>
                <w:b/>
              </w:rPr>
              <w:t>Предлагаемая редакция</w:t>
            </w:r>
          </w:p>
          <w:p w14:paraId="14100697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7A45B4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26540" w:rsidRPr="007A45B4" w14:paraId="7A905DB1" w14:textId="77777777" w:rsidTr="007A45B4">
        <w:tc>
          <w:tcPr>
            <w:tcW w:w="993" w:type="dxa"/>
            <w:vAlign w:val="center"/>
          </w:tcPr>
          <w:p w14:paraId="47B9C266" w14:textId="77777777" w:rsidR="00026540" w:rsidRPr="007A45B4" w:rsidRDefault="00026540" w:rsidP="00456633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/>
                <w:b/>
              </w:rPr>
              <w:t>13.2.5.2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3C63A85C" w14:textId="77777777" w:rsidR="00026540" w:rsidRPr="007A45B4" w:rsidRDefault="00026540" w:rsidP="007A45B4">
            <w:pPr>
              <w:widowControl w:val="0"/>
              <w:spacing w:before="120" w:after="120"/>
              <w:rPr>
                <w:rFonts w:ascii="Garamond" w:hAnsi="Garamond" w:cs="Garamond"/>
                <w:b/>
                <w:bCs/>
              </w:rPr>
            </w:pPr>
            <w:r w:rsidRPr="007A45B4">
              <w:rPr>
                <w:rFonts w:ascii="Garamond" w:hAnsi="Garamond" w:cs="Garamond"/>
                <w:b/>
                <w:bCs/>
              </w:rPr>
              <w:t>…</w:t>
            </w:r>
          </w:p>
          <w:p w14:paraId="563E9B13" w14:textId="189868DD" w:rsidR="00026540" w:rsidRPr="007A45B4" w:rsidRDefault="00026540" w:rsidP="00096EA0">
            <w:pPr>
              <w:pStyle w:val="a5"/>
              <w:spacing w:before="120" w:after="120" w:line="276" w:lineRule="auto"/>
              <w:ind w:firstLine="629"/>
              <w:jc w:val="both"/>
              <w:rPr>
                <w:rFonts w:cs="Garamond"/>
                <w:bCs/>
                <w:szCs w:val="22"/>
                <w:lang w:val="ru-RU"/>
              </w:rPr>
            </w:pPr>
            <w:r w:rsidRPr="007A45B4">
              <w:rPr>
                <w:szCs w:val="22"/>
                <w:lang w:val="ru-RU"/>
              </w:rPr>
              <w:t xml:space="preserve">В случае получения КО до 7-го числа месяца (включительно), следующего за расчетным, информации от Совета рынка в соответствии с пунктом 18`.19.17 </w:t>
            </w:r>
            <w:r w:rsidRPr="007A45B4">
              <w:rPr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7A45B4">
              <w:rPr>
                <w:szCs w:val="22"/>
                <w:lang w:val="ru-RU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для перечня и об установлении наличия оснований для расчета и списания штрафа в отношении ГТП генерации </w:t>
            </w:r>
            <w:r w:rsidRPr="007A45B4">
              <w:rPr>
                <w:noProof/>
                <w:position w:val="-10"/>
                <w:szCs w:val="22"/>
                <w:lang w:val="ru-RU" w:eastAsia="ru-RU"/>
              </w:rPr>
              <w:drawing>
                <wp:inline distT="0" distB="0" distL="0" distR="0" wp14:anchorId="09B49AEC" wp14:editId="11F90097">
                  <wp:extent cx="1038225" cy="238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szCs w:val="22"/>
                <w:lang w:val="ru-RU"/>
              </w:rPr>
              <w:t xml:space="preserve"> за расчетный месяц </w:t>
            </w:r>
            <w:r w:rsidRPr="007A45B4">
              <w:rPr>
                <w:noProof/>
                <w:position w:val="-6"/>
                <w:szCs w:val="22"/>
                <w:lang w:val="ru-RU" w:eastAsia="ru-RU"/>
              </w:rPr>
              <w:drawing>
                <wp:inline distT="0" distB="0" distL="0" distR="0" wp14:anchorId="70A813EB" wp14:editId="4E1A3E99">
                  <wp:extent cx="161925" cy="180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szCs w:val="22"/>
                <w:lang w:val="ru-RU"/>
              </w:rPr>
              <w:t xml:space="preserve">, КО рассчитывает величины штрафов участника оптового рынка </w:t>
            </w:r>
            <w:r w:rsidRPr="007A45B4">
              <w:rPr>
                <w:i/>
                <w:szCs w:val="22"/>
                <w:lang w:val="en-US"/>
              </w:rPr>
              <w:t>i</w:t>
            </w:r>
            <w:r w:rsidRPr="007A45B4">
              <w:rPr>
                <w:szCs w:val="22"/>
                <w:lang w:val="ru-RU"/>
              </w:rPr>
              <w:t xml:space="preserve"> в отношении такой ГТП генерации </w:t>
            </w:r>
            <w:r w:rsidRPr="007A45B4">
              <w:rPr>
                <w:i/>
                <w:szCs w:val="22"/>
                <w:lang w:val="en-US"/>
              </w:rPr>
              <w:t>p</w:t>
            </w:r>
            <w:r w:rsidRPr="007A45B4">
              <w:rPr>
                <w:szCs w:val="22"/>
                <w:lang w:val="ru-RU"/>
              </w:rPr>
              <w:t xml:space="preserve"> за расчетный месяц </w:t>
            </w:r>
            <w:r w:rsidRPr="007A45B4">
              <w:rPr>
                <w:noProof/>
                <w:position w:val="-6"/>
                <w:szCs w:val="22"/>
                <w:lang w:val="ru-RU" w:eastAsia="ru-RU"/>
              </w:rPr>
              <w:drawing>
                <wp:inline distT="0" distB="0" distL="0" distR="0" wp14:anchorId="7B110EF3" wp14:editId="33F2C9E9">
                  <wp:extent cx="161925" cy="1809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szCs w:val="22"/>
                <w:lang w:val="ru-RU"/>
              </w:rPr>
              <w:t xml:space="preserve"> в соответствии с п. </w:t>
            </w:r>
            <w:r w:rsidRPr="007A45B4">
              <w:rPr>
                <w:rFonts w:cs="Garamond"/>
                <w:bCs/>
                <w:szCs w:val="22"/>
                <w:lang w:val="ru-RU"/>
              </w:rPr>
              <w:t>13.2.3 настоящего Регламента.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AD016F2" w14:textId="77777777" w:rsidR="00026540" w:rsidRPr="007A45B4" w:rsidRDefault="00026540" w:rsidP="007A45B4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7A45B4">
              <w:rPr>
                <w:rFonts w:ascii="Garamond" w:hAnsi="Garamond"/>
                <w:b/>
              </w:rPr>
              <w:t>…</w:t>
            </w:r>
          </w:p>
          <w:p w14:paraId="5C0D2318" w14:textId="39FFD324" w:rsidR="00026540" w:rsidRPr="007A45B4" w:rsidRDefault="00026540" w:rsidP="00096EA0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 w:cs="Garamond"/>
                <w:bCs/>
              </w:rPr>
            </w:pPr>
            <w:r w:rsidRPr="007A45B4">
              <w:rPr>
                <w:rFonts w:ascii="Garamond" w:hAnsi="Garamond"/>
              </w:rPr>
              <w:t xml:space="preserve">В случае получения КО до 7-го числа месяца (включительно), следующего за расчетным, информации от Совета рынка в соответствии с пунктом 18`.19.17 </w:t>
            </w:r>
            <w:r w:rsidRPr="007A45B4">
              <w:rPr>
                <w:rFonts w:ascii="Garamond" w:hAnsi="Garamond"/>
                <w:i/>
              </w:rPr>
              <w:t>Договора о присоединении к торговой системе оптового рынка</w:t>
            </w:r>
            <w:r w:rsidRPr="007A45B4">
              <w:rPr>
                <w:rFonts w:ascii="Garamond" w:hAnsi="Garamond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для перечня и об установлении наличия оснований для расчета и списания штрафа в отношении ГТП генерации </w:t>
            </w:r>
            <w:r w:rsidRPr="007A45B4">
              <w:rPr>
                <w:rFonts w:ascii="Garamond" w:hAnsi="Garamond"/>
                <w:noProof/>
                <w:position w:val="-10"/>
                <w:lang w:eastAsia="ru-RU"/>
              </w:rPr>
              <w:drawing>
                <wp:inline distT="0" distB="0" distL="0" distR="0" wp14:anchorId="58776A26" wp14:editId="54541D96">
                  <wp:extent cx="1038225" cy="238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rFonts w:ascii="Garamond" w:hAnsi="Garamond"/>
              </w:rPr>
              <w:t xml:space="preserve"> за расчетный месяц </w:t>
            </w:r>
            <w:r w:rsidRPr="007A45B4">
              <w:rPr>
                <w:rFonts w:ascii="Garamond" w:hAnsi="Garamond"/>
                <w:noProof/>
                <w:position w:val="-6"/>
                <w:lang w:eastAsia="ru-RU"/>
              </w:rPr>
              <w:drawing>
                <wp:inline distT="0" distB="0" distL="0" distR="0" wp14:anchorId="783026F7" wp14:editId="64C8F361">
                  <wp:extent cx="161925" cy="180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rFonts w:ascii="Garamond" w:hAnsi="Garamond"/>
              </w:rPr>
              <w:t xml:space="preserve">, КО рассчитывает величины штрафов участника оптового рынка </w:t>
            </w:r>
            <w:r w:rsidRPr="007A45B4">
              <w:rPr>
                <w:rFonts w:ascii="Garamond" w:hAnsi="Garamond"/>
                <w:i/>
                <w:lang w:val="en-US"/>
              </w:rPr>
              <w:t>i</w:t>
            </w:r>
            <w:r w:rsidRPr="007A45B4">
              <w:rPr>
                <w:rFonts w:ascii="Garamond" w:hAnsi="Garamond"/>
              </w:rPr>
              <w:t xml:space="preserve"> в отношении такой ГТП генерации </w:t>
            </w:r>
            <w:r w:rsidRPr="007A45B4">
              <w:rPr>
                <w:rFonts w:ascii="Garamond" w:hAnsi="Garamond"/>
                <w:i/>
                <w:lang w:val="en-US"/>
              </w:rPr>
              <w:t>p</w:t>
            </w:r>
            <w:r w:rsidRPr="007A45B4">
              <w:rPr>
                <w:rFonts w:ascii="Garamond" w:hAnsi="Garamond"/>
              </w:rPr>
              <w:t xml:space="preserve"> за расчетный месяц </w:t>
            </w:r>
            <w:r w:rsidRPr="007A45B4">
              <w:rPr>
                <w:rFonts w:ascii="Garamond" w:hAnsi="Garamond"/>
                <w:noProof/>
                <w:position w:val="-6"/>
                <w:lang w:eastAsia="ru-RU"/>
              </w:rPr>
              <w:drawing>
                <wp:inline distT="0" distB="0" distL="0" distR="0" wp14:anchorId="6A53D8E6" wp14:editId="70F72C08">
                  <wp:extent cx="161925" cy="180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rFonts w:ascii="Garamond" w:hAnsi="Garamond"/>
              </w:rPr>
              <w:t xml:space="preserve"> в соответствии с п. </w:t>
            </w:r>
            <w:r w:rsidRPr="007A45B4">
              <w:rPr>
                <w:rFonts w:ascii="Garamond" w:hAnsi="Garamond" w:cs="Garamond"/>
                <w:bCs/>
              </w:rPr>
              <w:t>13.2.3 настоящего Регламента.</w:t>
            </w:r>
          </w:p>
          <w:p w14:paraId="7F08401C" w14:textId="09422465" w:rsidR="00026540" w:rsidRPr="007A45B4" w:rsidRDefault="00026540" w:rsidP="00096EA0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7A45B4">
              <w:rPr>
                <w:rFonts w:ascii="Garamond" w:eastAsia="Times New Roman" w:hAnsi="Garamond" w:cs="Garamond"/>
                <w:bCs/>
                <w:highlight w:val="yellow"/>
              </w:rPr>
              <w:t xml:space="preserve">В случае получения КО информации от Совета рынка о принятии Наблюдательным советом Совета рынка решения о наличии оснований </w:t>
            </w:r>
            <w:r w:rsidRPr="007A45B4">
              <w:rPr>
                <w:rFonts w:ascii="Garamond" w:hAnsi="Garamond"/>
                <w:highlight w:val="yellow"/>
              </w:rPr>
              <w:t>для освобождения поставщика от ответственности за непоставку (недопоставку) мощности по договорам КОМ для перечня и (или) решения не рассчитывать и не взыскивать штраф за неисполнение (ненадлежащее исполнение) поставщиком обязательств по договорам КОМ для перечня</w:t>
            </w:r>
            <w:r w:rsidR="00FE6EB9" w:rsidRPr="007A45B4">
              <w:rPr>
                <w:rFonts w:ascii="Garamond" w:hAnsi="Garamond"/>
                <w:highlight w:val="yellow"/>
              </w:rPr>
              <w:t xml:space="preserve"> в отношении ГТП генерации </w:t>
            </w:r>
            <w:r w:rsidR="00FE6EB9" w:rsidRPr="007A45B4">
              <w:rPr>
                <w:rFonts w:ascii="Garamond" w:hAnsi="Garamond"/>
                <w:noProof/>
                <w:position w:val="-10"/>
                <w:highlight w:val="yellow"/>
                <w:lang w:eastAsia="ru-RU"/>
              </w:rPr>
              <w:lastRenderedPageBreak/>
              <w:drawing>
                <wp:inline distT="0" distB="0" distL="0" distR="0" wp14:anchorId="112403CC" wp14:editId="2DB25099">
                  <wp:extent cx="1038225" cy="238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EB9" w:rsidRPr="007A45B4">
              <w:rPr>
                <w:rFonts w:ascii="Garamond" w:hAnsi="Garamond"/>
                <w:highlight w:val="yellow"/>
              </w:rPr>
              <w:t xml:space="preserve"> за расчетный месяц </w:t>
            </w:r>
            <w:r w:rsidR="00FE6EB9" w:rsidRPr="007A45B4">
              <w:rPr>
                <w:rFonts w:ascii="Garamond" w:hAnsi="Garamond"/>
                <w:noProof/>
                <w:position w:val="-6"/>
                <w:highlight w:val="yellow"/>
                <w:lang w:eastAsia="ru-RU"/>
              </w:rPr>
              <w:drawing>
                <wp:inline distT="0" distB="0" distL="0" distR="0" wp14:anchorId="2CCACCDC" wp14:editId="7B21CE23">
                  <wp:extent cx="161925" cy="1809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EB9" w:rsidRPr="007A45B4">
              <w:rPr>
                <w:rFonts w:ascii="Garamond" w:hAnsi="Garamond"/>
                <w:highlight w:val="yellow"/>
              </w:rPr>
              <w:t>,</w:t>
            </w:r>
            <w:r w:rsidRPr="007A45B4">
              <w:rPr>
                <w:rFonts w:ascii="Garamond" w:hAnsi="Garamond"/>
                <w:highlight w:val="yellow"/>
              </w:rPr>
              <w:t xml:space="preserve"> расчет величины штрафов участника оптового рынка </w:t>
            </w:r>
            <w:r w:rsidRPr="00CC4FBF">
              <w:rPr>
                <w:rFonts w:ascii="Garamond" w:hAnsi="Garamond"/>
                <w:i/>
                <w:highlight w:val="yellow"/>
              </w:rPr>
              <w:t>i</w:t>
            </w:r>
            <w:r w:rsidRPr="007A45B4">
              <w:rPr>
                <w:rFonts w:ascii="Garamond" w:hAnsi="Garamond"/>
                <w:highlight w:val="yellow"/>
              </w:rPr>
              <w:t xml:space="preserve"> в отношении такой ГТП генерации </w:t>
            </w:r>
            <w:r w:rsidRPr="00CC4FBF">
              <w:rPr>
                <w:rFonts w:ascii="Garamond" w:hAnsi="Garamond"/>
                <w:i/>
                <w:highlight w:val="yellow"/>
              </w:rPr>
              <w:t>p</w:t>
            </w:r>
            <w:r w:rsidRPr="007A45B4">
              <w:rPr>
                <w:rFonts w:ascii="Garamond" w:hAnsi="Garamond"/>
                <w:highlight w:val="yellow"/>
              </w:rPr>
              <w:t xml:space="preserve"> за расчетный месяц </w:t>
            </w:r>
            <w:r w:rsidR="00FE6EB9" w:rsidRPr="007A45B4">
              <w:rPr>
                <w:rFonts w:ascii="Garamond" w:hAnsi="Garamond"/>
                <w:noProof/>
                <w:position w:val="-6"/>
                <w:highlight w:val="yellow"/>
                <w:lang w:eastAsia="ru-RU"/>
              </w:rPr>
              <w:drawing>
                <wp:inline distT="0" distB="0" distL="0" distR="0" wp14:anchorId="1F0A3DBA" wp14:editId="66EEDAEA">
                  <wp:extent cx="161925" cy="1809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5B4">
              <w:rPr>
                <w:rFonts w:ascii="Garamond" w:hAnsi="Garamond"/>
                <w:highlight w:val="yellow"/>
              </w:rPr>
              <w:t xml:space="preserve"> </w:t>
            </w:r>
            <w:r w:rsidR="00FE6EB9" w:rsidRPr="007A45B4">
              <w:rPr>
                <w:rFonts w:ascii="Garamond" w:hAnsi="Garamond"/>
                <w:highlight w:val="yellow"/>
              </w:rPr>
              <w:t>в соответствии с настоящим пунктом КО не осуществляется.</w:t>
            </w:r>
            <w:r w:rsidRPr="007A45B4">
              <w:rPr>
                <w:rFonts w:ascii="Garamond" w:hAnsi="Garamond"/>
              </w:rPr>
              <w:t xml:space="preserve"> </w:t>
            </w:r>
          </w:p>
        </w:tc>
      </w:tr>
    </w:tbl>
    <w:p w14:paraId="16EC9A00" w14:textId="3C376B6D" w:rsidR="0095627C" w:rsidRDefault="0095627C" w:rsidP="00AE3003">
      <w:pPr>
        <w:jc w:val="both"/>
        <w:rPr>
          <w:rFonts w:ascii="Garamond" w:hAnsi="Garamond"/>
        </w:rPr>
      </w:pPr>
    </w:p>
    <w:p w14:paraId="6C1AF536" w14:textId="77777777" w:rsidR="00777F57" w:rsidRPr="008407F8" w:rsidRDefault="00777F57" w:rsidP="007A45B4">
      <w:pPr>
        <w:spacing w:after="0" w:line="240" w:lineRule="auto"/>
        <w:rPr>
          <w:rFonts w:ascii="Garamond" w:eastAsia="Times New Roman" w:hAnsi="Garamond"/>
          <w:b/>
          <w:bCs/>
          <w:sz w:val="26"/>
          <w:szCs w:val="26"/>
          <w:lang w:eastAsia="ru-RU"/>
        </w:rPr>
      </w:pPr>
      <w:r w:rsidRPr="008407F8"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Предложения по изменениям и дополнениям в СОГЛАШЕНИЕ О ПРИМЕНЕНИИ ЭЛЕКТРОННОЙ ПОДПИСИ </w:t>
      </w:r>
      <w:r w:rsidRPr="008407F8">
        <w:rPr>
          <w:rFonts w:ascii="Garamond" w:eastAsia="Times New Roman" w:hAnsi="Garamond"/>
          <w:b/>
          <w:bCs/>
          <w:sz w:val="26"/>
          <w:szCs w:val="26"/>
          <w:lang w:eastAsia="ru-RU"/>
        </w:rPr>
        <w:br/>
        <w:t>В ТОРГОВОЙ СИСТЕМЕ ОПТОВОГО РЫНКА (Приложение № Д 7 к Договору о присоединении к торговой системе оптового рынка)</w:t>
      </w:r>
    </w:p>
    <w:p w14:paraId="613E1346" w14:textId="77777777" w:rsidR="00777F57" w:rsidRPr="008407F8" w:rsidRDefault="00777F57" w:rsidP="00777F57">
      <w:pPr>
        <w:spacing w:after="0" w:line="240" w:lineRule="auto"/>
        <w:rPr>
          <w:rFonts w:ascii="Garamond" w:eastAsia="Times New Roman" w:hAnsi="Garamond"/>
          <w:b/>
          <w:bCs/>
          <w:sz w:val="26"/>
          <w:szCs w:val="26"/>
          <w:lang w:eastAsia="ru-RU"/>
        </w:rPr>
      </w:pPr>
    </w:p>
    <w:p w14:paraId="25764B9C" w14:textId="77777777" w:rsidR="00777F57" w:rsidRPr="008407F8" w:rsidRDefault="00777F57" w:rsidP="00777F57">
      <w:pPr>
        <w:tabs>
          <w:tab w:val="left" w:pos="3402"/>
          <w:tab w:val="left" w:pos="10632"/>
        </w:tabs>
        <w:spacing w:after="0" w:line="240" w:lineRule="auto"/>
        <w:rPr>
          <w:rFonts w:ascii="Garamond" w:eastAsia="Times New Roman" w:hAnsi="Garamond"/>
          <w:b/>
          <w:i/>
          <w:sz w:val="24"/>
          <w:szCs w:val="24"/>
          <w:lang w:eastAsia="ru-RU"/>
        </w:rPr>
      </w:pPr>
      <w:r w:rsidRPr="008407F8">
        <w:rPr>
          <w:rFonts w:ascii="Garamond" w:eastAsia="Times New Roman" w:hAnsi="Garamond"/>
          <w:b/>
          <w:iCs/>
          <w:sz w:val="24"/>
          <w:szCs w:val="24"/>
          <w:lang w:eastAsia="ru-RU"/>
        </w:rPr>
        <w:t xml:space="preserve">Добавить строку в </w:t>
      </w:r>
      <w:r w:rsidRPr="008407F8">
        <w:rPr>
          <w:rFonts w:ascii="Garamond" w:eastAsia="Times New Roman" w:hAnsi="Garamond"/>
          <w:b/>
          <w:i/>
          <w:sz w:val="24"/>
          <w:szCs w:val="24"/>
          <w:lang w:eastAsia="ru-RU"/>
        </w:rPr>
        <w:t>приложение 2 к Правилам ЭДО СЭД КО:</w:t>
      </w:r>
    </w:p>
    <w:p w14:paraId="463F57B8" w14:textId="77777777" w:rsidR="00777F57" w:rsidRPr="008407F8" w:rsidRDefault="00777F57" w:rsidP="00777F57">
      <w:pPr>
        <w:tabs>
          <w:tab w:val="left" w:pos="3402"/>
          <w:tab w:val="left" w:pos="10632"/>
        </w:tabs>
        <w:spacing w:after="0" w:line="240" w:lineRule="auto"/>
        <w:rPr>
          <w:rFonts w:ascii="Garamond" w:eastAsia="Times New Roman" w:hAnsi="Garamond"/>
          <w:b/>
          <w:i/>
          <w:sz w:val="24"/>
          <w:szCs w:val="24"/>
          <w:lang w:eastAsia="ru-RU"/>
        </w:rPr>
      </w:pPr>
    </w:p>
    <w:tbl>
      <w:tblPr>
        <w:tblW w:w="15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7"/>
        <w:gridCol w:w="709"/>
        <w:gridCol w:w="851"/>
        <w:gridCol w:w="851"/>
        <w:gridCol w:w="990"/>
        <w:gridCol w:w="851"/>
        <w:gridCol w:w="851"/>
        <w:gridCol w:w="1275"/>
        <w:gridCol w:w="1559"/>
        <w:gridCol w:w="1134"/>
        <w:gridCol w:w="1137"/>
      </w:tblGrid>
      <w:tr w:rsidR="00777F57" w:rsidRPr="007A45B4" w14:paraId="70BC016D" w14:textId="77777777" w:rsidTr="007A45B4">
        <w:trPr>
          <w:trHeight w:val="792"/>
        </w:trPr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07150297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4C111F0A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47E0A7B6" w14:textId="77777777" w:rsidR="00777F57" w:rsidRPr="007A45B4" w:rsidRDefault="00777F57" w:rsidP="008624F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108ECC3C" w14:textId="77777777" w:rsidR="00777F57" w:rsidRPr="007A45B4" w:rsidRDefault="00777F57" w:rsidP="008624FC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513DC87A" w14:textId="77777777" w:rsidR="00777F57" w:rsidRPr="007A45B4" w:rsidRDefault="00777F57" w:rsidP="008624F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4A40D061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3386EDD5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5A5EE0FD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04EA373C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2855ACCD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79D2EA31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2B6F6312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14:paraId="6B387A62" w14:textId="77777777" w:rsidR="00777F57" w:rsidRPr="007A45B4" w:rsidRDefault="00777F57" w:rsidP="0086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777F57" w:rsidRPr="007A45B4" w14:paraId="659A621B" w14:textId="77777777" w:rsidTr="007A45B4">
        <w:trPr>
          <w:trHeight w:val="792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FAE4D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FRSRMN_PART_KOM_DOG_CHANGE_NOTICE_EXCEL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EBBFA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Уведомление о внесении изменений (дополнений) в договоры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E5756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95F34" w14:textId="77777777" w:rsidR="00777F57" w:rsidRPr="007A45B4" w:rsidRDefault="00777F57" w:rsidP="008624F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xls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960303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FE81FA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CD1F46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3596E5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EAC08E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EA00F8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340DD4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3286C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5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2B018" w14:textId="77777777" w:rsidR="00777F57" w:rsidRPr="007A45B4" w:rsidRDefault="00777F57" w:rsidP="0086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4DA06CE" w14:textId="77777777" w:rsidR="00777F57" w:rsidRPr="00426B60" w:rsidRDefault="00777F57" w:rsidP="00777F57">
      <w:pPr>
        <w:jc w:val="both"/>
        <w:rPr>
          <w:rFonts w:ascii="Garamond" w:hAnsi="Garamond"/>
        </w:rPr>
      </w:pPr>
    </w:p>
    <w:p w14:paraId="13F01683" w14:textId="77777777" w:rsidR="007A45B4" w:rsidRDefault="007A45B4">
      <w:pPr>
        <w:spacing w:after="0" w:line="240" w:lineRule="auto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3E3E038C" w14:textId="0561CC87" w:rsidR="00777F57" w:rsidRDefault="00A0684F" w:rsidP="007A45B4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 w:cs="Arial"/>
          <w:b/>
          <w:sz w:val="28"/>
          <w:szCs w:val="28"/>
        </w:rPr>
        <w:lastRenderedPageBreak/>
        <w:t xml:space="preserve">Приложение № </w:t>
      </w:r>
      <w:r w:rsidRPr="006739FE">
        <w:rPr>
          <w:rFonts w:ascii="Garamond" w:hAnsi="Garamond" w:cs="Arial"/>
          <w:b/>
          <w:sz w:val="28"/>
          <w:szCs w:val="28"/>
        </w:rPr>
        <w:t>1.5</w:t>
      </w:r>
      <w:r>
        <w:rPr>
          <w:rFonts w:ascii="Garamond" w:hAnsi="Garamond" w:cs="Arial"/>
          <w:b/>
          <w:sz w:val="28"/>
          <w:szCs w:val="28"/>
          <w:lang w:val="en-US"/>
        </w:rPr>
        <w:t>.2</w:t>
      </w:r>
    </w:p>
    <w:p w14:paraId="38B6F8CC" w14:textId="77777777" w:rsidR="00036C86" w:rsidRPr="00036C86" w:rsidRDefault="00036C86" w:rsidP="007A45B4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tbl>
      <w:tblPr>
        <w:tblpPr w:leftFromText="180" w:rightFromText="180" w:vertAnchor="text" w:tblpX="10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2"/>
      </w:tblGrid>
      <w:tr w:rsidR="00036C86" w:rsidRPr="00036C86" w14:paraId="11BC25E4" w14:textId="77777777" w:rsidTr="007A45B4">
        <w:trPr>
          <w:trHeight w:val="416"/>
        </w:trPr>
        <w:tc>
          <w:tcPr>
            <w:tcW w:w="14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8B84" w14:textId="3991439A" w:rsidR="00036C86" w:rsidRPr="00036C86" w:rsidRDefault="00036C86" w:rsidP="007A45B4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036C86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036C86">
              <w:rPr>
                <w:rFonts w:ascii="Garamond" w:eastAsia="Times New Roman" w:hAnsi="Garamond"/>
                <w:color w:val="000000"/>
                <w:sz w:val="24"/>
                <w:szCs w:val="24"/>
              </w:rPr>
              <w:t>с 27 апреля 2021 года и распространяют свое действие на отношения сторон по Договору о присоединении к торговой системе оптового рынка, возникшие с 1 апреля 2021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 года</w:t>
            </w:r>
            <w:r w:rsidRPr="00036C86">
              <w:rPr>
                <w:rFonts w:ascii="Garamond" w:eastAsia="Times New Roman" w:hAnsi="Garamond"/>
                <w:color w:val="000000"/>
                <w:sz w:val="24"/>
                <w:szCs w:val="24"/>
              </w:rPr>
              <w:t>.</w:t>
            </w:r>
          </w:p>
        </w:tc>
      </w:tr>
    </w:tbl>
    <w:p w14:paraId="5FE94BD3" w14:textId="77777777" w:rsidR="00036C86" w:rsidRPr="00036C86" w:rsidRDefault="00036C86" w:rsidP="007A45B4">
      <w:pPr>
        <w:spacing w:after="0" w:line="240" w:lineRule="auto"/>
        <w:rPr>
          <w:rFonts w:ascii="Garamond" w:eastAsia="Times New Roman" w:hAnsi="Garamond"/>
          <w:b/>
          <w:sz w:val="26"/>
          <w:szCs w:val="26"/>
        </w:rPr>
      </w:pPr>
    </w:p>
    <w:p w14:paraId="140EC56E" w14:textId="397AB53F" w:rsidR="00036C86" w:rsidRPr="00036C86" w:rsidRDefault="00036C86" w:rsidP="007A45B4">
      <w:pPr>
        <w:spacing w:after="0" w:line="240" w:lineRule="auto"/>
        <w:ind w:right="-314"/>
        <w:rPr>
          <w:rFonts w:ascii="Garamond" w:eastAsia="Times New Roman" w:hAnsi="Garamond"/>
          <w:b/>
          <w:sz w:val="26"/>
          <w:szCs w:val="26"/>
        </w:rPr>
      </w:pPr>
      <w:r w:rsidRPr="00036C86">
        <w:rPr>
          <w:rFonts w:ascii="Garamond" w:eastAsia="Times New Roman" w:hAnsi="Garamond"/>
          <w:b/>
          <w:sz w:val="26"/>
          <w:szCs w:val="26"/>
        </w:rPr>
        <w:t xml:space="preserve">Предложения по изменениям и дополнениям в </w:t>
      </w:r>
      <w:r w:rsidRPr="00036C86">
        <w:rPr>
          <w:rFonts w:ascii="Garamond" w:eastAsia="Times New Roman" w:hAnsi="Garamond"/>
          <w:b/>
          <w:caps/>
          <w:sz w:val="26"/>
          <w:szCs w:val="26"/>
        </w:rPr>
        <w:t xml:space="preserve">Регламент финансовых расчетов </w:t>
      </w:r>
      <w:r>
        <w:rPr>
          <w:rFonts w:ascii="Garamond" w:eastAsia="Times New Roman" w:hAnsi="Garamond"/>
          <w:b/>
          <w:caps/>
          <w:sz w:val="26"/>
          <w:szCs w:val="26"/>
        </w:rPr>
        <w:t>на оптовом рынке электроэнергии</w:t>
      </w:r>
      <w:r w:rsidRPr="00036C86">
        <w:rPr>
          <w:rFonts w:ascii="Garamond" w:eastAsia="Times New Roman" w:hAnsi="Garamond"/>
          <w:b/>
          <w:sz w:val="26"/>
          <w:szCs w:val="26"/>
        </w:rPr>
        <w:t xml:space="preserve"> (Приложение № 16 к Договору о</w:t>
      </w:r>
      <w:r w:rsidRPr="00036C86">
        <w:rPr>
          <w:rFonts w:ascii="Garamond" w:eastAsia="Times New Roman" w:hAnsi="Garamond"/>
          <w:b/>
          <w:sz w:val="26"/>
          <w:szCs w:val="26"/>
          <w:lang w:val="en-GB"/>
        </w:rPr>
        <w:t> </w:t>
      </w:r>
      <w:r w:rsidRPr="00036C86">
        <w:rPr>
          <w:rFonts w:ascii="Garamond" w:eastAsia="Times New Roman" w:hAnsi="Garamond"/>
          <w:b/>
          <w:sz w:val="26"/>
          <w:szCs w:val="26"/>
        </w:rPr>
        <w:t>присоединении к торговой системе оптового рынка)</w:t>
      </w:r>
    </w:p>
    <w:p w14:paraId="15B8D665" w14:textId="77777777" w:rsidR="00036C86" w:rsidRPr="00036C86" w:rsidRDefault="00036C86" w:rsidP="007A45B4">
      <w:pPr>
        <w:spacing w:after="0" w:line="240" w:lineRule="auto"/>
        <w:ind w:right="-314"/>
        <w:rPr>
          <w:rFonts w:ascii="Garamond" w:eastAsia="Times New Roman" w:hAnsi="Garamond"/>
          <w:b/>
          <w:bCs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7371"/>
      </w:tblGrid>
      <w:tr w:rsidR="00036C86" w:rsidRPr="007A45B4" w14:paraId="43AD1FCD" w14:textId="77777777" w:rsidTr="007A45B4">
        <w:tc>
          <w:tcPr>
            <w:tcW w:w="993" w:type="dxa"/>
            <w:vAlign w:val="center"/>
          </w:tcPr>
          <w:p w14:paraId="6F059477" w14:textId="77777777" w:rsidR="00036C86" w:rsidRPr="007A45B4" w:rsidRDefault="00036C86" w:rsidP="007A45B4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/>
                <w:b/>
              </w:rPr>
              <w:t xml:space="preserve">№ </w:t>
            </w:r>
          </w:p>
          <w:p w14:paraId="441D86C7" w14:textId="77777777" w:rsidR="00036C86" w:rsidRPr="007A45B4" w:rsidRDefault="00036C86" w:rsidP="007A45B4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/>
                <w:b/>
              </w:rPr>
              <w:t>пункта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3BC84959" w14:textId="77777777" w:rsidR="00036C86" w:rsidRPr="007A45B4" w:rsidRDefault="00036C86" w:rsidP="007A45B4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</w:rPr>
            </w:pPr>
            <w:r w:rsidRPr="007A45B4">
              <w:rPr>
                <w:rFonts w:ascii="Garamond" w:eastAsia="Times New Roman" w:hAnsi="Garamond" w:cs="Garamond"/>
                <w:b/>
                <w:bCs/>
              </w:rPr>
              <w:t>Редакция, действующая на момент</w:t>
            </w:r>
          </w:p>
          <w:p w14:paraId="0DB2B8FF" w14:textId="77777777" w:rsidR="00036C86" w:rsidRPr="007A45B4" w:rsidRDefault="00036C86" w:rsidP="007A45B4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C6FC410" w14:textId="77777777" w:rsidR="00036C86" w:rsidRPr="007A45B4" w:rsidRDefault="00036C86" w:rsidP="007A45B4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/>
                <w:b/>
              </w:rPr>
              <w:t>Предлагаемая редакция</w:t>
            </w:r>
          </w:p>
          <w:p w14:paraId="06C160D9" w14:textId="77777777" w:rsidR="00036C86" w:rsidRPr="007A45B4" w:rsidRDefault="00036C86" w:rsidP="007A45B4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</w:rPr>
              <w:t>(изменения выделены цветом)</w:t>
            </w:r>
          </w:p>
        </w:tc>
      </w:tr>
      <w:tr w:rsidR="00036C86" w:rsidRPr="007A45B4" w14:paraId="3BA633EC" w14:textId="77777777" w:rsidTr="007A45B4">
        <w:trPr>
          <w:trHeight w:val="561"/>
        </w:trPr>
        <w:tc>
          <w:tcPr>
            <w:tcW w:w="993" w:type="dxa"/>
          </w:tcPr>
          <w:p w14:paraId="63A9D370" w14:textId="7CCD8050" w:rsidR="00036C86" w:rsidRPr="007A45B4" w:rsidRDefault="00036C86" w:rsidP="00036C86">
            <w:pPr>
              <w:widowControl w:val="0"/>
              <w:spacing w:before="120" w:after="120" w:line="240" w:lineRule="auto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/>
                <w:b/>
              </w:rPr>
              <w:t>Приложение 156</w:t>
            </w:r>
            <w:r w:rsidR="007A45B4">
              <w:rPr>
                <w:rFonts w:ascii="Garamond" w:eastAsia="Times New Roman" w:hAnsi="Garamond"/>
                <w:b/>
              </w:rPr>
              <w:t>,</w:t>
            </w:r>
          </w:p>
          <w:p w14:paraId="052152F9" w14:textId="72C0892D" w:rsidR="00036C86" w:rsidRPr="007A45B4" w:rsidRDefault="00036C86" w:rsidP="00036C86">
            <w:pPr>
              <w:widowControl w:val="0"/>
              <w:spacing w:before="120" w:after="120" w:line="240" w:lineRule="auto"/>
              <w:rPr>
                <w:rFonts w:ascii="Garamond" w:eastAsia="Times New Roman" w:hAnsi="Garamond"/>
                <w:b/>
              </w:rPr>
            </w:pPr>
            <w:r w:rsidRPr="007A45B4">
              <w:rPr>
                <w:rFonts w:ascii="Garamond" w:eastAsia="Times New Roman" w:hAnsi="Garamond"/>
                <w:b/>
              </w:rPr>
              <w:t>п.</w:t>
            </w:r>
            <w:r w:rsidR="007A45B4">
              <w:rPr>
                <w:rFonts w:ascii="Garamond" w:eastAsia="Times New Roman" w:hAnsi="Garamond"/>
                <w:b/>
              </w:rPr>
              <w:t xml:space="preserve"> </w:t>
            </w:r>
            <w:r w:rsidRPr="007A45B4">
              <w:rPr>
                <w:rFonts w:ascii="Garamond" w:eastAsia="Times New Roman" w:hAnsi="Garamond"/>
                <w:b/>
              </w:rPr>
              <w:t>17</w:t>
            </w:r>
          </w:p>
        </w:tc>
        <w:tc>
          <w:tcPr>
            <w:tcW w:w="6549" w:type="dxa"/>
          </w:tcPr>
          <w:p w14:paraId="6A78C16B" w14:textId="77777777" w:rsidR="00036C86" w:rsidRPr="007A45B4" w:rsidRDefault="00036C86" w:rsidP="001E4FBB">
            <w:pPr>
              <w:spacing w:before="120" w:after="120"/>
              <w:ind w:firstLine="539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</w:rPr>
              <w:t xml:space="preserve">Величина текущих затрат </w:t>
            </w:r>
            <w:r w:rsidRPr="007A45B4">
              <w:rPr>
                <w:rFonts w:ascii="Garamond" w:eastAsia="Times New Roman" w:hAnsi="Garamond"/>
                <w:position w:val="-14"/>
                <w:lang w:val="en-GB"/>
              </w:rPr>
              <w:object w:dxaOrig="639" w:dyaOrig="400" w14:anchorId="75352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3pt;height:20.4pt" o:ole="">
                  <v:imagedata r:id="rId9" o:title=""/>
                </v:shape>
                <o:OLEObject Type="Embed" ProgID="Equation.3" ShapeID="_x0000_i1025" DrawAspect="Content" ObjectID="_1681026773" r:id="rId10"/>
              </w:object>
            </w:r>
            <w:r w:rsidRPr="007A45B4">
              <w:rPr>
                <w:rFonts w:ascii="Garamond" w:eastAsia="Times New Roman" w:hAnsi="Garamond"/>
              </w:rPr>
              <w:t xml:space="preserve"> в расчетном периоде </w:t>
            </w:r>
            <w:r w:rsidRPr="007A45B4">
              <w:rPr>
                <w:rFonts w:ascii="Garamond" w:eastAsia="Times New Roman" w:hAnsi="Garamond"/>
                <w:i/>
              </w:rPr>
              <w:t>m</w:t>
            </w:r>
            <w:r w:rsidRPr="007A45B4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7A45B4">
              <w:rPr>
                <w:rFonts w:ascii="Garamond" w:eastAsia="Times New Roman" w:hAnsi="Garamond"/>
                <w:i/>
              </w:rPr>
              <w:t>p</w:t>
            </w:r>
            <w:r w:rsidRPr="007A45B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7A45B4">
              <w:rPr>
                <w:rFonts w:ascii="Garamond" w:eastAsia="Times New Roman" w:hAnsi="Garamond"/>
                <w:i/>
              </w:rPr>
              <w:t xml:space="preserve"> </w:t>
            </w:r>
            <w:r w:rsidRPr="007A45B4">
              <w:rPr>
                <w:rFonts w:ascii="Garamond" w:eastAsia="Times New Roman" w:hAnsi="Garamond"/>
              </w:rPr>
              <w:t xml:space="preserve">рассчитывается по формуле: </w:t>
            </w:r>
          </w:p>
          <w:p w14:paraId="35A11118" w14:textId="77777777" w:rsidR="00036C86" w:rsidRPr="007A45B4" w:rsidRDefault="00036C86" w:rsidP="001E4FBB">
            <w:pPr>
              <w:spacing w:before="120" w:after="120"/>
              <w:ind w:firstLine="539"/>
              <w:jc w:val="center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34"/>
                <w:lang w:eastAsia="ru-RU"/>
              </w:rPr>
              <w:object w:dxaOrig="5120" w:dyaOrig="800" w14:anchorId="12FB852E">
                <v:shape id="_x0000_i1026" type="#_x0000_t75" style="width:254.05pt;height:43.45pt" o:ole="">
                  <v:imagedata r:id="rId11" o:title=""/>
                </v:shape>
                <o:OLEObject Type="Embed" ProgID="Equation.3" ShapeID="_x0000_i1026" DrawAspect="Content" ObjectID="_1681026774" r:id="rId12"/>
              </w:object>
            </w:r>
            <w:r w:rsidRPr="007A45B4">
              <w:rPr>
                <w:rFonts w:ascii="Garamond" w:eastAsia="Times New Roman" w:hAnsi="Garamond"/>
              </w:rPr>
              <w:t>,</w:t>
            </w:r>
          </w:p>
          <w:p w14:paraId="7F199CC8" w14:textId="77777777" w:rsidR="00036C86" w:rsidRPr="007A45B4" w:rsidRDefault="00036C86" w:rsidP="001E4FBB">
            <w:pPr>
              <w:spacing w:before="120" w:after="120"/>
              <w:ind w:left="426" w:hanging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lang w:eastAsia="ru-RU"/>
              </w:rPr>
              <w:t xml:space="preserve">где </w:t>
            </w:r>
            <w:r w:rsidRPr="007A45B4">
              <w:rPr>
                <w:rFonts w:ascii="Garamond" w:eastAsia="Times New Roman" w:hAnsi="Garamond"/>
                <w:position w:val="-14"/>
                <w:lang w:val="en-GB"/>
              </w:rPr>
              <w:object w:dxaOrig="1080" w:dyaOrig="400" w14:anchorId="5630F82C">
                <v:shape id="_x0000_i1027" type="#_x0000_t75" style="width:54.35pt;height:20.4pt" o:ole="">
                  <v:imagedata r:id="rId13" o:title=""/>
                </v:shape>
                <o:OLEObject Type="Embed" ProgID="Equation.3" ShapeID="_x0000_i1027" DrawAspect="Content" ObjectID="_1681026775" r:id="rId14"/>
              </w:object>
            </w:r>
            <w:r w:rsidRPr="007A45B4">
              <w:rPr>
                <w:rFonts w:ascii="Garamond" w:eastAsia="Times New Roman" w:hAnsi="Garamond"/>
              </w:rPr>
              <w:t xml:space="preserve">– величина установленной мощности, указанная в отношении ГТП генерации </w:t>
            </w:r>
            <w:r w:rsidRPr="007A45B4">
              <w:rPr>
                <w:rFonts w:ascii="Garamond" w:eastAsia="Times New Roman" w:hAnsi="Garamond"/>
                <w:i/>
              </w:rPr>
              <w:t>p</w:t>
            </w:r>
            <w:r w:rsidRPr="007A45B4">
              <w:rPr>
                <w:rFonts w:ascii="Garamond" w:eastAsia="Times New Roman" w:hAnsi="Garamond"/>
              </w:rPr>
              <w:t xml:space="preserve"> в приложении 1 к Договору купли-продажи мощности по результатам конкурентного отбора мощности;</w:t>
            </w:r>
          </w:p>
          <w:p w14:paraId="14A0A769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14"/>
                <w:lang w:eastAsia="ru-RU"/>
              </w:rPr>
              <w:object w:dxaOrig="460" w:dyaOrig="400" w14:anchorId="2FAD8E3F">
                <v:shape id="_x0000_i1028" type="#_x0000_t75" style="width:25.8pt;height:20.4pt" o:ole="">
                  <v:imagedata r:id="rId15" o:title=""/>
                </v:shape>
                <o:OLEObject Type="Embed" ProgID="Equation.3" ShapeID="_x0000_i1028" DrawAspect="Content" ObjectID="_1681026776" r:id="rId16"/>
              </w:object>
            </w:r>
            <w:r w:rsidRPr="007A45B4">
              <w:rPr>
                <w:rFonts w:ascii="Garamond" w:eastAsia="Times New Roman" w:hAnsi="Garamond"/>
              </w:rPr>
              <w:t xml:space="preserve"> – удельная величина капитальных затрат, определяемая в соответствии с п. 8 настоящего приложения;</w:t>
            </w:r>
          </w:p>
          <w:p w14:paraId="72431945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6"/>
                <w:lang w:eastAsia="ru-RU"/>
              </w:rPr>
              <w:object w:dxaOrig="360" w:dyaOrig="280" w14:anchorId="3036CDB2">
                <v:shape id="_x0000_i1029" type="#_x0000_t75" style="width:16.3pt;height:14.95pt" o:ole="">
                  <v:imagedata r:id="rId17" o:title=""/>
                </v:shape>
                <o:OLEObject Type="Embed" ProgID="Equation.3" ShapeID="_x0000_i1029" DrawAspect="Content" ObjectID="_1681026777" r:id="rId18"/>
              </w:object>
            </w:r>
            <w:r w:rsidRPr="007A45B4">
              <w:rPr>
                <w:rFonts w:ascii="Garamond" w:eastAsia="Times New Roman" w:hAnsi="Garamond"/>
                <w:i/>
              </w:rPr>
              <w:t xml:space="preserve"> –</w:t>
            </w:r>
            <w:r w:rsidRPr="007A45B4">
              <w:rPr>
                <w:rFonts w:ascii="Garamond" w:eastAsia="Times New Roman" w:hAnsi="Garamond"/>
              </w:rPr>
              <w:t xml:space="preserve"> порядковый номер расчетного периода, при этом 1 (единица) соответствует расчетному периоду, в котором наступает дата ввода в эксплуатацию, указанная в перечне в отношении генерирующего объекта, включающего ГТП генерации </w:t>
            </w:r>
            <w:r w:rsidRPr="007A45B4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A45B4">
              <w:rPr>
                <w:rFonts w:ascii="Garamond" w:eastAsia="Times New Roman" w:hAnsi="Garamond"/>
              </w:rPr>
              <w:t>;</w:t>
            </w:r>
          </w:p>
          <w:p w14:paraId="132D59C4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  <w:i/>
              </w:rPr>
            </w:pP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  <w:i/>
              </w:rPr>
              <w:t xml:space="preserve"> – </w:t>
            </w:r>
            <w:r w:rsidRPr="007A45B4">
              <w:rPr>
                <w:rFonts w:ascii="Garamond" w:eastAsia="Times New Roman" w:hAnsi="Garamond"/>
              </w:rPr>
              <w:t>календарный год, к которому относится расчетный период;</w:t>
            </w:r>
            <w:r w:rsidRPr="007A45B4">
              <w:rPr>
                <w:rFonts w:ascii="Garamond" w:eastAsia="Times New Roman" w:hAnsi="Garamond"/>
                <w:i/>
              </w:rPr>
              <w:t xml:space="preserve"> </w:t>
            </w:r>
          </w:p>
          <w:p w14:paraId="4DD964AE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 w:cs="Garamond"/>
              </w:rPr>
            </w:pPr>
            <w:r w:rsidRPr="007A45B4">
              <w:rPr>
                <w:rFonts w:ascii="Garamond" w:eastAsia="Times New Roman" w:hAnsi="Garamond"/>
                <w:position w:val="-10"/>
                <w:lang w:val="en-GB"/>
              </w:rPr>
              <w:object w:dxaOrig="540" w:dyaOrig="340" w14:anchorId="417DF217">
                <v:shape id="_x0000_i1030" type="#_x0000_t75" style="width:27.15pt;height:16.3pt" o:ole="">
                  <v:imagedata r:id="rId19" o:title=""/>
                </v:shape>
                <o:OLEObject Type="Embed" ProgID="Equation.3" ShapeID="_x0000_i1030" DrawAspect="Content" ObjectID="_1681026778" r:id="rId20"/>
              </w:object>
            </w:r>
            <w:r w:rsidRPr="007A45B4">
              <w:rPr>
                <w:rFonts w:ascii="Garamond" w:eastAsia="Times New Roman" w:hAnsi="Garamond"/>
              </w:rPr>
              <w:t xml:space="preserve"> – ставка налога на имущество организаций (в долях единицы), действующая в году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</w:rPr>
              <w:t xml:space="preserve"> в субъекте Российской </w:t>
            </w:r>
            <w:r w:rsidRPr="007A45B4">
              <w:rPr>
                <w:rFonts w:ascii="Garamond" w:eastAsia="Times New Roman" w:hAnsi="Garamond"/>
              </w:rPr>
              <w:lastRenderedPageBreak/>
              <w:t>Федерации, в котором уплачивается налог на имущество организаций в отношении генерирующего объекта, и определяемая в соответствии с настоящим приложением;</w:t>
            </w:r>
          </w:p>
          <w:p w14:paraId="27F8550F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10"/>
                <w:lang w:val="en-GB"/>
              </w:rPr>
              <w:object w:dxaOrig="440" w:dyaOrig="340" w14:anchorId="17BD40B0">
                <v:shape id="_x0000_i1031" type="#_x0000_t75" style="width:21.75pt;height:16.3pt" o:ole="">
                  <v:imagedata r:id="rId21" o:title=""/>
                </v:shape>
                <o:OLEObject Type="Embed" ProgID="Equation.3" ShapeID="_x0000_i1031" DrawAspect="Content" ObjectID="_1681026779" r:id="rId22"/>
              </w:object>
            </w:r>
            <w:r w:rsidRPr="007A45B4">
              <w:rPr>
                <w:rFonts w:ascii="Garamond" w:eastAsia="Times New Roman" w:hAnsi="Garamond"/>
              </w:rPr>
              <w:t xml:space="preserve"> – величина эксплуатационных затрат в году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</w:rPr>
              <w:t>, определяемая в соответствии с настоящим приложением.</w:t>
            </w:r>
          </w:p>
          <w:p w14:paraId="7CE3DEDC" w14:textId="77777777" w:rsidR="00036C86" w:rsidRPr="007A45B4" w:rsidRDefault="00036C86" w:rsidP="001E4FBB">
            <w:pPr>
              <w:spacing w:before="120" w:after="12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7371" w:type="dxa"/>
          </w:tcPr>
          <w:p w14:paraId="4CE9A9E3" w14:textId="77777777" w:rsidR="00036C86" w:rsidRPr="007A45B4" w:rsidRDefault="00036C86" w:rsidP="001E4FBB">
            <w:pPr>
              <w:spacing w:before="120" w:after="120"/>
              <w:ind w:firstLine="539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</w:rPr>
              <w:lastRenderedPageBreak/>
              <w:t xml:space="preserve">Величина текущих затрат </w:t>
            </w:r>
            <w:r w:rsidRPr="007A45B4">
              <w:rPr>
                <w:rFonts w:ascii="Garamond" w:eastAsia="Times New Roman" w:hAnsi="Garamond"/>
                <w:position w:val="-14"/>
                <w:lang w:val="en-GB"/>
              </w:rPr>
              <w:object w:dxaOrig="639" w:dyaOrig="400" w14:anchorId="52675BBB">
                <v:shape id="_x0000_i1032" type="#_x0000_t75" style="width:33.3pt;height:20.4pt" o:ole="">
                  <v:imagedata r:id="rId9" o:title=""/>
                </v:shape>
                <o:OLEObject Type="Embed" ProgID="Equation.3" ShapeID="_x0000_i1032" DrawAspect="Content" ObjectID="_1681026780" r:id="rId23"/>
              </w:object>
            </w:r>
            <w:r w:rsidRPr="007A45B4">
              <w:rPr>
                <w:rFonts w:ascii="Garamond" w:eastAsia="Times New Roman" w:hAnsi="Garamond"/>
              </w:rPr>
              <w:t xml:space="preserve"> в расчетном периоде </w:t>
            </w:r>
            <w:r w:rsidRPr="007A45B4">
              <w:rPr>
                <w:rFonts w:ascii="Garamond" w:eastAsia="Times New Roman" w:hAnsi="Garamond"/>
                <w:i/>
              </w:rPr>
              <w:t>m</w:t>
            </w:r>
            <w:r w:rsidRPr="007A45B4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7A45B4">
              <w:rPr>
                <w:rFonts w:ascii="Garamond" w:eastAsia="Times New Roman" w:hAnsi="Garamond"/>
                <w:i/>
              </w:rPr>
              <w:t>p</w:t>
            </w:r>
            <w:r w:rsidRPr="007A45B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7A45B4">
              <w:rPr>
                <w:rFonts w:ascii="Garamond" w:eastAsia="Times New Roman" w:hAnsi="Garamond"/>
                <w:i/>
              </w:rPr>
              <w:t xml:space="preserve"> </w:t>
            </w:r>
            <w:r w:rsidRPr="007A45B4">
              <w:rPr>
                <w:rFonts w:ascii="Garamond" w:eastAsia="Times New Roman" w:hAnsi="Garamond"/>
              </w:rPr>
              <w:t xml:space="preserve">рассчитывается по формуле: </w:t>
            </w:r>
          </w:p>
          <w:p w14:paraId="3B274EFE" w14:textId="77777777" w:rsidR="00036C86" w:rsidRPr="007A45B4" w:rsidRDefault="00036C86" w:rsidP="001E4FBB">
            <w:pPr>
              <w:spacing w:before="120" w:after="120"/>
              <w:ind w:firstLine="539"/>
              <w:jc w:val="center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34"/>
                <w:lang w:eastAsia="ru-RU"/>
              </w:rPr>
              <w:object w:dxaOrig="5120" w:dyaOrig="800" w14:anchorId="6236ECD3">
                <v:shape id="_x0000_i1033" type="#_x0000_t75" style="width:254.05pt;height:43.45pt" o:ole="">
                  <v:imagedata r:id="rId11" o:title=""/>
                </v:shape>
                <o:OLEObject Type="Embed" ProgID="Equation.3" ShapeID="_x0000_i1033" DrawAspect="Content" ObjectID="_1681026781" r:id="rId24"/>
              </w:object>
            </w:r>
            <w:r w:rsidRPr="007A45B4">
              <w:rPr>
                <w:rFonts w:ascii="Garamond" w:eastAsia="Times New Roman" w:hAnsi="Garamond"/>
              </w:rPr>
              <w:t>,</w:t>
            </w:r>
          </w:p>
          <w:p w14:paraId="6E0E44D5" w14:textId="77777777" w:rsidR="00036C86" w:rsidRPr="007A45B4" w:rsidRDefault="00036C86" w:rsidP="001E4FBB">
            <w:pPr>
              <w:spacing w:before="120" w:after="120"/>
              <w:ind w:left="426" w:hanging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lang w:eastAsia="ru-RU"/>
              </w:rPr>
              <w:t xml:space="preserve">где </w:t>
            </w:r>
            <w:r w:rsidRPr="007A45B4">
              <w:rPr>
                <w:rFonts w:ascii="Garamond" w:eastAsia="Times New Roman" w:hAnsi="Garamond"/>
                <w:position w:val="-14"/>
                <w:lang w:val="en-GB"/>
              </w:rPr>
              <w:object w:dxaOrig="1080" w:dyaOrig="400" w14:anchorId="702836F6">
                <v:shape id="_x0000_i1034" type="#_x0000_t75" style="width:54.35pt;height:20.4pt" o:ole="">
                  <v:imagedata r:id="rId13" o:title=""/>
                </v:shape>
                <o:OLEObject Type="Embed" ProgID="Equation.3" ShapeID="_x0000_i1034" DrawAspect="Content" ObjectID="_1681026782" r:id="rId25"/>
              </w:object>
            </w:r>
            <w:r w:rsidRPr="007A45B4">
              <w:rPr>
                <w:rFonts w:ascii="Garamond" w:eastAsia="Times New Roman" w:hAnsi="Garamond"/>
              </w:rPr>
              <w:t xml:space="preserve">– величина установленной мощности, указанная в отношении ГТП генерации </w:t>
            </w:r>
            <w:r w:rsidRPr="007A45B4">
              <w:rPr>
                <w:rFonts w:ascii="Garamond" w:eastAsia="Times New Roman" w:hAnsi="Garamond"/>
                <w:i/>
              </w:rPr>
              <w:t>p</w:t>
            </w:r>
            <w:r w:rsidRPr="007A45B4">
              <w:rPr>
                <w:rFonts w:ascii="Garamond" w:eastAsia="Times New Roman" w:hAnsi="Garamond"/>
              </w:rPr>
              <w:t xml:space="preserve"> в приложении 1 к Договору купли-продажи мощности по результатам конкурентного отбора мощности;</w:t>
            </w:r>
          </w:p>
          <w:p w14:paraId="3473820F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14"/>
                <w:lang w:eastAsia="ru-RU"/>
              </w:rPr>
              <w:object w:dxaOrig="460" w:dyaOrig="400" w14:anchorId="51D1732D">
                <v:shape id="_x0000_i1035" type="#_x0000_t75" style="width:25.8pt;height:20.4pt" o:ole="">
                  <v:imagedata r:id="rId15" o:title=""/>
                </v:shape>
                <o:OLEObject Type="Embed" ProgID="Equation.3" ShapeID="_x0000_i1035" DrawAspect="Content" ObjectID="_1681026783" r:id="rId26"/>
              </w:object>
            </w:r>
            <w:r w:rsidRPr="007A45B4">
              <w:rPr>
                <w:rFonts w:ascii="Garamond" w:eastAsia="Times New Roman" w:hAnsi="Garamond"/>
              </w:rPr>
              <w:t xml:space="preserve"> – удельная величина капитальных затрат, определяемая в соответствии с п. 8 настоящего приложения;</w:t>
            </w:r>
          </w:p>
          <w:p w14:paraId="4E515BD4" w14:textId="3B79C8D4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6"/>
                <w:lang w:eastAsia="ru-RU"/>
              </w:rPr>
              <w:object w:dxaOrig="360" w:dyaOrig="280" w14:anchorId="6B3C7045">
                <v:shape id="_x0000_i1036" type="#_x0000_t75" style="width:16.3pt;height:14.95pt" o:ole="">
                  <v:imagedata r:id="rId17" o:title=""/>
                </v:shape>
                <o:OLEObject Type="Embed" ProgID="Equation.3" ShapeID="_x0000_i1036" DrawAspect="Content" ObjectID="_1681026784" r:id="rId27"/>
              </w:object>
            </w:r>
            <w:r w:rsidRPr="007A45B4">
              <w:rPr>
                <w:rFonts w:ascii="Garamond" w:eastAsia="Times New Roman" w:hAnsi="Garamond"/>
                <w:i/>
              </w:rPr>
              <w:t xml:space="preserve"> –</w:t>
            </w:r>
            <w:r w:rsidRPr="007A45B4">
              <w:rPr>
                <w:rFonts w:ascii="Garamond" w:eastAsia="Times New Roman" w:hAnsi="Garamond"/>
              </w:rPr>
              <w:t xml:space="preserve"> порядковый номер расчетного периода, при этом 1 (единица) соответствует расчетному периоду, в котором наступает дата ввода в эксплуатацию, указанная в перечне в отношении генерирующего объекта, включающего ГТП генерации </w:t>
            </w:r>
            <w:r w:rsidRPr="007A45B4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A45B4">
              <w:rPr>
                <w:rFonts w:ascii="Garamond" w:eastAsia="Times New Roman" w:hAnsi="Garamond"/>
              </w:rPr>
              <w:t xml:space="preserve">. </w:t>
            </w:r>
            <w:r w:rsidRPr="007A45B4">
              <w:rPr>
                <w:rFonts w:ascii="Garamond" w:eastAsia="Times New Roman" w:hAnsi="Garamond"/>
                <w:highlight w:val="yellow"/>
              </w:rPr>
              <w:t xml:space="preserve">Измененные даты ввода в эксплуатацию, которые были внесены в перечень распоряжением Правительства Российской Федерации от 29 марта 2021 г. № 769-р, применяются при определении величины </w:t>
            </w:r>
            <w:r w:rsidRPr="007A45B4">
              <w:rPr>
                <w:rFonts w:ascii="Garamond" w:eastAsia="Times New Roman" w:hAnsi="Garamond"/>
                <w:position w:val="-6"/>
                <w:highlight w:val="yellow"/>
                <w:lang w:eastAsia="ru-RU"/>
              </w:rPr>
              <w:object w:dxaOrig="360" w:dyaOrig="280" w14:anchorId="08ABE8A0">
                <v:shape id="_x0000_i1037" type="#_x0000_t75" style="width:16.3pt;height:14.95pt" o:ole="">
                  <v:imagedata r:id="rId17" o:title=""/>
                </v:shape>
                <o:OLEObject Type="Embed" ProgID="Equation.3" ShapeID="_x0000_i1037" DrawAspect="Content" ObjectID="_1681026785" r:id="rId28"/>
              </w:object>
            </w:r>
            <w:r w:rsidRPr="007A45B4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начиная с расчета цены на мощность и надбавки к цене на мощность в отношении расчетного месяца – марта </w:t>
            </w:r>
            <w:r w:rsidRPr="00CC4FBF">
              <w:rPr>
                <w:rFonts w:ascii="Garamond" w:eastAsia="Times New Roman" w:hAnsi="Garamond"/>
                <w:highlight w:val="yellow"/>
                <w:lang w:eastAsia="ru-RU"/>
              </w:rPr>
              <w:t>2021 г</w:t>
            </w:r>
            <w:r w:rsidR="00CC4FBF" w:rsidRPr="00CC4FBF">
              <w:rPr>
                <w:rFonts w:ascii="Garamond" w:eastAsia="Times New Roman" w:hAnsi="Garamond"/>
                <w:highlight w:val="yellow"/>
                <w:lang w:eastAsia="ru-RU"/>
              </w:rPr>
              <w:t>ода</w:t>
            </w:r>
            <w:r w:rsidRPr="007A45B4">
              <w:rPr>
                <w:rFonts w:ascii="Garamond" w:eastAsia="Times New Roman" w:hAnsi="Garamond"/>
              </w:rPr>
              <w:t>;</w:t>
            </w:r>
          </w:p>
          <w:p w14:paraId="223CC0D0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  <w:i/>
              </w:rPr>
            </w:pP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  <w:i/>
              </w:rPr>
              <w:t xml:space="preserve"> – </w:t>
            </w:r>
            <w:r w:rsidRPr="007A45B4">
              <w:rPr>
                <w:rFonts w:ascii="Garamond" w:eastAsia="Times New Roman" w:hAnsi="Garamond"/>
              </w:rPr>
              <w:t>календарный год, к которому относится расчетный период;</w:t>
            </w:r>
            <w:r w:rsidRPr="007A45B4">
              <w:rPr>
                <w:rFonts w:ascii="Garamond" w:eastAsia="Times New Roman" w:hAnsi="Garamond"/>
                <w:i/>
              </w:rPr>
              <w:t xml:space="preserve"> </w:t>
            </w:r>
          </w:p>
          <w:p w14:paraId="0FBDBB84" w14:textId="77777777" w:rsidR="00036C86" w:rsidRPr="007A45B4" w:rsidRDefault="00036C86" w:rsidP="001E4FBB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 w:cs="Garamond"/>
              </w:rPr>
            </w:pPr>
            <w:r w:rsidRPr="007A45B4">
              <w:rPr>
                <w:rFonts w:ascii="Garamond" w:eastAsia="Times New Roman" w:hAnsi="Garamond"/>
                <w:position w:val="-10"/>
                <w:lang w:val="en-GB"/>
              </w:rPr>
              <w:object w:dxaOrig="540" w:dyaOrig="340" w14:anchorId="460808C8">
                <v:shape id="_x0000_i1038" type="#_x0000_t75" style="width:27.15pt;height:16.3pt" o:ole="">
                  <v:imagedata r:id="rId19" o:title=""/>
                </v:shape>
                <o:OLEObject Type="Embed" ProgID="Equation.3" ShapeID="_x0000_i1038" DrawAspect="Content" ObjectID="_1681026786" r:id="rId29"/>
              </w:object>
            </w:r>
            <w:r w:rsidRPr="007A45B4">
              <w:rPr>
                <w:rFonts w:ascii="Garamond" w:eastAsia="Times New Roman" w:hAnsi="Garamond"/>
              </w:rPr>
              <w:t xml:space="preserve"> – ставка налога на имущество организаций (в долях единицы), действующая в году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</w:rPr>
              <w:t xml:space="preserve"> в субъекте Российской Федерации, в котором уплачивается налог на имущество организаций в отношении генерирующего объекта, и определяемая в соответствии с настоящим приложением;</w:t>
            </w:r>
          </w:p>
          <w:p w14:paraId="3B1BFC2E" w14:textId="5F5B76F6" w:rsidR="00036C86" w:rsidRPr="007A45B4" w:rsidRDefault="00036C86" w:rsidP="007A45B4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eastAsia="Times New Roman" w:hAnsi="Garamond"/>
              </w:rPr>
            </w:pPr>
            <w:r w:rsidRPr="007A45B4">
              <w:rPr>
                <w:rFonts w:ascii="Garamond" w:eastAsia="Times New Roman" w:hAnsi="Garamond"/>
                <w:position w:val="-10"/>
                <w:lang w:val="en-GB"/>
              </w:rPr>
              <w:object w:dxaOrig="440" w:dyaOrig="340" w14:anchorId="3D45C583">
                <v:shape id="_x0000_i1039" type="#_x0000_t75" style="width:21.75pt;height:16.3pt" o:ole="">
                  <v:imagedata r:id="rId21" o:title=""/>
                </v:shape>
                <o:OLEObject Type="Embed" ProgID="Equation.3" ShapeID="_x0000_i1039" DrawAspect="Content" ObjectID="_1681026787" r:id="rId30"/>
              </w:object>
            </w:r>
            <w:r w:rsidRPr="007A45B4">
              <w:rPr>
                <w:rFonts w:ascii="Garamond" w:eastAsia="Times New Roman" w:hAnsi="Garamond"/>
              </w:rPr>
              <w:t xml:space="preserve"> – величина эксплуатационных затрат в году </w:t>
            </w:r>
            <w:r w:rsidRPr="007A45B4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7A45B4">
              <w:rPr>
                <w:rFonts w:ascii="Garamond" w:eastAsia="Times New Roman" w:hAnsi="Garamond"/>
              </w:rPr>
              <w:t>, определяемая в соответствии с настоящим приложением.</w:t>
            </w:r>
          </w:p>
        </w:tc>
      </w:tr>
    </w:tbl>
    <w:p w14:paraId="257769C5" w14:textId="77777777" w:rsidR="00036C86" w:rsidRDefault="00036C86" w:rsidP="00AE3003">
      <w:pPr>
        <w:jc w:val="both"/>
        <w:rPr>
          <w:rFonts w:ascii="Garamond" w:hAnsi="Garamond"/>
        </w:rPr>
      </w:pPr>
    </w:p>
    <w:p w14:paraId="23EBB553" w14:textId="77777777" w:rsidR="008407F8" w:rsidRPr="00426B60" w:rsidRDefault="008407F8" w:rsidP="00AE3003">
      <w:pPr>
        <w:jc w:val="both"/>
        <w:rPr>
          <w:rFonts w:ascii="Garamond" w:hAnsi="Garamond"/>
        </w:rPr>
      </w:pPr>
    </w:p>
    <w:sectPr w:rsidR="008407F8" w:rsidRPr="00426B60" w:rsidSect="00335D5C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CFF8" w16cex:dateUtc="2021-02-24T10:1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BD09A" w14:textId="77777777" w:rsidR="0059021B" w:rsidRDefault="0059021B" w:rsidP="00A305ED">
      <w:pPr>
        <w:spacing w:after="0" w:line="240" w:lineRule="auto"/>
      </w:pPr>
      <w:r>
        <w:separator/>
      </w:r>
    </w:p>
  </w:endnote>
  <w:endnote w:type="continuationSeparator" w:id="0">
    <w:p w14:paraId="005394BA" w14:textId="77777777" w:rsidR="0059021B" w:rsidRDefault="0059021B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2CC68" w14:textId="77777777" w:rsidR="0059021B" w:rsidRDefault="0059021B" w:rsidP="00A305ED">
      <w:pPr>
        <w:spacing w:after="0" w:line="240" w:lineRule="auto"/>
      </w:pPr>
      <w:r>
        <w:separator/>
      </w:r>
    </w:p>
  </w:footnote>
  <w:footnote w:type="continuationSeparator" w:id="0">
    <w:p w14:paraId="41E2A3F9" w14:textId="77777777" w:rsidR="0059021B" w:rsidRDefault="0059021B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570D"/>
    <w:multiLevelType w:val="hybridMultilevel"/>
    <w:tmpl w:val="52B0864A"/>
    <w:lvl w:ilvl="0" w:tplc="2EC0E97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3071D"/>
    <w:multiLevelType w:val="hybridMultilevel"/>
    <w:tmpl w:val="31DC3374"/>
    <w:lvl w:ilvl="0" w:tplc="526435B2">
      <w:start w:val="1"/>
      <w:numFmt w:val="bullet"/>
      <w:lvlText w:val="­"/>
      <w:lvlJc w:val="left"/>
      <w:pPr>
        <w:ind w:left="115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0A9F38A3"/>
    <w:multiLevelType w:val="hybridMultilevel"/>
    <w:tmpl w:val="0B40DFD0"/>
    <w:lvl w:ilvl="0" w:tplc="FCE0C85C">
      <w:start w:val="3"/>
      <w:numFmt w:val="decimal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FE6C04"/>
    <w:multiLevelType w:val="hybridMultilevel"/>
    <w:tmpl w:val="D4E051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0349"/>
    <w:multiLevelType w:val="multilevel"/>
    <w:tmpl w:val="37F04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0F4F0F65"/>
    <w:multiLevelType w:val="hybridMultilevel"/>
    <w:tmpl w:val="1DC20466"/>
    <w:lvl w:ilvl="0" w:tplc="4E905A00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634020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C5E69"/>
    <w:multiLevelType w:val="hybridMultilevel"/>
    <w:tmpl w:val="FC1C5C24"/>
    <w:lvl w:ilvl="0" w:tplc="68E809E6">
      <w:start w:val="1"/>
      <w:numFmt w:val="russianLow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6197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E56A6"/>
    <w:multiLevelType w:val="multilevel"/>
    <w:tmpl w:val="D4765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69718B"/>
    <w:multiLevelType w:val="hybridMultilevel"/>
    <w:tmpl w:val="ED4E4878"/>
    <w:lvl w:ilvl="0" w:tplc="7D42C3D2">
      <w:start w:val="3"/>
      <w:numFmt w:val="decimal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87B20"/>
    <w:multiLevelType w:val="multilevel"/>
    <w:tmpl w:val="D4765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463E8D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EEA3DBD"/>
    <w:multiLevelType w:val="multilevel"/>
    <w:tmpl w:val="FE7A1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06D1BF5"/>
    <w:multiLevelType w:val="hybridMultilevel"/>
    <w:tmpl w:val="4614FE0C"/>
    <w:lvl w:ilvl="0" w:tplc="52643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81E3D"/>
    <w:multiLevelType w:val="multilevel"/>
    <w:tmpl w:val="3834B6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56E54E49"/>
    <w:multiLevelType w:val="hybridMultilevel"/>
    <w:tmpl w:val="FC1C5C24"/>
    <w:lvl w:ilvl="0" w:tplc="68E809E6">
      <w:start w:val="1"/>
      <w:numFmt w:val="russianLow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5">
    <w:nsid w:val="5A0250A8"/>
    <w:multiLevelType w:val="multilevel"/>
    <w:tmpl w:val="DCFE8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AA95F94"/>
    <w:multiLevelType w:val="hybridMultilevel"/>
    <w:tmpl w:val="D9B6AE6E"/>
    <w:lvl w:ilvl="0" w:tplc="D03C4C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1D0EEE"/>
    <w:multiLevelType w:val="hybridMultilevel"/>
    <w:tmpl w:val="6FB273F4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751190"/>
    <w:multiLevelType w:val="hybridMultilevel"/>
    <w:tmpl w:val="52B0864A"/>
    <w:lvl w:ilvl="0" w:tplc="2EC0E97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3B4C91"/>
    <w:multiLevelType w:val="hybridMultilevel"/>
    <w:tmpl w:val="2F24DCF6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E0C11"/>
    <w:multiLevelType w:val="multilevel"/>
    <w:tmpl w:val="37FACB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795699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C7099"/>
    <w:multiLevelType w:val="hybridMultilevel"/>
    <w:tmpl w:val="1B26F11C"/>
    <w:lvl w:ilvl="0" w:tplc="5C9E7F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1" w:tplc="1576A5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9DCF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AAC2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3EEB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4205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238E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FE4E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422E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C3C6529"/>
    <w:multiLevelType w:val="hybridMultilevel"/>
    <w:tmpl w:val="225A29A8"/>
    <w:lvl w:ilvl="0" w:tplc="52643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1"/>
  </w:num>
  <w:num w:numId="4">
    <w:abstractNumId w:val="7"/>
  </w:num>
  <w:num w:numId="5">
    <w:abstractNumId w:val="24"/>
  </w:num>
  <w:num w:numId="6">
    <w:abstractNumId w:val="36"/>
  </w:num>
  <w:num w:numId="7">
    <w:abstractNumId w:val="19"/>
  </w:num>
  <w:num w:numId="8">
    <w:abstractNumId w:val="26"/>
  </w:num>
  <w:num w:numId="9">
    <w:abstractNumId w:val="8"/>
  </w:num>
  <w:num w:numId="10">
    <w:abstractNumId w:val="16"/>
  </w:num>
  <w:num w:numId="11">
    <w:abstractNumId w:val="12"/>
  </w:num>
  <w:num w:numId="12">
    <w:abstractNumId w:val="35"/>
  </w:num>
  <w:num w:numId="13">
    <w:abstractNumId w:val="9"/>
  </w:num>
  <w:num w:numId="14">
    <w:abstractNumId w:val="22"/>
  </w:num>
  <w:num w:numId="15">
    <w:abstractNumId w:val="20"/>
  </w:num>
  <w:num w:numId="16">
    <w:abstractNumId w:val="37"/>
  </w:num>
  <w:num w:numId="17">
    <w:abstractNumId w:val="33"/>
  </w:num>
  <w:num w:numId="18">
    <w:abstractNumId w:val="13"/>
  </w:num>
  <w:num w:numId="19">
    <w:abstractNumId w:val="18"/>
  </w:num>
  <w:num w:numId="20">
    <w:abstractNumId w:val="21"/>
  </w:num>
  <w:num w:numId="21">
    <w:abstractNumId w:val="28"/>
  </w:num>
  <w:num w:numId="22">
    <w:abstractNumId w:val="27"/>
  </w:num>
  <w:num w:numId="23">
    <w:abstractNumId w:val="15"/>
  </w:num>
  <w:num w:numId="24">
    <w:abstractNumId w:val="23"/>
  </w:num>
  <w:num w:numId="25">
    <w:abstractNumId w:val="29"/>
  </w:num>
  <w:num w:numId="26">
    <w:abstractNumId w:val="3"/>
  </w:num>
  <w:num w:numId="27">
    <w:abstractNumId w:val="5"/>
  </w:num>
  <w:num w:numId="28">
    <w:abstractNumId w:val="10"/>
  </w:num>
  <w:num w:numId="29">
    <w:abstractNumId w:val="4"/>
  </w:num>
  <w:num w:numId="30">
    <w:abstractNumId w:val="2"/>
  </w:num>
  <w:num w:numId="31">
    <w:abstractNumId w:val="0"/>
  </w:num>
  <w:num w:numId="32">
    <w:abstractNumId w:val="14"/>
  </w:num>
  <w:num w:numId="33">
    <w:abstractNumId w:val="17"/>
  </w:num>
  <w:num w:numId="34">
    <w:abstractNumId w:val="34"/>
  </w:num>
  <w:num w:numId="35">
    <w:abstractNumId w:val="31"/>
  </w:num>
  <w:num w:numId="36">
    <w:abstractNumId w:val="30"/>
  </w:num>
  <w:num w:numId="37">
    <w:abstractNumId w:val="2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100FA"/>
    <w:rsid w:val="00014732"/>
    <w:rsid w:val="00020810"/>
    <w:rsid w:val="0002204C"/>
    <w:rsid w:val="00022320"/>
    <w:rsid w:val="000234A0"/>
    <w:rsid w:val="00026540"/>
    <w:rsid w:val="0002677E"/>
    <w:rsid w:val="00031182"/>
    <w:rsid w:val="0003269E"/>
    <w:rsid w:val="00033E04"/>
    <w:rsid w:val="000362FE"/>
    <w:rsid w:val="00036C86"/>
    <w:rsid w:val="00040130"/>
    <w:rsid w:val="0005148D"/>
    <w:rsid w:val="0006449C"/>
    <w:rsid w:val="0006470A"/>
    <w:rsid w:val="0006507F"/>
    <w:rsid w:val="00066355"/>
    <w:rsid w:val="00075480"/>
    <w:rsid w:val="00075CEA"/>
    <w:rsid w:val="00080504"/>
    <w:rsid w:val="00082C9D"/>
    <w:rsid w:val="000900DB"/>
    <w:rsid w:val="00096EA0"/>
    <w:rsid w:val="000A2FC7"/>
    <w:rsid w:val="000A3A6D"/>
    <w:rsid w:val="000B2AC4"/>
    <w:rsid w:val="000B7BE6"/>
    <w:rsid w:val="000C43B4"/>
    <w:rsid w:val="000C7929"/>
    <w:rsid w:val="000D4AC1"/>
    <w:rsid w:val="000D705C"/>
    <w:rsid w:val="000E3DD1"/>
    <w:rsid w:val="000E70C6"/>
    <w:rsid w:val="000F4A7F"/>
    <w:rsid w:val="000F57CE"/>
    <w:rsid w:val="000F594D"/>
    <w:rsid w:val="000F670E"/>
    <w:rsid w:val="000F6905"/>
    <w:rsid w:val="00106818"/>
    <w:rsid w:val="00106A33"/>
    <w:rsid w:val="00110C49"/>
    <w:rsid w:val="00127D21"/>
    <w:rsid w:val="00131ACC"/>
    <w:rsid w:val="00135969"/>
    <w:rsid w:val="0013652F"/>
    <w:rsid w:val="0015501D"/>
    <w:rsid w:val="00165102"/>
    <w:rsid w:val="0016759F"/>
    <w:rsid w:val="00170AE6"/>
    <w:rsid w:val="00170C52"/>
    <w:rsid w:val="001722BF"/>
    <w:rsid w:val="00177B05"/>
    <w:rsid w:val="001814D9"/>
    <w:rsid w:val="001826C5"/>
    <w:rsid w:val="00183B13"/>
    <w:rsid w:val="00185C40"/>
    <w:rsid w:val="0018675B"/>
    <w:rsid w:val="001A1373"/>
    <w:rsid w:val="001A310B"/>
    <w:rsid w:val="001B05C8"/>
    <w:rsid w:val="001B38E4"/>
    <w:rsid w:val="001B5EA9"/>
    <w:rsid w:val="001B6CDC"/>
    <w:rsid w:val="001C1709"/>
    <w:rsid w:val="001C4551"/>
    <w:rsid w:val="001D38E4"/>
    <w:rsid w:val="001D476D"/>
    <w:rsid w:val="001E4FBB"/>
    <w:rsid w:val="001F21C2"/>
    <w:rsid w:val="001F56AA"/>
    <w:rsid w:val="001F667C"/>
    <w:rsid w:val="00200A1C"/>
    <w:rsid w:val="00201EEA"/>
    <w:rsid w:val="002057AC"/>
    <w:rsid w:val="0021209C"/>
    <w:rsid w:val="00213DE3"/>
    <w:rsid w:val="002172D9"/>
    <w:rsid w:val="00217949"/>
    <w:rsid w:val="0023015F"/>
    <w:rsid w:val="0023460C"/>
    <w:rsid w:val="00240D42"/>
    <w:rsid w:val="00243CE4"/>
    <w:rsid w:val="002445CE"/>
    <w:rsid w:val="00246272"/>
    <w:rsid w:val="00253D27"/>
    <w:rsid w:val="00255253"/>
    <w:rsid w:val="0026093C"/>
    <w:rsid w:val="00262C67"/>
    <w:rsid w:val="00263B18"/>
    <w:rsid w:val="00265690"/>
    <w:rsid w:val="002743B1"/>
    <w:rsid w:val="00274C50"/>
    <w:rsid w:val="00286EAE"/>
    <w:rsid w:val="00292A70"/>
    <w:rsid w:val="0029473E"/>
    <w:rsid w:val="00295390"/>
    <w:rsid w:val="002A1B9F"/>
    <w:rsid w:val="002A1ED1"/>
    <w:rsid w:val="002A32D6"/>
    <w:rsid w:val="002A70AD"/>
    <w:rsid w:val="002B6797"/>
    <w:rsid w:val="002C3B37"/>
    <w:rsid w:val="002C70A4"/>
    <w:rsid w:val="002C7565"/>
    <w:rsid w:val="002D1A9C"/>
    <w:rsid w:val="002E0C37"/>
    <w:rsid w:val="002E507D"/>
    <w:rsid w:val="002E6DF6"/>
    <w:rsid w:val="002F04F7"/>
    <w:rsid w:val="002F31B0"/>
    <w:rsid w:val="003022CF"/>
    <w:rsid w:val="00303CC2"/>
    <w:rsid w:val="00306099"/>
    <w:rsid w:val="00314F2E"/>
    <w:rsid w:val="00315048"/>
    <w:rsid w:val="003319FC"/>
    <w:rsid w:val="00334974"/>
    <w:rsid w:val="00335D5C"/>
    <w:rsid w:val="00340180"/>
    <w:rsid w:val="0034177E"/>
    <w:rsid w:val="00344964"/>
    <w:rsid w:val="00346AE4"/>
    <w:rsid w:val="00350B14"/>
    <w:rsid w:val="00355DC2"/>
    <w:rsid w:val="0035637F"/>
    <w:rsid w:val="00362E53"/>
    <w:rsid w:val="00363213"/>
    <w:rsid w:val="00365336"/>
    <w:rsid w:val="00371687"/>
    <w:rsid w:val="003755CC"/>
    <w:rsid w:val="00377974"/>
    <w:rsid w:val="00377FB1"/>
    <w:rsid w:val="00380228"/>
    <w:rsid w:val="00381320"/>
    <w:rsid w:val="003872B9"/>
    <w:rsid w:val="003A02A8"/>
    <w:rsid w:val="003A634F"/>
    <w:rsid w:val="003A7FCD"/>
    <w:rsid w:val="003B2E09"/>
    <w:rsid w:val="003B6B2B"/>
    <w:rsid w:val="003C2A77"/>
    <w:rsid w:val="003C6BB2"/>
    <w:rsid w:val="003D6917"/>
    <w:rsid w:val="003E1D03"/>
    <w:rsid w:val="003F3B04"/>
    <w:rsid w:val="003F7861"/>
    <w:rsid w:val="00403A7D"/>
    <w:rsid w:val="00403EB1"/>
    <w:rsid w:val="00404209"/>
    <w:rsid w:val="00412460"/>
    <w:rsid w:val="004164F2"/>
    <w:rsid w:val="00421EDD"/>
    <w:rsid w:val="00423977"/>
    <w:rsid w:val="00426B60"/>
    <w:rsid w:val="00430A2C"/>
    <w:rsid w:val="00431047"/>
    <w:rsid w:val="004339B4"/>
    <w:rsid w:val="004418FC"/>
    <w:rsid w:val="00446F3C"/>
    <w:rsid w:val="00455692"/>
    <w:rsid w:val="00461575"/>
    <w:rsid w:val="0046501D"/>
    <w:rsid w:val="00467134"/>
    <w:rsid w:val="0047251E"/>
    <w:rsid w:val="0047360B"/>
    <w:rsid w:val="00484007"/>
    <w:rsid w:val="004938D6"/>
    <w:rsid w:val="00496275"/>
    <w:rsid w:val="004A1864"/>
    <w:rsid w:val="004A25AA"/>
    <w:rsid w:val="004B0766"/>
    <w:rsid w:val="004B472D"/>
    <w:rsid w:val="004C5398"/>
    <w:rsid w:val="004D02FA"/>
    <w:rsid w:val="004D615B"/>
    <w:rsid w:val="004E20FF"/>
    <w:rsid w:val="004F2F4C"/>
    <w:rsid w:val="004F3678"/>
    <w:rsid w:val="004F435C"/>
    <w:rsid w:val="004F5D93"/>
    <w:rsid w:val="00501CB1"/>
    <w:rsid w:val="00510A04"/>
    <w:rsid w:val="005110F4"/>
    <w:rsid w:val="00512953"/>
    <w:rsid w:val="0051376B"/>
    <w:rsid w:val="00515947"/>
    <w:rsid w:val="005163B2"/>
    <w:rsid w:val="005216C4"/>
    <w:rsid w:val="00525577"/>
    <w:rsid w:val="00526703"/>
    <w:rsid w:val="00530228"/>
    <w:rsid w:val="00536AFA"/>
    <w:rsid w:val="00543FC7"/>
    <w:rsid w:val="00544F52"/>
    <w:rsid w:val="00555538"/>
    <w:rsid w:val="00556CEE"/>
    <w:rsid w:val="00564A30"/>
    <w:rsid w:val="0056658C"/>
    <w:rsid w:val="005803B4"/>
    <w:rsid w:val="005872C0"/>
    <w:rsid w:val="00587AB4"/>
    <w:rsid w:val="0059021B"/>
    <w:rsid w:val="00596760"/>
    <w:rsid w:val="00596FF3"/>
    <w:rsid w:val="005A03A1"/>
    <w:rsid w:val="005A3A53"/>
    <w:rsid w:val="005A452E"/>
    <w:rsid w:val="005A712B"/>
    <w:rsid w:val="005C078F"/>
    <w:rsid w:val="005C0D2F"/>
    <w:rsid w:val="005D20E1"/>
    <w:rsid w:val="005E51BD"/>
    <w:rsid w:val="005E5669"/>
    <w:rsid w:val="005E5A1D"/>
    <w:rsid w:val="005F1FB6"/>
    <w:rsid w:val="005F26BC"/>
    <w:rsid w:val="005F586A"/>
    <w:rsid w:val="005F633A"/>
    <w:rsid w:val="00603A42"/>
    <w:rsid w:val="00604726"/>
    <w:rsid w:val="00605D80"/>
    <w:rsid w:val="006072F0"/>
    <w:rsid w:val="006079C8"/>
    <w:rsid w:val="00607C57"/>
    <w:rsid w:val="006158B0"/>
    <w:rsid w:val="0062154F"/>
    <w:rsid w:val="00626BD3"/>
    <w:rsid w:val="00636DCF"/>
    <w:rsid w:val="00637FB4"/>
    <w:rsid w:val="006428B5"/>
    <w:rsid w:val="006429E1"/>
    <w:rsid w:val="0064431D"/>
    <w:rsid w:val="00644E2B"/>
    <w:rsid w:val="00645BFE"/>
    <w:rsid w:val="00653305"/>
    <w:rsid w:val="00661046"/>
    <w:rsid w:val="00662202"/>
    <w:rsid w:val="00664BA9"/>
    <w:rsid w:val="00667715"/>
    <w:rsid w:val="0067234E"/>
    <w:rsid w:val="00672ADD"/>
    <w:rsid w:val="006739FE"/>
    <w:rsid w:val="00676532"/>
    <w:rsid w:val="00680075"/>
    <w:rsid w:val="00682654"/>
    <w:rsid w:val="00691009"/>
    <w:rsid w:val="00691093"/>
    <w:rsid w:val="006921A4"/>
    <w:rsid w:val="006A5A9E"/>
    <w:rsid w:val="006B11C7"/>
    <w:rsid w:val="006B1F2E"/>
    <w:rsid w:val="006B6FF3"/>
    <w:rsid w:val="006C4248"/>
    <w:rsid w:val="006D3608"/>
    <w:rsid w:val="006D4831"/>
    <w:rsid w:val="006D7700"/>
    <w:rsid w:val="006E0227"/>
    <w:rsid w:val="006E464E"/>
    <w:rsid w:val="006E4CC8"/>
    <w:rsid w:val="006F31FE"/>
    <w:rsid w:val="006F39B4"/>
    <w:rsid w:val="006F67C0"/>
    <w:rsid w:val="006F7B79"/>
    <w:rsid w:val="00701B3D"/>
    <w:rsid w:val="00717744"/>
    <w:rsid w:val="0072062D"/>
    <w:rsid w:val="00721E7E"/>
    <w:rsid w:val="0072243E"/>
    <w:rsid w:val="0072671C"/>
    <w:rsid w:val="00727826"/>
    <w:rsid w:val="00727E44"/>
    <w:rsid w:val="007356BD"/>
    <w:rsid w:val="007422D1"/>
    <w:rsid w:val="007476C8"/>
    <w:rsid w:val="00760237"/>
    <w:rsid w:val="00760B6D"/>
    <w:rsid w:val="0076578B"/>
    <w:rsid w:val="00766863"/>
    <w:rsid w:val="00771B65"/>
    <w:rsid w:val="00773B11"/>
    <w:rsid w:val="00773E24"/>
    <w:rsid w:val="00774EC3"/>
    <w:rsid w:val="00777F57"/>
    <w:rsid w:val="0078383D"/>
    <w:rsid w:val="00787423"/>
    <w:rsid w:val="0079093A"/>
    <w:rsid w:val="00791C3D"/>
    <w:rsid w:val="00793312"/>
    <w:rsid w:val="00794C59"/>
    <w:rsid w:val="007A304F"/>
    <w:rsid w:val="007A45B4"/>
    <w:rsid w:val="007B048A"/>
    <w:rsid w:val="007B3100"/>
    <w:rsid w:val="007C0ED2"/>
    <w:rsid w:val="007C1097"/>
    <w:rsid w:val="007C1317"/>
    <w:rsid w:val="007C41C2"/>
    <w:rsid w:val="007C60F4"/>
    <w:rsid w:val="007D0C11"/>
    <w:rsid w:val="007D11A6"/>
    <w:rsid w:val="007D15C1"/>
    <w:rsid w:val="007D1DCE"/>
    <w:rsid w:val="007E2B5D"/>
    <w:rsid w:val="007E624E"/>
    <w:rsid w:val="007E7641"/>
    <w:rsid w:val="007E7732"/>
    <w:rsid w:val="00800850"/>
    <w:rsid w:val="008115A7"/>
    <w:rsid w:val="00812ACA"/>
    <w:rsid w:val="00816305"/>
    <w:rsid w:val="00827999"/>
    <w:rsid w:val="00830BD9"/>
    <w:rsid w:val="00834454"/>
    <w:rsid w:val="008407F8"/>
    <w:rsid w:val="00850AFC"/>
    <w:rsid w:val="00853929"/>
    <w:rsid w:val="00854B96"/>
    <w:rsid w:val="008553A4"/>
    <w:rsid w:val="008564A4"/>
    <w:rsid w:val="008564F9"/>
    <w:rsid w:val="00856532"/>
    <w:rsid w:val="0086470F"/>
    <w:rsid w:val="0086514E"/>
    <w:rsid w:val="008669C3"/>
    <w:rsid w:val="00872BF3"/>
    <w:rsid w:val="008746B2"/>
    <w:rsid w:val="00883B28"/>
    <w:rsid w:val="00884EEA"/>
    <w:rsid w:val="008873D3"/>
    <w:rsid w:val="00891DA8"/>
    <w:rsid w:val="008961D3"/>
    <w:rsid w:val="008A0CD2"/>
    <w:rsid w:val="008C67A7"/>
    <w:rsid w:val="008C7F6D"/>
    <w:rsid w:val="008D008B"/>
    <w:rsid w:val="008D3FEB"/>
    <w:rsid w:val="008D50C6"/>
    <w:rsid w:val="008E778F"/>
    <w:rsid w:val="008F00FF"/>
    <w:rsid w:val="008F1401"/>
    <w:rsid w:val="008F5AD8"/>
    <w:rsid w:val="00901566"/>
    <w:rsid w:val="009119E5"/>
    <w:rsid w:val="00914564"/>
    <w:rsid w:val="00914C4E"/>
    <w:rsid w:val="009255B2"/>
    <w:rsid w:val="00930D5B"/>
    <w:rsid w:val="00944056"/>
    <w:rsid w:val="0095627C"/>
    <w:rsid w:val="009631B2"/>
    <w:rsid w:val="00963606"/>
    <w:rsid w:val="00967E72"/>
    <w:rsid w:val="0099195F"/>
    <w:rsid w:val="00992D49"/>
    <w:rsid w:val="0099552E"/>
    <w:rsid w:val="009A4748"/>
    <w:rsid w:val="009B45AA"/>
    <w:rsid w:val="009B754F"/>
    <w:rsid w:val="009C0B29"/>
    <w:rsid w:val="009C544A"/>
    <w:rsid w:val="009C697D"/>
    <w:rsid w:val="009C6DBF"/>
    <w:rsid w:val="009C7F2A"/>
    <w:rsid w:val="009D6BBD"/>
    <w:rsid w:val="009E04CD"/>
    <w:rsid w:val="009E053A"/>
    <w:rsid w:val="009E089D"/>
    <w:rsid w:val="009E434D"/>
    <w:rsid w:val="009E44F2"/>
    <w:rsid w:val="009E4E33"/>
    <w:rsid w:val="009F2364"/>
    <w:rsid w:val="009F74C5"/>
    <w:rsid w:val="00A0256F"/>
    <w:rsid w:val="00A0684F"/>
    <w:rsid w:val="00A13EA2"/>
    <w:rsid w:val="00A15F03"/>
    <w:rsid w:val="00A22B73"/>
    <w:rsid w:val="00A27BA5"/>
    <w:rsid w:val="00A305ED"/>
    <w:rsid w:val="00A3329E"/>
    <w:rsid w:val="00A34658"/>
    <w:rsid w:val="00A35FD0"/>
    <w:rsid w:val="00A36B02"/>
    <w:rsid w:val="00A373BC"/>
    <w:rsid w:val="00A37DBA"/>
    <w:rsid w:val="00A41420"/>
    <w:rsid w:val="00A44A33"/>
    <w:rsid w:val="00A450A1"/>
    <w:rsid w:val="00A5433B"/>
    <w:rsid w:val="00A63D0C"/>
    <w:rsid w:val="00A70E84"/>
    <w:rsid w:val="00A713FB"/>
    <w:rsid w:val="00A73C96"/>
    <w:rsid w:val="00A809D4"/>
    <w:rsid w:val="00A81253"/>
    <w:rsid w:val="00A84A20"/>
    <w:rsid w:val="00A93D6D"/>
    <w:rsid w:val="00A96780"/>
    <w:rsid w:val="00A96C0F"/>
    <w:rsid w:val="00AA38AA"/>
    <w:rsid w:val="00AA6158"/>
    <w:rsid w:val="00AB0A06"/>
    <w:rsid w:val="00AB56CE"/>
    <w:rsid w:val="00AC1E8E"/>
    <w:rsid w:val="00AC4F10"/>
    <w:rsid w:val="00AD3733"/>
    <w:rsid w:val="00AE3003"/>
    <w:rsid w:val="00AE7B4B"/>
    <w:rsid w:val="00AF05F6"/>
    <w:rsid w:val="00AF76FC"/>
    <w:rsid w:val="00AF7788"/>
    <w:rsid w:val="00B02BCA"/>
    <w:rsid w:val="00B06D45"/>
    <w:rsid w:val="00B10A35"/>
    <w:rsid w:val="00B1614B"/>
    <w:rsid w:val="00B168D2"/>
    <w:rsid w:val="00B17933"/>
    <w:rsid w:val="00B232B0"/>
    <w:rsid w:val="00B2394B"/>
    <w:rsid w:val="00B25AB8"/>
    <w:rsid w:val="00B26C6C"/>
    <w:rsid w:val="00B3136B"/>
    <w:rsid w:val="00B32032"/>
    <w:rsid w:val="00B421E2"/>
    <w:rsid w:val="00B53755"/>
    <w:rsid w:val="00B54DA3"/>
    <w:rsid w:val="00B7398F"/>
    <w:rsid w:val="00B74467"/>
    <w:rsid w:val="00B74ADE"/>
    <w:rsid w:val="00B92F49"/>
    <w:rsid w:val="00B97404"/>
    <w:rsid w:val="00BA7897"/>
    <w:rsid w:val="00BB3AA5"/>
    <w:rsid w:val="00BC6101"/>
    <w:rsid w:val="00BC6A21"/>
    <w:rsid w:val="00BC73A1"/>
    <w:rsid w:val="00BC766A"/>
    <w:rsid w:val="00BD110D"/>
    <w:rsid w:val="00BD16C3"/>
    <w:rsid w:val="00BD6323"/>
    <w:rsid w:val="00BE0172"/>
    <w:rsid w:val="00BE0843"/>
    <w:rsid w:val="00BE27BA"/>
    <w:rsid w:val="00BE37CB"/>
    <w:rsid w:val="00BE7EEB"/>
    <w:rsid w:val="00BF00AA"/>
    <w:rsid w:val="00BF3AD8"/>
    <w:rsid w:val="00BF525E"/>
    <w:rsid w:val="00BF5B1C"/>
    <w:rsid w:val="00C00DDF"/>
    <w:rsid w:val="00C01A09"/>
    <w:rsid w:val="00C07743"/>
    <w:rsid w:val="00C109FA"/>
    <w:rsid w:val="00C17330"/>
    <w:rsid w:val="00C20A91"/>
    <w:rsid w:val="00C23309"/>
    <w:rsid w:val="00C27AD8"/>
    <w:rsid w:val="00C31188"/>
    <w:rsid w:val="00C35CFF"/>
    <w:rsid w:val="00C37290"/>
    <w:rsid w:val="00C479E8"/>
    <w:rsid w:val="00C562AF"/>
    <w:rsid w:val="00C570DB"/>
    <w:rsid w:val="00C573D6"/>
    <w:rsid w:val="00C57E1C"/>
    <w:rsid w:val="00C66B3F"/>
    <w:rsid w:val="00C7015C"/>
    <w:rsid w:val="00C7305B"/>
    <w:rsid w:val="00C77014"/>
    <w:rsid w:val="00C82644"/>
    <w:rsid w:val="00C82C8B"/>
    <w:rsid w:val="00C864F2"/>
    <w:rsid w:val="00CA26F1"/>
    <w:rsid w:val="00CA26F3"/>
    <w:rsid w:val="00CA33BE"/>
    <w:rsid w:val="00CA64CA"/>
    <w:rsid w:val="00CB30B5"/>
    <w:rsid w:val="00CB7AD2"/>
    <w:rsid w:val="00CC07CE"/>
    <w:rsid w:val="00CC4FBF"/>
    <w:rsid w:val="00CC5A91"/>
    <w:rsid w:val="00CC7026"/>
    <w:rsid w:val="00CD02B6"/>
    <w:rsid w:val="00CD12BA"/>
    <w:rsid w:val="00CD26F4"/>
    <w:rsid w:val="00CD7AF2"/>
    <w:rsid w:val="00CE3085"/>
    <w:rsid w:val="00CE4DB9"/>
    <w:rsid w:val="00CF12AD"/>
    <w:rsid w:val="00CF30C2"/>
    <w:rsid w:val="00CF469C"/>
    <w:rsid w:val="00CF7094"/>
    <w:rsid w:val="00D0738E"/>
    <w:rsid w:val="00D1342D"/>
    <w:rsid w:val="00D23FDD"/>
    <w:rsid w:val="00D34248"/>
    <w:rsid w:val="00D34F76"/>
    <w:rsid w:val="00D4492A"/>
    <w:rsid w:val="00D55739"/>
    <w:rsid w:val="00D562FB"/>
    <w:rsid w:val="00D57873"/>
    <w:rsid w:val="00D578FB"/>
    <w:rsid w:val="00D62565"/>
    <w:rsid w:val="00D62E04"/>
    <w:rsid w:val="00D64101"/>
    <w:rsid w:val="00D64633"/>
    <w:rsid w:val="00D67240"/>
    <w:rsid w:val="00D703B3"/>
    <w:rsid w:val="00D72B37"/>
    <w:rsid w:val="00D73B09"/>
    <w:rsid w:val="00D76D76"/>
    <w:rsid w:val="00D80D8E"/>
    <w:rsid w:val="00D9154C"/>
    <w:rsid w:val="00D94885"/>
    <w:rsid w:val="00D95CCD"/>
    <w:rsid w:val="00D96DE9"/>
    <w:rsid w:val="00D972FF"/>
    <w:rsid w:val="00DA2D83"/>
    <w:rsid w:val="00DB60AA"/>
    <w:rsid w:val="00DC2C5B"/>
    <w:rsid w:val="00DC7851"/>
    <w:rsid w:val="00DD49C9"/>
    <w:rsid w:val="00DE17C1"/>
    <w:rsid w:val="00DE293E"/>
    <w:rsid w:val="00DE2D2A"/>
    <w:rsid w:val="00DF19D1"/>
    <w:rsid w:val="00E01963"/>
    <w:rsid w:val="00E02D33"/>
    <w:rsid w:val="00E030B5"/>
    <w:rsid w:val="00E06BC7"/>
    <w:rsid w:val="00E07CDA"/>
    <w:rsid w:val="00E10134"/>
    <w:rsid w:val="00E12823"/>
    <w:rsid w:val="00E235E1"/>
    <w:rsid w:val="00E24491"/>
    <w:rsid w:val="00E272DC"/>
    <w:rsid w:val="00E40F41"/>
    <w:rsid w:val="00E415F8"/>
    <w:rsid w:val="00E41AAA"/>
    <w:rsid w:val="00E45381"/>
    <w:rsid w:val="00E56751"/>
    <w:rsid w:val="00E65C70"/>
    <w:rsid w:val="00E76C6F"/>
    <w:rsid w:val="00E83120"/>
    <w:rsid w:val="00E84429"/>
    <w:rsid w:val="00E84A83"/>
    <w:rsid w:val="00E84BE7"/>
    <w:rsid w:val="00E97053"/>
    <w:rsid w:val="00E9741A"/>
    <w:rsid w:val="00EA0EF8"/>
    <w:rsid w:val="00EA15DB"/>
    <w:rsid w:val="00EA7555"/>
    <w:rsid w:val="00EB1F47"/>
    <w:rsid w:val="00EB5A0A"/>
    <w:rsid w:val="00EB66E7"/>
    <w:rsid w:val="00EC08BB"/>
    <w:rsid w:val="00ED5FBE"/>
    <w:rsid w:val="00EE1444"/>
    <w:rsid w:val="00EE2A46"/>
    <w:rsid w:val="00EF5928"/>
    <w:rsid w:val="00EF6CA6"/>
    <w:rsid w:val="00F12D37"/>
    <w:rsid w:val="00F14AC2"/>
    <w:rsid w:val="00F21F35"/>
    <w:rsid w:val="00F23C84"/>
    <w:rsid w:val="00F246EF"/>
    <w:rsid w:val="00F250EF"/>
    <w:rsid w:val="00F327ED"/>
    <w:rsid w:val="00F334B2"/>
    <w:rsid w:val="00F346BD"/>
    <w:rsid w:val="00F35B4A"/>
    <w:rsid w:val="00F42403"/>
    <w:rsid w:val="00F42C31"/>
    <w:rsid w:val="00F444D3"/>
    <w:rsid w:val="00F45509"/>
    <w:rsid w:val="00F45BBB"/>
    <w:rsid w:val="00F468C0"/>
    <w:rsid w:val="00F46971"/>
    <w:rsid w:val="00F5181F"/>
    <w:rsid w:val="00F531F7"/>
    <w:rsid w:val="00F558AD"/>
    <w:rsid w:val="00F56F9A"/>
    <w:rsid w:val="00F62E6D"/>
    <w:rsid w:val="00F63BED"/>
    <w:rsid w:val="00F643C5"/>
    <w:rsid w:val="00F677FB"/>
    <w:rsid w:val="00F71A71"/>
    <w:rsid w:val="00F87537"/>
    <w:rsid w:val="00F925DB"/>
    <w:rsid w:val="00F94603"/>
    <w:rsid w:val="00FA06CE"/>
    <w:rsid w:val="00FA5712"/>
    <w:rsid w:val="00FA73A0"/>
    <w:rsid w:val="00FB047E"/>
    <w:rsid w:val="00FB272B"/>
    <w:rsid w:val="00FB73C3"/>
    <w:rsid w:val="00FC280A"/>
    <w:rsid w:val="00FD55C6"/>
    <w:rsid w:val="00FD6A56"/>
    <w:rsid w:val="00FD7294"/>
    <w:rsid w:val="00FD7CF0"/>
    <w:rsid w:val="00FE44D4"/>
    <w:rsid w:val="00FE4B36"/>
    <w:rsid w:val="00FE6EB9"/>
    <w:rsid w:val="00FF0690"/>
    <w:rsid w:val="00FF2599"/>
    <w:rsid w:val="00FF2DF3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3AC2B9A"/>
  <w15:chartTrackingRefBased/>
  <w15:docId w15:val="{CD222FEA-ABB3-4DD8-B31E-37CD930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3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uiPriority w:val="99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+ 11 пт"/>
    <w:aliases w:val="По ширине"/>
    <w:basedOn w:val="a"/>
    <w:uiPriority w:val="99"/>
    <w:rsid w:val="000D705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afa">
    <w:name w:val="Revision"/>
    <w:hidden/>
    <w:uiPriority w:val="99"/>
    <w:semiHidden/>
    <w:rsid w:val="00F469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31817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Geil_YV</dc:creator>
  <cp:keywords/>
  <cp:lastModifiedBy>Пряхина Ирина Игоревна</cp:lastModifiedBy>
  <cp:revision>10</cp:revision>
  <cp:lastPrinted>2012-06-07T14:33:00Z</cp:lastPrinted>
  <dcterms:created xsi:type="dcterms:W3CDTF">2021-04-20T14:12:00Z</dcterms:created>
  <dcterms:modified xsi:type="dcterms:W3CDTF">2021-04-27T08:06:00Z</dcterms:modified>
</cp:coreProperties>
</file>