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60F" w:rsidRPr="007126BC" w:rsidRDefault="00D5560F" w:rsidP="00D5560F">
      <w:pPr>
        <w:widowControl w:val="0"/>
        <w:ind w:left="57"/>
        <w:jc w:val="right"/>
      </w:pPr>
      <w:r w:rsidRPr="007126BC">
        <w:rPr>
          <w:caps/>
        </w:rPr>
        <w:t>Приложение</w:t>
      </w:r>
      <w:r w:rsidRPr="007126BC">
        <w:t xml:space="preserve"> № 1</w:t>
      </w:r>
    </w:p>
    <w:p w:rsidR="00D5560F" w:rsidRPr="007126BC" w:rsidRDefault="00D5560F" w:rsidP="00D5560F">
      <w:pPr>
        <w:widowControl w:val="0"/>
        <w:ind w:left="57"/>
        <w:jc w:val="right"/>
      </w:pPr>
      <w:r>
        <w:t>к Протоколу № 30</w:t>
      </w:r>
      <w:r w:rsidRPr="007126BC">
        <w:t xml:space="preserve">/2020 заседания Наблюдательного совета </w:t>
      </w:r>
    </w:p>
    <w:p w:rsidR="00D5560F" w:rsidRPr="00D5560F" w:rsidRDefault="00D5560F" w:rsidP="00D5560F">
      <w:pPr>
        <w:widowControl w:val="0"/>
        <w:autoSpaceDE w:val="0"/>
        <w:autoSpaceDN w:val="0"/>
        <w:adjustRightInd w:val="0"/>
        <w:ind w:right="-31"/>
        <w:jc w:val="right"/>
        <w:outlineLvl w:val="0"/>
      </w:pPr>
      <w:r w:rsidRPr="007126BC">
        <w:t xml:space="preserve">Ассоциации «НП Совет рынка» от </w:t>
      </w:r>
      <w:r>
        <w:t>13</w:t>
      </w:r>
      <w:r w:rsidRPr="007126BC">
        <w:t xml:space="preserve"> ноября 2020 года.</w:t>
      </w:r>
    </w:p>
    <w:p w:rsidR="005B0E5D" w:rsidRDefault="00AD70DD">
      <w:pPr>
        <w:pStyle w:val="21"/>
        <w:rPr>
          <w:rFonts w:ascii="Garamond" w:hAnsi="Garamond"/>
          <w:sz w:val="28"/>
          <w:szCs w:val="28"/>
        </w:rPr>
      </w:pPr>
      <w:r>
        <w:rPr>
          <w:rFonts w:ascii="Garamond" w:hAnsi="Garamond"/>
          <w:sz w:val="28"/>
          <w:szCs w:val="28"/>
        </w:rPr>
        <w:t xml:space="preserve">Вопрос 1. </w:t>
      </w:r>
      <w:r w:rsidR="00CC6592" w:rsidRPr="00CC6592">
        <w:rPr>
          <w:rFonts w:ascii="Garamond" w:hAnsi="Garamond"/>
          <w:sz w:val="28"/>
          <w:szCs w:val="28"/>
        </w:rPr>
        <w:t>Об изменениях и дополнениях к Договору о присоединении к торговой системе оптового рынка, связанных с предоставлением обеспечения исполнения обязательств по ДПМ ВИЭ для участия в отборе проектов ВИЭ в 2020 году</w:t>
      </w:r>
    </w:p>
    <w:p w:rsidR="005B0E5D" w:rsidRDefault="00AD70DD">
      <w:pPr>
        <w:pStyle w:val="21"/>
        <w:jc w:val="right"/>
        <w:rPr>
          <w:rFonts w:ascii="Garamond" w:hAnsi="Garamond"/>
          <w:sz w:val="28"/>
          <w:szCs w:val="28"/>
        </w:rPr>
      </w:pPr>
      <w:r>
        <w:rPr>
          <w:rFonts w:ascii="Garamond" w:hAnsi="Garamond"/>
          <w:sz w:val="28"/>
          <w:szCs w:val="28"/>
        </w:rPr>
        <w:t xml:space="preserve">Приложение № 1   </w:t>
      </w:r>
    </w:p>
    <w:p w:rsidR="005B0E5D" w:rsidRDefault="00AD70DD">
      <w:pPr>
        <w:pBdr>
          <w:top w:val="single" w:sz="4" w:space="0" w:color="auto"/>
          <w:left w:val="single" w:sz="4" w:space="4" w:color="auto"/>
          <w:bottom w:val="single" w:sz="4" w:space="1" w:color="auto"/>
          <w:right w:val="single" w:sz="4" w:space="4" w:color="auto"/>
        </w:pBdr>
        <w:rPr>
          <w:rFonts w:ascii="Garamond" w:hAnsi="Garamond" w:cs="Garamond"/>
          <w:bCs/>
        </w:rPr>
      </w:pPr>
      <w:r>
        <w:rPr>
          <w:rFonts w:ascii="Garamond" w:hAnsi="Garamond" w:cs="Garamond"/>
          <w:b/>
          <w:bCs/>
        </w:rPr>
        <w:t xml:space="preserve">Инициатор: </w:t>
      </w:r>
      <w:r>
        <w:rPr>
          <w:rFonts w:ascii="Garamond" w:hAnsi="Garamond" w:cs="Garamond"/>
          <w:bCs/>
        </w:rPr>
        <w:t>Ассоциация «НП Совет рынка».</w:t>
      </w:r>
    </w:p>
    <w:p w:rsidR="005B0E5D" w:rsidRDefault="00AD70DD">
      <w:pPr>
        <w:pBdr>
          <w:top w:val="single" w:sz="4" w:space="0" w:color="auto"/>
          <w:left w:val="single" w:sz="4" w:space="4" w:color="auto"/>
          <w:bottom w:val="single" w:sz="4" w:space="1" w:color="auto"/>
          <w:right w:val="single" w:sz="4" w:space="4" w:color="auto"/>
        </w:pBdr>
        <w:jc w:val="both"/>
        <w:rPr>
          <w:rFonts w:ascii="Garamond" w:hAnsi="Garamond"/>
        </w:rPr>
      </w:pPr>
      <w:r>
        <w:rPr>
          <w:rFonts w:ascii="Garamond" w:hAnsi="Garamond"/>
          <w:b/>
        </w:rPr>
        <w:t>Обоснование:</w:t>
      </w:r>
      <w:r w:rsidR="000933D0">
        <w:rPr>
          <w:rFonts w:ascii="Garamond" w:hAnsi="Garamond"/>
        </w:rPr>
        <w:t xml:space="preserve"> в</w:t>
      </w:r>
      <w:r>
        <w:rPr>
          <w:rFonts w:ascii="Garamond" w:hAnsi="Garamond"/>
        </w:rPr>
        <w:t>виду того, что в 2020 году дата начала приема заявок на участие в отборе проектов ВИЭ наступа</w:t>
      </w:r>
      <w:r w:rsidR="006F4B7F">
        <w:rPr>
          <w:rFonts w:ascii="Garamond" w:hAnsi="Garamond"/>
        </w:rPr>
        <w:t>ет 17 ноября 2020 года, при том</w:t>
      </w:r>
      <w:r>
        <w:rPr>
          <w:rFonts w:ascii="Garamond" w:hAnsi="Garamond"/>
        </w:rPr>
        <w:t xml:space="preserve"> что предельный уровень капитальных затрат для расчета размера обеспеч</w:t>
      </w:r>
      <w:r w:rsidR="00E14421">
        <w:rPr>
          <w:rFonts w:ascii="Garamond" w:hAnsi="Garamond"/>
        </w:rPr>
        <w:t>ения м</w:t>
      </w:r>
      <w:bookmarkStart w:id="0" w:name="_GoBack"/>
      <w:bookmarkEnd w:id="0"/>
      <w:r w:rsidR="00E14421">
        <w:rPr>
          <w:rFonts w:ascii="Garamond" w:hAnsi="Garamond"/>
        </w:rPr>
        <w:t>ожет быть определен на 1-</w:t>
      </w:r>
      <w:r>
        <w:rPr>
          <w:rFonts w:ascii="Garamond" w:hAnsi="Garamond"/>
        </w:rPr>
        <w:t>е число месяца, в котором начинается прием заявок на участие в отборе проектов ВИЭ, а также учитывая регламентные сроки предоставления аккредитивов и банковских гарантий для их учета в качестве обеспечения при проведении отборов проектов, у участников отбора проектов в 2020 году имеется в распоряжении 2 рабочих дня с даты определения предельных уровней капитальных затрат на оформление аккредитивов и банковских гарантий. Предлагается предоставить участникам отборов проектов ВИЭ дополнительные сроки на оформление аккредитивов и банковских гарантий в 2020 году, что позволит допустить на отбор пр</w:t>
      </w:r>
      <w:r w:rsidR="008928D7">
        <w:rPr>
          <w:rFonts w:ascii="Garamond" w:hAnsi="Garamond"/>
        </w:rPr>
        <w:t>оектов большее число участников</w:t>
      </w:r>
      <w:r>
        <w:rPr>
          <w:rFonts w:ascii="Garamond" w:hAnsi="Garamond"/>
        </w:rPr>
        <w:t xml:space="preserve"> и повысит уровень конкуренции на о</w:t>
      </w:r>
      <w:r w:rsidR="00354C98">
        <w:rPr>
          <w:rFonts w:ascii="Garamond" w:hAnsi="Garamond"/>
        </w:rPr>
        <w:t>т</w:t>
      </w:r>
      <w:r>
        <w:rPr>
          <w:rFonts w:ascii="Garamond" w:hAnsi="Garamond"/>
        </w:rPr>
        <w:t xml:space="preserve">боре. </w:t>
      </w:r>
    </w:p>
    <w:p w:rsidR="005B0E5D" w:rsidRDefault="00AD70DD">
      <w:pPr>
        <w:pBdr>
          <w:top w:val="single" w:sz="4" w:space="0" w:color="auto"/>
          <w:left w:val="single" w:sz="4" w:space="4" w:color="auto"/>
          <w:bottom w:val="single" w:sz="4" w:space="1" w:color="auto"/>
          <w:right w:val="single" w:sz="4" w:space="4" w:color="auto"/>
        </w:pBdr>
        <w:jc w:val="both"/>
        <w:rPr>
          <w:rFonts w:ascii="Garamond" w:hAnsi="Garamond" w:cs="Garamond"/>
          <w:bCs/>
        </w:rPr>
      </w:pPr>
      <w:r>
        <w:rPr>
          <w:rFonts w:ascii="Garamond" w:hAnsi="Garamond" w:cs="Garamond"/>
          <w:b/>
          <w:bCs/>
        </w:rPr>
        <w:t xml:space="preserve">Дата вступления в силу: </w:t>
      </w:r>
      <w:r>
        <w:rPr>
          <w:rFonts w:ascii="Garamond" w:hAnsi="Garamond" w:cs="Garamond"/>
          <w:bCs/>
        </w:rPr>
        <w:t xml:space="preserve">13 </w:t>
      </w:r>
      <w:r w:rsidR="00775C3E">
        <w:rPr>
          <w:rFonts w:ascii="Garamond" w:hAnsi="Garamond" w:cs="Garamond"/>
          <w:bCs/>
        </w:rPr>
        <w:t>ноября</w:t>
      </w:r>
      <w:r>
        <w:rPr>
          <w:rFonts w:ascii="Garamond" w:hAnsi="Garamond" w:cs="Garamond"/>
          <w:bCs/>
        </w:rPr>
        <w:t xml:space="preserve"> 2020 года</w:t>
      </w:r>
      <w:r>
        <w:rPr>
          <w:sz w:val="22"/>
          <w:szCs w:val="22"/>
        </w:rPr>
        <w:t>.</w:t>
      </w:r>
    </w:p>
    <w:p w:rsidR="005B0E5D" w:rsidRDefault="005B0E5D">
      <w:pPr>
        <w:widowControl w:val="0"/>
        <w:rPr>
          <w:rFonts w:ascii="Garamond" w:hAnsi="Garamond"/>
          <w:sz w:val="22"/>
          <w:szCs w:val="20"/>
          <w:lang w:eastAsia="en-US"/>
        </w:rPr>
      </w:pPr>
      <w:bookmarkStart w:id="1" w:name="_Toc138663817"/>
      <w:bookmarkStart w:id="2" w:name="_Toc245015634"/>
      <w:bookmarkStart w:id="3" w:name="_Toc334454323"/>
    </w:p>
    <w:p w:rsidR="005B0E5D" w:rsidRDefault="00AD70DD">
      <w:pPr>
        <w:tabs>
          <w:tab w:val="left" w:pos="709"/>
        </w:tabs>
        <w:rPr>
          <w:rFonts w:ascii="Garamond" w:hAnsi="Garamond"/>
          <w:b/>
          <w:sz w:val="26"/>
          <w:szCs w:val="26"/>
          <w:lang w:eastAsia="en-US"/>
        </w:rPr>
      </w:pPr>
      <w:r>
        <w:rPr>
          <w:rFonts w:ascii="Garamond" w:hAnsi="Garamond"/>
          <w:b/>
          <w:sz w:val="26"/>
          <w:szCs w:val="26"/>
          <w:lang w:eastAsia="en-US"/>
        </w:rPr>
        <w:t xml:space="preserve">Предложения по изменениям и дополнениям в </w:t>
      </w:r>
      <w:r>
        <w:rPr>
          <w:rFonts w:ascii="Garamond" w:hAnsi="Garamond"/>
          <w:b/>
          <w:caps/>
          <w:sz w:val="26"/>
          <w:szCs w:val="26"/>
          <w:lang w:eastAsia="en-US"/>
        </w:rPr>
        <w:t>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w:t>
      </w:r>
      <w:r>
        <w:rPr>
          <w:rFonts w:ascii="Garamond" w:hAnsi="Garamond"/>
          <w:b/>
          <w:sz w:val="26"/>
          <w:szCs w:val="26"/>
          <w:lang w:eastAsia="en-US"/>
        </w:rPr>
        <w:t xml:space="preserve"> (Приложение № 27 к Договору о присоединении к торговой системе оптового рынка)</w:t>
      </w:r>
    </w:p>
    <w:p w:rsidR="005B0E5D" w:rsidRDefault="005B0E5D">
      <w:pPr>
        <w:tabs>
          <w:tab w:val="left" w:pos="709"/>
        </w:tabs>
        <w:jc w:val="both"/>
        <w:rPr>
          <w:rFonts w:ascii="Garamond" w:hAnsi="Garamond"/>
          <w:b/>
          <w:sz w:val="26"/>
          <w:szCs w:val="26"/>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6899"/>
        <w:gridCol w:w="15"/>
        <w:gridCol w:w="6913"/>
      </w:tblGrid>
      <w:tr w:rsidR="005B0E5D" w:rsidRPr="00417274" w:rsidTr="00A052DE">
        <w:trPr>
          <w:trHeight w:val="435"/>
        </w:trPr>
        <w:tc>
          <w:tcPr>
            <w:tcW w:w="35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5B0E5D" w:rsidRPr="00417274" w:rsidRDefault="00AD70DD">
            <w:pPr>
              <w:jc w:val="center"/>
              <w:rPr>
                <w:rFonts w:ascii="Garamond" w:hAnsi="Garamond" w:cs="Garamond"/>
                <w:b/>
                <w:bCs/>
                <w:sz w:val="22"/>
                <w:szCs w:val="22"/>
                <w:lang w:val="en-GB"/>
              </w:rPr>
            </w:pPr>
            <w:r w:rsidRPr="00417274">
              <w:rPr>
                <w:rFonts w:ascii="Garamond" w:hAnsi="Garamond" w:cs="Garamond"/>
                <w:b/>
                <w:bCs/>
                <w:sz w:val="22"/>
                <w:szCs w:val="22"/>
                <w:lang w:val="en-GB"/>
              </w:rPr>
              <w:t>№</w:t>
            </w:r>
          </w:p>
          <w:p w:rsidR="005B0E5D" w:rsidRPr="00417274" w:rsidRDefault="00AD70DD">
            <w:pPr>
              <w:jc w:val="center"/>
              <w:rPr>
                <w:rFonts w:ascii="Garamond" w:hAnsi="Garamond" w:cs="Garamond"/>
                <w:b/>
                <w:bCs/>
                <w:sz w:val="22"/>
                <w:szCs w:val="22"/>
                <w:lang w:val="en-GB"/>
              </w:rPr>
            </w:pPr>
            <w:r w:rsidRPr="00417274">
              <w:rPr>
                <w:rFonts w:ascii="Garamond" w:hAnsi="Garamond" w:cs="Garamond"/>
                <w:b/>
                <w:bCs/>
                <w:sz w:val="22"/>
                <w:szCs w:val="22"/>
                <w:lang w:val="en-GB"/>
              </w:rPr>
              <w:t>пункта</w:t>
            </w:r>
          </w:p>
        </w:tc>
        <w:tc>
          <w:tcPr>
            <w:tcW w:w="2319" w:type="pct"/>
            <w:tcBorders>
              <w:top w:val="single" w:sz="4" w:space="0" w:color="auto"/>
              <w:left w:val="single" w:sz="4" w:space="0" w:color="auto"/>
              <w:bottom w:val="single" w:sz="4" w:space="0" w:color="auto"/>
              <w:right w:val="single" w:sz="4" w:space="0" w:color="auto"/>
            </w:tcBorders>
            <w:vAlign w:val="center"/>
            <w:hideMark/>
          </w:tcPr>
          <w:p w:rsidR="005B0E5D" w:rsidRPr="00417274" w:rsidRDefault="00AD70DD">
            <w:pPr>
              <w:jc w:val="center"/>
              <w:rPr>
                <w:rFonts w:ascii="Garamond" w:hAnsi="Garamond" w:cs="Garamond"/>
                <w:b/>
                <w:bCs/>
                <w:sz w:val="22"/>
                <w:szCs w:val="22"/>
              </w:rPr>
            </w:pPr>
            <w:r w:rsidRPr="00417274">
              <w:rPr>
                <w:rFonts w:ascii="Garamond" w:hAnsi="Garamond" w:cs="Garamond"/>
                <w:b/>
                <w:bCs/>
                <w:sz w:val="22"/>
                <w:szCs w:val="22"/>
              </w:rPr>
              <w:t>Редакция, действующая на момент</w:t>
            </w:r>
          </w:p>
          <w:p w:rsidR="005B0E5D" w:rsidRPr="00417274" w:rsidRDefault="00AD70DD">
            <w:pPr>
              <w:jc w:val="center"/>
              <w:rPr>
                <w:rFonts w:ascii="Garamond" w:hAnsi="Garamond" w:cs="Garamond"/>
                <w:b/>
                <w:bCs/>
                <w:sz w:val="22"/>
                <w:szCs w:val="22"/>
              </w:rPr>
            </w:pPr>
            <w:r w:rsidRPr="00417274">
              <w:rPr>
                <w:rFonts w:ascii="Garamond" w:hAnsi="Garamond" w:cs="Garamond"/>
                <w:b/>
                <w:bCs/>
                <w:sz w:val="22"/>
                <w:szCs w:val="22"/>
              </w:rPr>
              <w:t xml:space="preserve"> вступления в силу изменений</w:t>
            </w:r>
          </w:p>
        </w:tc>
        <w:tc>
          <w:tcPr>
            <w:tcW w:w="2329" w:type="pct"/>
            <w:gridSpan w:val="2"/>
            <w:tcBorders>
              <w:top w:val="single" w:sz="4" w:space="0" w:color="auto"/>
              <w:left w:val="single" w:sz="4" w:space="0" w:color="auto"/>
              <w:bottom w:val="single" w:sz="4" w:space="0" w:color="auto"/>
              <w:right w:val="single" w:sz="4" w:space="0" w:color="auto"/>
            </w:tcBorders>
            <w:vAlign w:val="center"/>
            <w:hideMark/>
          </w:tcPr>
          <w:p w:rsidR="005B0E5D" w:rsidRPr="00417274" w:rsidRDefault="00AD70DD">
            <w:pPr>
              <w:jc w:val="center"/>
              <w:rPr>
                <w:rFonts w:ascii="Garamond" w:hAnsi="Garamond" w:cs="Garamond"/>
                <w:b/>
                <w:bCs/>
                <w:sz w:val="22"/>
                <w:szCs w:val="22"/>
              </w:rPr>
            </w:pPr>
            <w:r w:rsidRPr="00417274">
              <w:rPr>
                <w:rFonts w:ascii="Garamond" w:hAnsi="Garamond" w:cs="Garamond"/>
                <w:b/>
                <w:bCs/>
                <w:sz w:val="22"/>
                <w:szCs w:val="22"/>
              </w:rPr>
              <w:t>Предлагаемая редакция</w:t>
            </w:r>
          </w:p>
          <w:p w:rsidR="005B0E5D" w:rsidRPr="00417274" w:rsidRDefault="00AD70DD">
            <w:pPr>
              <w:jc w:val="center"/>
              <w:rPr>
                <w:rFonts w:ascii="Garamond" w:hAnsi="Garamond" w:cs="Garamond"/>
                <w:sz w:val="22"/>
                <w:szCs w:val="22"/>
              </w:rPr>
            </w:pPr>
            <w:r w:rsidRPr="00417274">
              <w:rPr>
                <w:rFonts w:ascii="Garamond" w:hAnsi="Garamond" w:cs="Garamond"/>
                <w:sz w:val="22"/>
                <w:szCs w:val="22"/>
              </w:rPr>
              <w:t>(изменения выделены цветом)</w:t>
            </w:r>
          </w:p>
        </w:tc>
      </w:tr>
      <w:tr w:rsidR="005B0E5D" w:rsidRPr="00417274" w:rsidTr="00A052DE">
        <w:trPr>
          <w:trHeight w:val="345"/>
        </w:trPr>
        <w:tc>
          <w:tcPr>
            <w:tcW w:w="352" w:type="pct"/>
            <w:tcBorders>
              <w:top w:val="single" w:sz="4" w:space="0" w:color="auto"/>
              <w:left w:val="single" w:sz="4" w:space="0" w:color="auto"/>
              <w:bottom w:val="single" w:sz="4" w:space="0" w:color="auto"/>
              <w:right w:val="single" w:sz="4" w:space="0" w:color="auto"/>
            </w:tcBorders>
          </w:tcPr>
          <w:p w:rsidR="005B0E5D" w:rsidRPr="00417274" w:rsidRDefault="00AD70DD">
            <w:pPr>
              <w:spacing w:before="180"/>
              <w:jc w:val="center"/>
              <w:rPr>
                <w:rFonts w:ascii="Garamond" w:hAnsi="Garamond" w:cs="Garamond"/>
                <w:b/>
                <w:bCs/>
                <w:sz w:val="22"/>
                <w:szCs w:val="22"/>
              </w:rPr>
            </w:pPr>
            <w:r w:rsidRPr="00417274">
              <w:rPr>
                <w:rFonts w:ascii="Garamond" w:hAnsi="Garamond" w:cs="Garamond"/>
                <w:b/>
                <w:bCs/>
                <w:sz w:val="22"/>
                <w:szCs w:val="22"/>
              </w:rPr>
              <w:t>4.2.1</w:t>
            </w:r>
          </w:p>
        </w:tc>
        <w:tc>
          <w:tcPr>
            <w:tcW w:w="2324" w:type="pct"/>
            <w:gridSpan w:val="2"/>
            <w:tcBorders>
              <w:top w:val="single" w:sz="4" w:space="0" w:color="auto"/>
              <w:left w:val="single" w:sz="4" w:space="0" w:color="auto"/>
              <w:bottom w:val="single" w:sz="4" w:space="0" w:color="auto"/>
              <w:right w:val="single" w:sz="4" w:space="0" w:color="auto"/>
            </w:tcBorders>
          </w:tcPr>
          <w:p w:rsidR="005B0E5D" w:rsidRPr="00417274" w:rsidRDefault="00AD70DD" w:rsidP="000933D0">
            <w:pPr>
              <w:numPr>
                <w:ilvl w:val="2"/>
                <w:numId w:val="35"/>
              </w:numPr>
              <w:suppressAutoHyphens/>
              <w:spacing w:before="120" w:after="120"/>
              <w:ind w:left="0" w:firstLine="709"/>
              <w:jc w:val="both"/>
              <w:rPr>
                <w:rFonts w:ascii="Garamond" w:eastAsia="Batang" w:hAnsi="Garamond" w:cs="Garamond"/>
                <w:sz w:val="22"/>
                <w:szCs w:val="22"/>
                <w:lang w:eastAsia="ar-SA"/>
              </w:rPr>
            </w:pPr>
            <w:r w:rsidRPr="00417274">
              <w:rPr>
                <w:rFonts w:ascii="Garamond" w:eastAsia="Batang" w:hAnsi="Garamond" w:cs="Garamond"/>
                <w:sz w:val="22"/>
                <w:szCs w:val="22"/>
                <w:lang w:eastAsia="ar-SA"/>
              </w:rPr>
              <w:t>В целях проведения ОПВ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lastRenderedPageBreak/>
              <w:t>заявка соответствует форме, указанной в приложении 1.1 к настоящему Регламенту;</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подлинность ЭП заявки подтверждена в соответствии с </w:t>
            </w:r>
            <w:r w:rsidRPr="00417274">
              <w:rPr>
                <w:rFonts w:ascii="Garamond" w:eastAsia="Batang" w:hAnsi="Garamond"/>
                <w:i/>
                <w:sz w:val="22"/>
                <w:szCs w:val="22"/>
                <w:lang w:eastAsia="ar-SA"/>
              </w:rPr>
              <w:t xml:space="preserve">Соглашением о применении электронной подписи в торговой системе оптового рынка </w:t>
            </w:r>
            <w:r w:rsidRPr="00417274">
              <w:rPr>
                <w:rFonts w:ascii="Garamond" w:eastAsia="Batang" w:hAnsi="Garamond"/>
                <w:sz w:val="22"/>
                <w:szCs w:val="22"/>
                <w:lang w:eastAsia="ar-SA"/>
              </w:rPr>
              <w:t xml:space="preserve">(Приложение № Д 7 к </w:t>
            </w:r>
            <w:r w:rsidRPr="00417274">
              <w:rPr>
                <w:rFonts w:ascii="Garamond" w:eastAsia="Batang" w:hAnsi="Garamond"/>
                <w:i/>
                <w:sz w:val="22"/>
                <w:szCs w:val="22"/>
                <w:lang w:eastAsia="ar-SA"/>
              </w:rPr>
              <w:t>Договору о присоединении к торговой системе оптового рынка</w:t>
            </w:r>
            <w:r w:rsidRPr="00417274">
              <w:rPr>
                <w:rFonts w:ascii="Garamond" w:eastAsia="Batang" w:hAnsi="Garamond"/>
                <w:sz w:val="22"/>
                <w:szCs w:val="22"/>
                <w:lang w:eastAsia="ar-SA"/>
              </w:rPr>
              <w:t>);</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все предусмотренные настоящим Регламентом значения параметров и данные заявлены;</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значения заявленных параметров соответствуют допустимому формату и размерности;</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заявка подана с соблюдением предусмотренного пунктом 4.1.4 настоящего Регламента срока;</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значение плановой величины капитальных затрат на 1 кВт установленной мощности, указанной в заявке в соответствии с подпунктом </w:t>
            </w:r>
            <w:r w:rsidRPr="00417274">
              <w:rPr>
                <w:rFonts w:ascii="Garamond" w:eastAsia="Batang" w:hAnsi="Garamond" w:cs="Garamond"/>
                <w:sz w:val="22"/>
                <w:szCs w:val="22"/>
                <w:lang w:eastAsia="ar-SA"/>
              </w:rPr>
              <w:t xml:space="preserve">9 </w:t>
            </w:r>
            <w:r w:rsidRPr="00417274">
              <w:rPr>
                <w:rFonts w:ascii="Garamond" w:eastAsia="Batang" w:hAnsi="Garamond"/>
                <w:sz w:val="22"/>
                <w:szCs w:val="22"/>
                <w:lang w:eastAsia="ar-SA"/>
              </w:rPr>
              <w:t xml:space="preserve">пункта 4.1.3 настоящего Регламента, не превышает предельной величины капитальных затрат на возведение 1 кВт установленной мощности генерирующего объекта, определенной </w:t>
            </w:r>
            <w:r w:rsidRPr="00417274">
              <w:rPr>
                <w:rFonts w:ascii="Garamond" w:eastAsia="Batang" w:hAnsi="Garamond"/>
                <w:sz w:val="22"/>
                <w:szCs w:val="22"/>
              </w:rPr>
              <w:t>в соответствии с приложением 17 к настоящему Регламенту</w:t>
            </w:r>
            <w:r w:rsidRPr="00417274">
              <w:rPr>
                <w:rFonts w:ascii="Garamond" w:eastAsia="Batang" w:hAnsi="Garamond"/>
                <w:sz w:val="22"/>
                <w:szCs w:val="22"/>
                <w:lang w:eastAsia="ar-SA"/>
              </w:rPr>
              <w:t xml:space="preserve">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w:t>
            </w:r>
            <w:r w:rsidRPr="00417274">
              <w:rPr>
                <w:rFonts w:ascii="Garamond" w:eastAsia="Batang" w:hAnsi="Garamond" w:cs="Garamond"/>
                <w:sz w:val="22"/>
                <w:szCs w:val="22"/>
                <w:lang w:eastAsia="ar-SA"/>
              </w:rPr>
              <w:t xml:space="preserve">11 </w:t>
            </w:r>
            <w:r w:rsidRPr="00417274">
              <w:rPr>
                <w:rFonts w:ascii="Garamond" w:eastAsia="Batang" w:hAnsi="Garamond"/>
                <w:sz w:val="22"/>
                <w:szCs w:val="22"/>
                <w:lang w:eastAsia="ar-SA"/>
              </w:rPr>
              <w:t>пункта 4.1.3 настоящего Регламента;</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в случае подачи заявки в отношении объекта ВИЭ, в отношении которого в КО уже поступила заявка</w:t>
            </w:r>
            <w:r w:rsidRPr="00417274">
              <w:rPr>
                <w:rFonts w:ascii="Garamond" w:eastAsia="Batang" w:hAnsi="Garamond" w:cs="Garamond"/>
                <w:sz w:val="22"/>
                <w:szCs w:val="22"/>
                <w:lang w:eastAsia="ar-SA"/>
              </w:rPr>
              <w:t xml:space="preserve"> (далее – предыдущая заявка), – </w:t>
            </w:r>
            <w:r w:rsidRPr="00417274">
              <w:rPr>
                <w:rFonts w:ascii="Garamond" w:eastAsia="Batang" w:hAnsi="Garamond"/>
                <w:sz w:val="22"/>
                <w:szCs w:val="22"/>
                <w:lang w:eastAsia="ar-SA"/>
              </w:rPr>
              <w:t xml:space="preserve">значение плановой величины капитальных затрат на 1 кВт установленной мощности объекта ВИЭ, указанное в заявке в соответствии с подпунктом </w:t>
            </w:r>
            <w:r w:rsidRPr="00417274">
              <w:rPr>
                <w:rFonts w:ascii="Garamond" w:eastAsia="Batang" w:hAnsi="Garamond" w:cs="Garamond"/>
                <w:sz w:val="22"/>
                <w:szCs w:val="22"/>
                <w:lang w:eastAsia="ar-SA"/>
              </w:rPr>
              <w:t xml:space="preserve">9 </w:t>
            </w:r>
            <w:r w:rsidRPr="00417274">
              <w:rPr>
                <w:rFonts w:ascii="Garamond" w:eastAsia="Batang" w:hAnsi="Garamond"/>
                <w:sz w:val="22"/>
                <w:szCs w:val="22"/>
                <w:lang w:eastAsia="ar-SA"/>
              </w:rPr>
              <w:t xml:space="preserve">пункта 4.1.3 настоящего Регламента, не превышает значение данного параметра, указанного в </w:t>
            </w:r>
            <w:r w:rsidRPr="00417274">
              <w:rPr>
                <w:rFonts w:ascii="Garamond" w:eastAsia="Batang" w:hAnsi="Garamond" w:cs="Garamond"/>
                <w:sz w:val="22"/>
                <w:szCs w:val="22"/>
                <w:lang w:eastAsia="ar-SA"/>
              </w:rPr>
              <w:t xml:space="preserve">предыдущей </w:t>
            </w:r>
            <w:r w:rsidRPr="00417274">
              <w:rPr>
                <w:rFonts w:ascii="Garamond" w:eastAsia="Batang" w:hAnsi="Garamond"/>
                <w:sz w:val="22"/>
                <w:szCs w:val="22"/>
                <w:lang w:eastAsia="ar-SA"/>
              </w:rPr>
              <w:t>заявке;</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указанный в заявке в соответствии с подпунктом </w:t>
            </w:r>
            <w:r w:rsidRPr="00417274">
              <w:rPr>
                <w:rFonts w:ascii="Garamond" w:eastAsia="Batang" w:hAnsi="Garamond" w:cs="Garamond"/>
                <w:sz w:val="22"/>
                <w:szCs w:val="22"/>
                <w:lang w:eastAsia="ar-SA"/>
              </w:rPr>
              <w:t xml:space="preserve">6 </w:t>
            </w:r>
            <w:r w:rsidRPr="00417274">
              <w:rPr>
                <w:rFonts w:ascii="Garamond" w:eastAsia="Batang" w:hAnsi="Garamond"/>
                <w:sz w:val="22"/>
                <w:szCs w:val="22"/>
                <w:lang w:eastAsia="ar-SA"/>
              </w:rPr>
              <w:t>пункта 4.1.3 настоящего Регламента плановый объем установленной мощности объекта ВИЭ составляет не менее 5 МВт;</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указанный в заявке, поданной в отношении генерирующего объекта гидрогенерации, в соответствии с подпунктом </w:t>
            </w:r>
            <w:r w:rsidRPr="00417274">
              <w:rPr>
                <w:rFonts w:ascii="Garamond" w:eastAsia="Batang" w:hAnsi="Garamond" w:cs="Garamond"/>
                <w:sz w:val="22"/>
                <w:szCs w:val="22"/>
                <w:lang w:eastAsia="ar-SA"/>
              </w:rPr>
              <w:t xml:space="preserve">6 </w:t>
            </w:r>
            <w:r w:rsidRPr="00417274">
              <w:rPr>
                <w:rFonts w:ascii="Garamond" w:eastAsia="Batang" w:hAnsi="Garamond"/>
                <w:sz w:val="22"/>
                <w:szCs w:val="22"/>
                <w:lang w:eastAsia="ar-SA"/>
              </w:rPr>
              <w:t>пункта 4.1.3 настоящего Регламента плановый объем установленной мощности объекта ВИЭ составляет менее 25 МВт;</w:t>
            </w:r>
          </w:p>
          <w:p w:rsidR="005B0E5D" w:rsidRPr="00417274" w:rsidRDefault="00AD70DD" w:rsidP="000933D0">
            <w:pPr>
              <w:numPr>
                <w:ilvl w:val="0"/>
                <w:numId w:val="34"/>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lastRenderedPageBreak/>
              <w:t xml:space="preserve"> значение указанного в заявке в соответствии с подпунктом 10</w:t>
            </w:r>
            <w:r w:rsidRPr="00417274">
              <w:rPr>
                <w:rFonts w:ascii="Garamond" w:eastAsia="Batang" w:hAnsi="Garamond" w:cs="Garamond"/>
                <w:sz w:val="22"/>
                <w:szCs w:val="22"/>
                <w:lang w:eastAsia="ar-SA"/>
              </w:rPr>
              <w:t xml:space="preserve"> </w:t>
            </w:r>
            <w:r w:rsidRPr="00417274">
              <w:rPr>
                <w:rFonts w:ascii="Garamond" w:eastAsia="Batang" w:hAnsi="Garamond"/>
                <w:sz w:val="22"/>
                <w:szCs w:val="22"/>
                <w:lang w:eastAsia="ar-SA"/>
              </w:rPr>
              <w:t>пункта 4.1.3 настоящего Регламента планового показателя локализации производства генерирующего оборудования объекта ВИЭ равно или превышает значение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опубликованное в соответствии с подпунктом «в» пункта 3.3 настоящего Регламента;</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участник ОПВ является участником оптового рынка электрической энергии и мощности, при этом указанный в заявке в соответствии с подпунктом 3 пункта 4.1.3 настоящего Регламента регистрационный номер участника ОПВ в Реестре субъектов оптового рынка присвоен организации, уникальный код которой указан в заявке в соответствии с подпунктом 2 пункта 4.1.3 настоящего Регламента;</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участник ОПВ, полное наименование которого указано в заявке в соответствии с подпунктом 2 пункта 4.1.3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417274">
              <w:rPr>
                <w:rFonts w:ascii="Garamond" w:eastAsia="Batang" w:hAnsi="Garamond"/>
                <w:i/>
                <w:sz w:val="22"/>
                <w:szCs w:val="22"/>
                <w:lang w:eastAsia="ar-SA"/>
              </w:rPr>
              <w:t>Договором о присоединении к торговой системе оптового рынка</w:t>
            </w:r>
            <w:r w:rsidRPr="00417274">
              <w:rPr>
                <w:rFonts w:ascii="Garamond" w:eastAsia="Batang" w:hAnsi="Garamond"/>
                <w:sz w:val="22"/>
                <w:szCs w:val="22"/>
                <w:lang w:eastAsia="ar-SA"/>
              </w:rPr>
              <w:t>, а также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en-US"/>
              </w:rPr>
              <w:t>в отношении указанной в заявке в соответствии с подпунктом 8 пункта 4.1.3 настоящего Регламента условной ГТП, зарегистрированной в отношении объектов ВИЭ, по состоянию на последний рабочий день, предшествующий дате начала срока подачи заявок, Правлением КО принято решение о предоставлении права участия в торговле электроэнергией и (или) мощностью на оптовом рынке;</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территория, указанная в заявке в соответствии с подпунктом 7</w:t>
            </w:r>
            <w:r w:rsidRPr="00417274">
              <w:rPr>
                <w:rFonts w:ascii="Garamond" w:eastAsia="Batang" w:hAnsi="Garamond" w:cs="Garamond"/>
                <w:sz w:val="22"/>
                <w:szCs w:val="22"/>
                <w:lang w:eastAsia="ar-SA"/>
              </w:rPr>
              <w:t xml:space="preserve"> </w:t>
            </w:r>
            <w:r w:rsidRPr="00417274">
              <w:rPr>
                <w:rFonts w:ascii="Garamond" w:eastAsia="Batang" w:hAnsi="Garamond"/>
                <w:sz w:val="22"/>
                <w:szCs w:val="22"/>
                <w:lang w:eastAsia="ar-SA"/>
              </w:rPr>
              <w:t>пункта 4.1.3 настоящего Регламента, относится к одной из территорий, объединенных в соответствии с Правилами оптового рынка в ценовые зоны оптового рынка электрической энергии и мощности;</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в отношении объекта ВИЭ, код ГТП которого указан в заявке, по состоянию на дату начала срока подачи заявок зарегистрирована генерирующая единица мощности (ГЕМ);</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lastRenderedPageBreak/>
              <w:t xml:space="preserve">указанный в заявке, поданной в отношении генерирующего объекта в соответствии с подпунктом </w:t>
            </w:r>
            <w:r w:rsidRPr="00417274">
              <w:rPr>
                <w:rFonts w:ascii="Garamond" w:eastAsia="Batang" w:hAnsi="Garamond" w:cs="Garamond"/>
                <w:sz w:val="22"/>
                <w:szCs w:val="22"/>
                <w:lang w:eastAsia="ar-SA"/>
              </w:rPr>
              <w:t xml:space="preserve">6 </w:t>
            </w:r>
            <w:r w:rsidRPr="00417274">
              <w:rPr>
                <w:rFonts w:ascii="Garamond" w:eastAsia="Batang" w:hAnsi="Garamond"/>
                <w:sz w:val="22"/>
                <w:szCs w:val="22"/>
                <w:lang w:eastAsia="ar-SA"/>
              </w:rPr>
              <w:t xml:space="preserve">пункта 4.1.3 настоящего Регламента, плановый объем установленной мощности объекта ВИЭ не превышает произведение 1,1 и значений планового объема мощности объектов ВИЭ соответствующего вида, необходимой к отбору на год </w:t>
            </w:r>
            <w:r w:rsidRPr="00417274">
              <w:rPr>
                <w:rFonts w:ascii="Garamond" w:eastAsia="Batang" w:hAnsi="Garamond"/>
                <w:i/>
                <w:sz w:val="22"/>
                <w:szCs w:val="22"/>
                <w:lang w:eastAsia="ar-SA"/>
              </w:rPr>
              <w:t>X+k</w:t>
            </w:r>
            <w:r w:rsidRPr="00417274">
              <w:rPr>
                <w:rFonts w:ascii="Garamond" w:eastAsia="Batang" w:hAnsi="Garamond"/>
                <w:sz w:val="22"/>
                <w:szCs w:val="22"/>
                <w:lang w:eastAsia="ar-SA"/>
              </w:rPr>
              <w:t xml:space="preserve">, указанный в заявке, поданной в отношении генерирующего объекта, в соответствии с подпунктом </w:t>
            </w:r>
            <w:r w:rsidRPr="00417274">
              <w:rPr>
                <w:rFonts w:ascii="Garamond" w:eastAsia="Batang" w:hAnsi="Garamond" w:cs="Garamond"/>
                <w:sz w:val="22"/>
                <w:szCs w:val="22"/>
                <w:lang w:eastAsia="ar-SA"/>
              </w:rPr>
              <w:t xml:space="preserve">11 </w:t>
            </w:r>
            <w:r w:rsidRPr="00417274">
              <w:rPr>
                <w:rFonts w:ascii="Garamond" w:eastAsia="Batang" w:hAnsi="Garamond"/>
                <w:sz w:val="22"/>
                <w:szCs w:val="22"/>
                <w:lang w:eastAsia="ar-SA"/>
              </w:rPr>
              <w:t>пункта 4.1.3 настоящего Регламента;</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rsidR="005B0E5D" w:rsidRPr="00417274" w:rsidRDefault="00AD70DD" w:rsidP="000933D0">
            <w:pPr>
              <w:suppressAutoHyphens/>
              <w:spacing w:before="120" w:after="120"/>
              <w:ind w:firstLine="709"/>
              <w:jc w:val="both"/>
              <w:rPr>
                <w:rFonts w:ascii="Garamond" w:eastAsia="Batang" w:hAnsi="Garamond"/>
                <w:sz w:val="22"/>
                <w:szCs w:val="22"/>
                <w:lang w:eastAsia="ar-SA"/>
              </w:rPr>
            </w:pPr>
            <w:r w:rsidRPr="00417274">
              <w:rPr>
                <w:rFonts w:ascii="Garamond" w:eastAsia="Batang" w:hAnsi="Garamond"/>
                <w:sz w:val="22"/>
                <w:szCs w:val="22"/>
                <w:lang w:eastAsia="ar-SA"/>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5B0E5D" w:rsidRPr="00417274" w:rsidRDefault="00AD70DD" w:rsidP="000933D0">
            <w:pPr>
              <w:suppressAutoHyphens/>
              <w:spacing w:before="120" w:after="120"/>
              <w:ind w:firstLine="709"/>
              <w:jc w:val="both"/>
              <w:rPr>
                <w:rFonts w:ascii="Garamond" w:eastAsia="Batang" w:hAnsi="Garamond"/>
                <w:sz w:val="22"/>
                <w:szCs w:val="22"/>
                <w:lang w:eastAsia="ar-SA"/>
              </w:rPr>
            </w:pPr>
            <w:r w:rsidRPr="00417274">
              <w:rPr>
                <w:rFonts w:ascii="Garamond" w:eastAsia="Batang" w:hAnsi="Garamond"/>
                <w:sz w:val="22"/>
                <w:szCs w:val="22"/>
                <w:lang w:eastAsia="ar-SA"/>
              </w:rPr>
              <w:lastRenderedPageBreak/>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 участником ОПВ заключено Соглашение </w:t>
            </w:r>
            <w:r w:rsidRPr="00417274">
              <w:rPr>
                <w:rFonts w:ascii="Garamond" w:eastAsia="Batang" w:hAnsi="Garamond"/>
                <w:color w:val="000000"/>
                <w:sz w:val="22"/>
                <w:szCs w:val="22"/>
                <w:lang w:eastAsia="ar-SA"/>
              </w:rPr>
              <w:t xml:space="preserve">об оплате штрафов по ДПМ ВИЭ </w:t>
            </w:r>
            <w:r w:rsidRPr="00417274">
              <w:rPr>
                <w:rFonts w:ascii="Garamond" w:eastAsia="Batang" w:hAnsi="Garamond"/>
                <w:iCs/>
                <w:sz w:val="22"/>
                <w:szCs w:val="22"/>
                <w:lang w:eastAsia="en-US"/>
              </w:rPr>
              <w:t xml:space="preserve">по форме, установленной Приложением № Д 6.6 к </w:t>
            </w:r>
            <w:r w:rsidRPr="00417274">
              <w:rPr>
                <w:rFonts w:ascii="Garamond" w:eastAsia="Batang" w:hAnsi="Garamond"/>
                <w:i/>
                <w:iCs/>
                <w:sz w:val="22"/>
                <w:szCs w:val="22"/>
                <w:lang w:eastAsia="en-US"/>
              </w:rPr>
              <w:t>Договору о присоединении к торговой системе оптового рынка</w:t>
            </w:r>
            <w:r w:rsidRPr="00417274">
              <w:rPr>
                <w:rFonts w:ascii="Garamond" w:eastAsia="Batang" w:hAnsi="Garamond"/>
                <w:color w:val="000000"/>
                <w:sz w:val="22"/>
                <w:szCs w:val="22"/>
                <w:lang w:eastAsia="ar-SA"/>
              </w:rPr>
              <w:t xml:space="preserve">, </w:t>
            </w:r>
            <w:r w:rsidRPr="00417274">
              <w:rPr>
                <w:rFonts w:ascii="Garamond" w:eastAsia="Batang" w:hAnsi="Garamond"/>
                <w:sz w:val="22"/>
                <w:szCs w:val="22"/>
                <w:lang w:eastAsia="ar-SA"/>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уведомление (извещение) об открытии аккредитива </w:t>
            </w:r>
            <w:r w:rsidRPr="00417274">
              <w:rPr>
                <w:rFonts w:ascii="Garamond" w:eastAsia="Batang" w:hAnsi="Garamond" w:cs="Garamond"/>
                <w:sz w:val="22"/>
                <w:szCs w:val="22"/>
                <w:lang w:val="x-none" w:eastAsia="ar-SA"/>
              </w:rPr>
              <w:t>был</w:t>
            </w:r>
            <w:r w:rsidRPr="00417274">
              <w:rPr>
                <w:rFonts w:ascii="Garamond" w:eastAsia="Batang" w:hAnsi="Garamond" w:cs="Garamond"/>
                <w:sz w:val="22"/>
                <w:szCs w:val="22"/>
                <w:lang w:eastAsia="ar-SA"/>
              </w:rPr>
              <w:t>о</w:t>
            </w:r>
            <w:r w:rsidRPr="00417274">
              <w:rPr>
                <w:rFonts w:ascii="Garamond" w:eastAsia="Batang" w:hAnsi="Garamond" w:cs="Garamond"/>
                <w:sz w:val="22"/>
                <w:szCs w:val="22"/>
                <w:lang w:val="x-none" w:eastAsia="ar-SA"/>
              </w:rPr>
              <w:t xml:space="preserve"> получен</w:t>
            </w:r>
            <w:r w:rsidRPr="00417274">
              <w:rPr>
                <w:rFonts w:ascii="Garamond" w:eastAsia="Batang" w:hAnsi="Garamond" w:cs="Garamond"/>
                <w:sz w:val="22"/>
                <w:szCs w:val="22"/>
                <w:lang w:eastAsia="ar-SA"/>
              </w:rPr>
              <w:t xml:space="preserve">о ЦФР от </w:t>
            </w:r>
            <w:r w:rsidRPr="00417274">
              <w:rPr>
                <w:rFonts w:ascii="Garamond" w:eastAsia="Batang" w:hAnsi="Garamond" w:cs="Garamond"/>
                <w:sz w:val="22"/>
                <w:szCs w:val="22"/>
                <w:lang w:val="x-none" w:eastAsia="ar-SA"/>
              </w:rPr>
              <w:t>банк</w:t>
            </w:r>
            <w:r w:rsidRPr="00417274">
              <w:rPr>
                <w:rFonts w:ascii="Garamond" w:eastAsia="Batang" w:hAnsi="Garamond" w:cs="Garamond"/>
                <w:sz w:val="22"/>
                <w:szCs w:val="22"/>
                <w:lang w:eastAsia="ar-SA"/>
              </w:rPr>
              <w:t xml:space="preserve">а </w:t>
            </w:r>
            <w:r w:rsidRPr="00417274">
              <w:rPr>
                <w:rFonts w:ascii="Garamond" w:eastAsia="Batang" w:hAnsi="Garamond" w:cs="Garamond"/>
                <w:sz w:val="22"/>
                <w:szCs w:val="22"/>
                <w:lang w:val="x-none" w:eastAsia="ar-SA"/>
              </w:rPr>
              <w:t xml:space="preserve">получателя средств не позднее </w:t>
            </w:r>
            <w:r w:rsidRPr="00417274">
              <w:rPr>
                <w:rFonts w:ascii="Garamond" w:eastAsia="Batang" w:hAnsi="Garamond" w:cs="Garamond"/>
                <w:sz w:val="22"/>
                <w:szCs w:val="22"/>
                <w:lang w:eastAsia="ar-SA"/>
              </w:rPr>
              <w:t>чем за 8 рабочих дней до даты начала срока подачи заявок.</w:t>
            </w:r>
          </w:p>
          <w:p w:rsidR="005B0E5D" w:rsidRPr="00417274" w:rsidRDefault="00AD70DD" w:rsidP="000933D0">
            <w:pPr>
              <w:keepNext/>
              <w:keepLines/>
              <w:suppressAutoHyphens/>
              <w:spacing w:before="120" w:after="120"/>
              <w:ind w:firstLine="709"/>
              <w:jc w:val="both"/>
              <w:outlineLvl w:val="3"/>
              <w:rPr>
                <w:rFonts w:ascii="Garamond" w:eastAsia="Batang" w:hAnsi="Garamond" w:cs="Garamond"/>
                <w:iCs/>
                <w:sz w:val="22"/>
                <w:szCs w:val="22"/>
                <w:lang w:eastAsia="en-US"/>
              </w:rPr>
            </w:pPr>
            <w:r w:rsidRPr="00417274">
              <w:rPr>
                <w:rFonts w:ascii="Garamond" w:eastAsia="Batang" w:hAnsi="Garamond" w:cs="Garamond"/>
                <w:iCs/>
                <w:sz w:val="22"/>
                <w:szCs w:val="22"/>
                <w:lang w:eastAsia="en-US"/>
              </w:rPr>
              <w:lastRenderedPageBreak/>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5B0E5D" w:rsidRPr="00417274" w:rsidRDefault="00AD70DD" w:rsidP="000933D0">
            <w:pPr>
              <w:keepNext/>
              <w:keepLines/>
              <w:suppressAutoHyphens/>
              <w:spacing w:before="120" w:after="120"/>
              <w:ind w:firstLine="709"/>
              <w:jc w:val="both"/>
              <w:outlineLvl w:val="3"/>
              <w:rPr>
                <w:rFonts w:ascii="Garamond" w:eastAsia="Batang" w:hAnsi="Garamond" w:cs="Garamond"/>
                <w:iCs/>
                <w:sz w:val="22"/>
                <w:szCs w:val="22"/>
                <w:lang w:eastAsia="en-US"/>
              </w:rPr>
            </w:pPr>
            <w:r w:rsidRPr="00417274">
              <w:rPr>
                <w:rFonts w:ascii="Garamond" w:eastAsia="Batang" w:hAnsi="Garamond" w:cs="Garamond"/>
                <w:iCs/>
                <w:sz w:val="22"/>
                <w:szCs w:val="22"/>
                <w:lang w:eastAsia="en-US"/>
              </w:rPr>
              <w:t xml:space="preserve">– участником ОПВ заключено Соглашение об оплате штрафов по ДПМ ВИЭ по форме, установленной Приложением № Д 6.14 к </w:t>
            </w:r>
            <w:r w:rsidRPr="00417274">
              <w:rPr>
                <w:rFonts w:ascii="Garamond" w:eastAsia="Batang" w:hAnsi="Garamond" w:cs="Garamond"/>
                <w:i/>
                <w:iCs/>
                <w:sz w:val="22"/>
                <w:szCs w:val="22"/>
                <w:lang w:eastAsia="en-US"/>
              </w:rPr>
              <w:t>Договору о присоединении к торговой системе оптового рынка</w:t>
            </w:r>
            <w:r w:rsidRPr="00417274">
              <w:rPr>
                <w:rFonts w:ascii="Garamond" w:eastAsia="Batang" w:hAnsi="Garamond" w:cs="Garamond"/>
                <w:iCs/>
                <w:sz w:val="22"/>
                <w:szCs w:val="22"/>
                <w:lang w:eastAsia="en-US"/>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5B0E5D" w:rsidRPr="00417274" w:rsidRDefault="00AD70DD" w:rsidP="000933D0">
            <w:pPr>
              <w:keepNext/>
              <w:keepLines/>
              <w:suppressAutoHyphens/>
              <w:spacing w:before="120" w:after="120"/>
              <w:ind w:firstLine="709"/>
              <w:jc w:val="both"/>
              <w:outlineLvl w:val="3"/>
              <w:rPr>
                <w:rFonts w:ascii="Garamond" w:eastAsia="Batang" w:hAnsi="Garamond" w:cs="Garamond"/>
                <w:iCs/>
                <w:sz w:val="22"/>
                <w:szCs w:val="22"/>
                <w:lang w:eastAsia="en-US"/>
              </w:rPr>
            </w:pPr>
            <w:r w:rsidRPr="00417274">
              <w:rPr>
                <w:rFonts w:ascii="Garamond" w:eastAsia="Batang" w:hAnsi="Garamond" w:cs="Garamond"/>
                <w:iCs/>
                <w:sz w:val="22"/>
                <w:szCs w:val="22"/>
                <w:lang w:eastAsia="en-US"/>
              </w:rPr>
              <w:t>– ЦФР получена банковская гарантия, соответствующая требованиям, указанным в пункте 7.7 настоящего Регламента;</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en-US"/>
              </w:rPr>
              <w:t xml:space="preserve">– банковская гарантия получена </w:t>
            </w:r>
            <w:r w:rsidRPr="00417274">
              <w:rPr>
                <w:rFonts w:ascii="Garamond" w:eastAsia="Batang" w:hAnsi="Garamond" w:cs="Garamond"/>
                <w:sz w:val="22"/>
                <w:szCs w:val="22"/>
                <w:lang w:val="x-none" w:eastAsia="en-US"/>
              </w:rPr>
              <w:t xml:space="preserve">не позднее </w:t>
            </w:r>
            <w:r w:rsidRPr="00417274">
              <w:rPr>
                <w:rFonts w:ascii="Garamond" w:eastAsia="Batang" w:hAnsi="Garamond" w:cs="Garamond"/>
                <w:sz w:val="22"/>
                <w:szCs w:val="22"/>
                <w:lang w:eastAsia="en-US"/>
              </w:rPr>
              <w:t>чем за 8 рабочих дней до даты начала срока подачи</w:t>
            </w:r>
            <w:r w:rsidR="0051274B" w:rsidRPr="00417274">
              <w:rPr>
                <w:rFonts w:ascii="Garamond" w:eastAsia="Batang" w:hAnsi="Garamond" w:cs="Garamond"/>
                <w:sz w:val="22"/>
                <w:szCs w:val="22"/>
                <w:lang w:eastAsia="en-US"/>
              </w:rPr>
              <w:t xml:space="preserve"> заявок</w:t>
            </w:r>
            <w:r w:rsidRPr="00417274">
              <w:rPr>
                <w:rFonts w:ascii="Garamond" w:eastAsia="Batang" w:hAnsi="Garamond" w:cs="Garamond"/>
                <w:sz w:val="22"/>
                <w:szCs w:val="22"/>
                <w:lang w:eastAsia="en-US"/>
              </w:rPr>
              <w:t>.</w:t>
            </w:r>
          </w:p>
          <w:p w:rsidR="005B0E5D" w:rsidRPr="00417274" w:rsidRDefault="005B0E5D" w:rsidP="000933D0">
            <w:pPr>
              <w:suppressAutoHyphens/>
              <w:spacing w:before="120" w:after="120"/>
              <w:ind w:firstLine="709"/>
              <w:jc w:val="both"/>
              <w:outlineLvl w:val="3"/>
              <w:rPr>
                <w:rFonts w:ascii="Garamond" w:eastAsia="Batang" w:hAnsi="Garamond" w:cs="Garamond"/>
                <w:sz w:val="22"/>
                <w:szCs w:val="22"/>
                <w:lang w:eastAsia="ar-SA"/>
              </w:rPr>
            </w:pP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Соответствие заявки на ОПВ требованиям настоящего пункта устанавливается КО на основании:</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данных Реестра </w:t>
            </w:r>
            <w:r w:rsidRPr="00417274">
              <w:rPr>
                <w:rFonts w:ascii="Garamond" w:eastAsia="Batang" w:hAnsi="Garamond" w:cs="Garamond"/>
                <w:sz w:val="22"/>
                <w:szCs w:val="22"/>
                <w:lang w:val="x-none" w:eastAsia="ar-SA"/>
              </w:rPr>
              <w:t xml:space="preserve">заключенных договоров коммерческого представительства для целей заключения договоров </w:t>
            </w:r>
            <w:r w:rsidRPr="00417274">
              <w:rPr>
                <w:rFonts w:ascii="Garamond" w:eastAsia="Batang" w:hAnsi="Garamond" w:cs="Garamond"/>
                <w:sz w:val="22"/>
                <w:szCs w:val="22"/>
                <w:lang w:eastAsia="ar-SA"/>
              </w:rPr>
              <w:t xml:space="preserve">поручительства для обеспечения исполнения обязательств поставщика мощности по договорам </w:t>
            </w:r>
            <w:r w:rsidRPr="00417274">
              <w:rPr>
                <w:rFonts w:ascii="Garamond" w:eastAsia="Batang" w:hAnsi="Garamond" w:cs="Garamond"/>
                <w:sz w:val="22"/>
                <w:szCs w:val="22"/>
                <w:lang w:val="x-none" w:eastAsia="ar-SA"/>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417274">
              <w:rPr>
                <w:rFonts w:ascii="Garamond" w:eastAsia="Batang" w:hAnsi="Garamond" w:cs="Garamond"/>
                <w:sz w:val="22"/>
                <w:szCs w:val="22"/>
                <w:lang w:eastAsia="ar-SA"/>
              </w:rPr>
              <w:t>, полученного от ЦФР в соответствии с пунктом 6.4.7 настоящего Регламента, – в случае,</w:t>
            </w:r>
            <w:r w:rsidRPr="00417274">
              <w:rPr>
                <w:rFonts w:ascii="Garamond" w:eastAsia="Batang" w:hAnsi="Garamond" w:cs="Garamond"/>
                <w:sz w:val="22"/>
                <w:szCs w:val="22"/>
                <w:lang w:val="x-none" w:eastAsia="ar-SA"/>
              </w:rPr>
              <w:t xml:space="preserve"> если способом обеспечения исполнения обязательств участника ОПВ, возникающих по результатам ОПВ, является предоставление поручительств</w:t>
            </w:r>
            <w:r w:rsidRPr="00417274">
              <w:rPr>
                <w:rFonts w:ascii="Garamond" w:eastAsia="Batang" w:hAnsi="Garamond" w:cs="Garamond"/>
                <w:sz w:val="22"/>
                <w:szCs w:val="22"/>
                <w:lang w:eastAsia="ar-SA"/>
              </w:rPr>
              <w:t>а</w:t>
            </w:r>
            <w:r w:rsidRPr="00417274">
              <w:rPr>
                <w:rFonts w:ascii="Garamond" w:eastAsia="Batang" w:hAnsi="Garamond" w:cs="Garamond"/>
                <w:sz w:val="22"/>
                <w:szCs w:val="22"/>
                <w:lang w:val="x-none" w:eastAsia="ar-SA"/>
              </w:rPr>
              <w:t xml:space="preserve"> третьего лиц</w:t>
            </w:r>
            <w:r w:rsidRPr="00417274">
              <w:rPr>
                <w:rFonts w:ascii="Garamond" w:eastAsia="Batang" w:hAnsi="Garamond" w:cs="Garamond"/>
                <w:sz w:val="22"/>
                <w:szCs w:val="22"/>
                <w:lang w:eastAsia="ar-SA"/>
              </w:rPr>
              <w:t>а;</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417274">
              <w:rPr>
                <w:rFonts w:ascii="Garamond" w:eastAsia="Batang" w:hAnsi="Garamond" w:cs="Garamond"/>
                <w:sz w:val="22"/>
                <w:szCs w:val="22"/>
                <w:lang w:val="x-none" w:eastAsia="ar-SA"/>
              </w:rPr>
              <w:t xml:space="preserve"> если способом обеспечения </w:t>
            </w:r>
            <w:r w:rsidRPr="00417274">
              <w:rPr>
                <w:rFonts w:ascii="Garamond" w:eastAsia="Batang" w:hAnsi="Garamond" w:cs="Garamond"/>
                <w:sz w:val="22"/>
                <w:szCs w:val="22"/>
                <w:lang w:val="x-none" w:eastAsia="ar-SA"/>
              </w:rPr>
              <w:lastRenderedPageBreak/>
              <w:t xml:space="preserve">исполнения обязательств участника ОПВ, возникающих по результатам ОПВ, является </w:t>
            </w:r>
            <w:r w:rsidRPr="00417274">
              <w:rPr>
                <w:rFonts w:ascii="Garamond" w:eastAsia="Batang" w:hAnsi="Garamond" w:cs="Garamond"/>
                <w:sz w:val="22"/>
                <w:szCs w:val="22"/>
                <w:lang w:eastAsia="ar-SA"/>
              </w:rPr>
              <w:t xml:space="preserve">неустойка по ДПМ ВИЭ или </w:t>
            </w:r>
            <w:r w:rsidRPr="00417274">
              <w:rPr>
                <w:rFonts w:ascii="Garamond" w:eastAsia="Batang" w:hAnsi="Garamond" w:cs="Garamond"/>
                <w:sz w:val="22"/>
                <w:szCs w:val="22"/>
                <w:lang w:val="x-none" w:eastAsia="ar-SA"/>
              </w:rPr>
              <w:t>предоставление поручительств третьих лиц</w:t>
            </w:r>
            <w:r w:rsidRPr="00417274">
              <w:rPr>
                <w:rFonts w:ascii="Garamond" w:eastAsia="Batang" w:hAnsi="Garamond" w:cs="Garamond"/>
                <w:sz w:val="22"/>
                <w:szCs w:val="22"/>
                <w:lang w:eastAsia="ar-SA"/>
              </w:rPr>
              <w:t>;</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417274">
              <w:rPr>
                <w:rFonts w:ascii="Garamond" w:eastAsia="Batang" w:hAnsi="Garamond" w:cs="Garamond"/>
                <w:sz w:val="22"/>
                <w:szCs w:val="22"/>
                <w:lang w:val="x-none" w:eastAsia="ar-SA"/>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417274">
              <w:rPr>
                <w:rFonts w:ascii="Garamond" w:eastAsia="Batang" w:hAnsi="Garamond" w:cs="Garamond"/>
                <w:sz w:val="22"/>
                <w:szCs w:val="22"/>
                <w:lang w:eastAsia="ar-SA"/>
              </w:rPr>
              <w:t>;</w:t>
            </w:r>
          </w:p>
          <w:p w:rsidR="005B0E5D" w:rsidRPr="00417274" w:rsidRDefault="005B0E5D" w:rsidP="000933D0">
            <w:pPr>
              <w:suppressAutoHyphens/>
              <w:spacing w:before="120" w:after="120"/>
              <w:ind w:firstLine="709"/>
              <w:jc w:val="both"/>
              <w:outlineLvl w:val="3"/>
              <w:rPr>
                <w:rFonts w:ascii="Garamond" w:eastAsia="Batang" w:hAnsi="Garamond" w:cs="Garamond"/>
                <w:sz w:val="22"/>
                <w:szCs w:val="22"/>
                <w:lang w:eastAsia="ar-SA"/>
              </w:rPr>
            </w:pPr>
          </w:p>
          <w:p w:rsidR="005B0E5D" w:rsidRPr="00417274" w:rsidRDefault="005B0E5D" w:rsidP="000933D0">
            <w:pPr>
              <w:suppressAutoHyphens/>
              <w:spacing w:before="120" w:after="120"/>
              <w:ind w:firstLine="709"/>
              <w:jc w:val="both"/>
              <w:outlineLvl w:val="3"/>
              <w:rPr>
                <w:rFonts w:ascii="Garamond" w:eastAsia="Batang" w:hAnsi="Garamond" w:cs="Garamond"/>
                <w:sz w:val="22"/>
                <w:szCs w:val="22"/>
                <w:lang w:eastAsia="ar-SA"/>
              </w:rPr>
            </w:pP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en-US"/>
              </w:rPr>
            </w:pPr>
            <w:r w:rsidRPr="00417274">
              <w:rPr>
                <w:rFonts w:ascii="Garamond" w:eastAsia="Batang" w:hAnsi="Garamond" w:cs="Garamond"/>
                <w:sz w:val="22"/>
                <w:szCs w:val="22"/>
                <w:lang w:eastAsia="ar-SA"/>
              </w:rPr>
              <w:t xml:space="preserve">– </w:t>
            </w:r>
            <w:r w:rsidRPr="00417274">
              <w:rPr>
                <w:rFonts w:ascii="Garamond" w:eastAsia="Batang" w:hAnsi="Garamond" w:cs="Garamond"/>
                <w:sz w:val="22"/>
                <w:szCs w:val="22"/>
                <w:lang w:eastAsia="en-US"/>
              </w:rPr>
              <w:t>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w:t>
            </w:r>
            <w:r w:rsidRPr="00417274">
              <w:rPr>
                <w:rFonts w:ascii="Garamond" w:eastAsia="Batang" w:hAnsi="Garamond" w:cs="Garamond"/>
                <w:sz w:val="22"/>
                <w:szCs w:val="22"/>
                <w:highlight w:val="yellow"/>
                <w:lang w:eastAsia="en-US"/>
              </w:rPr>
              <w:t>7</w:t>
            </w:r>
            <w:r w:rsidRPr="00417274">
              <w:rPr>
                <w:rFonts w:ascii="Garamond" w:eastAsia="Batang" w:hAnsi="Garamond" w:cs="Garamond"/>
                <w:sz w:val="22"/>
                <w:szCs w:val="22"/>
                <w:lang w:eastAsia="en-US"/>
              </w:rPr>
              <w:t xml:space="preserve">.3 настоящего Регламента, – в случае, если </w:t>
            </w:r>
            <w:r w:rsidRPr="00417274">
              <w:rPr>
                <w:rFonts w:ascii="Garamond" w:eastAsia="Batang" w:hAnsi="Garamond" w:cs="Garamond"/>
                <w:sz w:val="22"/>
                <w:szCs w:val="22"/>
                <w:lang w:val="x-none" w:eastAsia="en-US"/>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417274">
              <w:rPr>
                <w:rFonts w:ascii="Garamond" w:eastAsia="Batang" w:hAnsi="Garamond" w:cs="Garamond"/>
                <w:sz w:val="22"/>
                <w:szCs w:val="22"/>
                <w:lang w:eastAsia="en-US"/>
              </w:rPr>
              <w:t>участником ОПВ</w:t>
            </w:r>
            <w:r w:rsidRPr="00417274">
              <w:rPr>
                <w:rFonts w:ascii="Garamond" w:eastAsia="Batang" w:hAnsi="Garamond" w:cs="Garamond"/>
                <w:sz w:val="22"/>
                <w:szCs w:val="22"/>
                <w:lang w:val="x-none" w:eastAsia="en-US"/>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417274">
              <w:rPr>
                <w:rFonts w:ascii="Garamond" w:eastAsia="Batang" w:hAnsi="Garamond" w:cs="Garamond"/>
                <w:sz w:val="22"/>
                <w:szCs w:val="22"/>
                <w:lang w:eastAsia="en-US"/>
              </w:rPr>
              <w:t>.</w:t>
            </w:r>
          </w:p>
          <w:p w:rsidR="005B0E5D" w:rsidRPr="00417274" w:rsidRDefault="005B0E5D" w:rsidP="000933D0">
            <w:pPr>
              <w:suppressAutoHyphens/>
              <w:spacing w:before="120" w:after="120"/>
              <w:ind w:firstLine="709"/>
              <w:jc w:val="both"/>
              <w:outlineLvl w:val="3"/>
              <w:rPr>
                <w:rFonts w:ascii="Garamond" w:eastAsia="Batang" w:hAnsi="Garamond" w:cs="Garamond"/>
                <w:sz w:val="22"/>
                <w:szCs w:val="22"/>
                <w:lang w:eastAsia="en-US"/>
              </w:rPr>
            </w:pPr>
          </w:p>
          <w:p w:rsidR="005B0E5D" w:rsidRPr="00417274" w:rsidRDefault="005B0E5D" w:rsidP="000933D0">
            <w:pPr>
              <w:suppressAutoHyphens/>
              <w:spacing w:before="120" w:after="120"/>
              <w:ind w:firstLine="709"/>
              <w:jc w:val="both"/>
              <w:outlineLvl w:val="3"/>
              <w:rPr>
                <w:rFonts w:ascii="Garamond" w:eastAsia="Batang" w:hAnsi="Garamond" w:cs="Garamond"/>
                <w:sz w:val="22"/>
                <w:szCs w:val="22"/>
                <w:lang w:eastAsia="en-US"/>
              </w:rPr>
            </w:pPr>
          </w:p>
          <w:p w:rsidR="005B0E5D" w:rsidRPr="00417274" w:rsidRDefault="005B0E5D" w:rsidP="000933D0">
            <w:pPr>
              <w:suppressAutoHyphens/>
              <w:spacing w:before="120" w:after="120"/>
              <w:ind w:firstLine="709"/>
              <w:jc w:val="both"/>
              <w:rPr>
                <w:rFonts w:ascii="Garamond" w:eastAsia="Batang" w:hAnsi="Garamond"/>
                <w:sz w:val="22"/>
                <w:szCs w:val="22"/>
                <w:lang w:eastAsia="ar-SA"/>
              </w:rPr>
            </w:pPr>
          </w:p>
          <w:p w:rsidR="005B0E5D" w:rsidRPr="00417274" w:rsidRDefault="00AD70DD" w:rsidP="000933D0">
            <w:pPr>
              <w:suppressAutoHyphens/>
              <w:spacing w:before="120" w:after="120"/>
              <w:ind w:firstLine="709"/>
              <w:jc w:val="both"/>
              <w:rPr>
                <w:rFonts w:ascii="Garamond" w:eastAsia="Batang" w:hAnsi="Garamond"/>
                <w:sz w:val="22"/>
                <w:szCs w:val="22"/>
                <w:lang w:eastAsia="ar-SA"/>
              </w:rPr>
            </w:pPr>
            <w:r w:rsidRPr="00417274">
              <w:rPr>
                <w:rFonts w:ascii="Garamond" w:eastAsia="Batang" w:hAnsi="Garamond"/>
                <w:sz w:val="22"/>
                <w:szCs w:val="22"/>
                <w:lang w:eastAsia="ar-SA"/>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5% от произведения предельной величины капитальных затрат на 1 кВт установленной мощности, определенной </w:t>
            </w:r>
            <w:r w:rsidRPr="00417274">
              <w:rPr>
                <w:rFonts w:ascii="Garamond" w:eastAsia="Batang" w:hAnsi="Garamond"/>
                <w:sz w:val="22"/>
                <w:szCs w:val="22"/>
              </w:rPr>
              <w:t xml:space="preserve">в соответствии с приложением 17 к настоящему Регламенту </w:t>
            </w:r>
            <w:r w:rsidRPr="00417274">
              <w:rPr>
                <w:rFonts w:ascii="Garamond" w:eastAsia="Batang" w:hAnsi="Garamond"/>
                <w:sz w:val="22"/>
                <w:szCs w:val="22"/>
                <w:lang w:eastAsia="ar-SA"/>
              </w:rPr>
              <w:t xml:space="preserve">для генерирующих объектов </w:t>
            </w:r>
            <w:r w:rsidRPr="00417274">
              <w:rPr>
                <w:rFonts w:ascii="Garamond" w:eastAsia="Batang" w:hAnsi="Garamond"/>
                <w:sz w:val="22"/>
                <w:szCs w:val="22"/>
                <w:lang w:eastAsia="ar-SA"/>
              </w:rPr>
              <w:lastRenderedPageBreak/>
              <w:t>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указанные в заявке, поданной в ходе второго этапа ОПВ, значения всех параметров, за исключением плановой величины капитальных затрат на 1 кВт установленной мощности, указанной в заявке в соответствии с подпунктом </w:t>
            </w:r>
            <w:r w:rsidRPr="00417274">
              <w:rPr>
                <w:rFonts w:ascii="Garamond" w:eastAsia="Batang" w:hAnsi="Garamond" w:cs="Garamond"/>
                <w:sz w:val="22"/>
                <w:szCs w:val="22"/>
                <w:lang w:eastAsia="ar-SA"/>
              </w:rPr>
              <w:t xml:space="preserve">9 </w:t>
            </w:r>
            <w:r w:rsidRPr="00417274">
              <w:rPr>
                <w:rFonts w:ascii="Garamond" w:eastAsia="Batang" w:hAnsi="Garamond"/>
                <w:sz w:val="22"/>
                <w:szCs w:val="22"/>
                <w:lang w:eastAsia="ar-SA"/>
              </w:rPr>
              <w:t>пункта 4.1.3 настоящего Регламента, совпадают со значениями соответствующих параметров поданной тем же участником ОПВ заявки, включенной в Перечень по итогам этапа 1;</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кратность уменьшения заявки указана с точностью до 1 МВт и находится в пределах от 1 до 25 МВт;</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кратность уменьшения заявки не превышает величину планового объема установленной мощности, указанную в заявке в отношении данного объекта ВИЭ в соответствии с подпунктом 6 пункта 4.1.3 настоящего Регламента;</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набор символов, указанный в поле заявки «регистрационный номер», не был указан в соответствующем поле иной заявки, поданной в отношении того же объекта ВИЭ;</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заявка содержит предусмотренное подпунктом 14 пункта 4.1.3 настоящего Регламента волеизъявление участника ОПВ, при этом формат и размерность данного параметра соответствуют предусмотренным приложением 1.1 к настоящему Регламенту;</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заявка содержит предусмотренное подпунктом 15 пункта 4.1.3 настоящего Регламента </w:t>
            </w:r>
            <w:r w:rsidRPr="00417274">
              <w:rPr>
                <w:rFonts w:ascii="Garamond" w:eastAsia="Batang" w:hAnsi="Garamond"/>
                <w:bCs/>
                <w:sz w:val="22"/>
                <w:szCs w:val="22"/>
                <w:lang w:eastAsia="ar-SA"/>
              </w:rPr>
              <w:t xml:space="preserve">указание </w:t>
            </w:r>
            <w:r w:rsidRPr="00417274">
              <w:rPr>
                <w:rFonts w:ascii="Garamond" w:eastAsia="Batang" w:hAnsi="Garamond"/>
                <w:sz w:val="22"/>
                <w:szCs w:val="22"/>
                <w:lang w:eastAsia="ar-SA"/>
              </w:rPr>
              <w:t>участника ОПВ, при этом формат и размерность данного параметра соответствуют предусмотренным приложением 1.1 к настоящему Регламенту;</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генерирующий объект, в отношении которого зарегистрирована указанная в заявке в соответствии с подпунктом 8 пункта 4.1.3 настоящего Регламента условная ГТП, не был отобран по результатам какого-либо из конкурентных отборов мощности, проведенных до 1 (первого) января года </w:t>
            </w:r>
            <w:r w:rsidRPr="00417274">
              <w:rPr>
                <w:rFonts w:ascii="Garamond" w:eastAsia="Batang" w:hAnsi="Garamond"/>
                <w:i/>
                <w:sz w:val="22"/>
                <w:szCs w:val="22"/>
                <w:lang w:eastAsia="ar-SA"/>
              </w:rPr>
              <w:t>Х</w:t>
            </w:r>
            <w:r w:rsidRPr="00417274">
              <w:rPr>
                <w:rFonts w:ascii="Garamond" w:eastAsia="Batang" w:hAnsi="Garamond"/>
                <w:sz w:val="22"/>
                <w:szCs w:val="22"/>
                <w:lang w:eastAsia="ar-SA"/>
              </w:rPr>
              <w:t>;</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проект по строительству генерирующего объекта, в отношении которого зарегистрирована указанная в заявке в соответствии с подпунктом 8 пункта 4.1.3 настоящего Регламента условная ГТП, не был </w:t>
            </w:r>
            <w:r w:rsidRPr="00417274">
              <w:rPr>
                <w:rFonts w:ascii="Garamond" w:eastAsia="Batang" w:hAnsi="Garamond"/>
                <w:sz w:val="22"/>
                <w:szCs w:val="22"/>
                <w:lang w:eastAsia="ar-SA"/>
              </w:rPr>
              <w:lastRenderedPageBreak/>
              <w:t xml:space="preserve">отобран по результатам какого-либо из ОПВ, проведенных до 1 (первого) января года </w:t>
            </w:r>
            <w:r w:rsidRPr="00417274">
              <w:rPr>
                <w:rFonts w:ascii="Garamond" w:eastAsia="Batang" w:hAnsi="Garamond"/>
                <w:i/>
                <w:sz w:val="22"/>
                <w:szCs w:val="22"/>
                <w:lang w:eastAsia="ar-SA"/>
              </w:rPr>
              <w:t>Х</w:t>
            </w:r>
            <w:r w:rsidRPr="00417274">
              <w:rPr>
                <w:rFonts w:ascii="Garamond" w:eastAsia="Batang" w:hAnsi="Garamond"/>
                <w:sz w:val="22"/>
                <w:szCs w:val="22"/>
                <w:lang w:eastAsia="ar-SA"/>
              </w:rPr>
              <w:t>;</w:t>
            </w:r>
          </w:p>
          <w:p w:rsidR="005B0E5D" w:rsidRPr="00417274" w:rsidRDefault="00AD70DD" w:rsidP="000933D0">
            <w:pPr>
              <w:numPr>
                <w:ilvl w:val="0"/>
                <w:numId w:val="34"/>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en-US"/>
              </w:rPr>
              <w:t>заявка содержит предусмотренное подпунктом 16 пункта 4.1.3 настоящего Регламента заверение участника ОПВ, при этом формат и размерность данного параметра соответствуют предусмотренным приложением 1.1 к настоящему Регламенту.</w:t>
            </w:r>
          </w:p>
        </w:tc>
        <w:tc>
          <w:tcPr>
            <w:tcW w:w="2324" w:type="pct"/>
            <w:tcBorders>
              <w:top w:val="single" w:sz="4" w:space="0" w:color="auto"/>
              <w:left w:val="single" w:sz="4" w:space="0" w:color="auto"/>
              <w:bottom w:val="single" w:sz="4" w:space="0" w:color="auto"/>
              <w:right w:val="single" w:sz="4" w:space="0" w:color="auto"/>
            </w:tcBorders>
          </w:tcPr>
          <w:p w:rsidR="005B0E5D" w:rsidRPr="00417274" w:rsidRDefault="00AD70DD" w:rsidP="000933D0">
            <w:pPr>
              <w:numPr>
                <w:ilvl w:val="2"/>
                <w:numId w:val="37"/>
              </w:numPr>
              <w:suppressAutoHyphens/>
              <w:spacing w:before="120" w:after="120"/>
              <w:ind w:left="19" w:firstLine="701"/>
              <w:jc w:val="both"/>
              <w:rPr>
                <w:rFonts w:ascii="Garamond" w:eastAsia="Batang" w:hAnsi="Garamond" w:cs="Garamond"/>
                <w:sz w:val="22"/>
                <w:szCs w:val="22"/>
                <w:lang w:eastAsia="ar-SA"/>
              </w:rPr>
            </w:pPr>
            <w:r w:rsidRPr="00417274">
              <w:rPr>
                <w:rFonts w:ascii="Garamond" w:eastAsia="Batang" w:hAnsi="Garamond" w:cs="Garamond"/>
                <w:sz w:val="22"/>
                <w:szCs w:val="22"/>
                <w:lang w:eastAsia="ar-SA"/>
              </w:rPr>
              <w:lastRenderedPageBreak/>
              <w:t>В целях проведения ОПВ КО формирует перечень заявок, соответствующих требованиям настоящего Регламента и Правил оптового рынка (далее – Перечень принятых заявок). Заявка включается в предусмотренном пунктом 4.2.3 настоящего Регламента порядке в Перечень принятых заявок в случае ее соответствия следующим требованиям:</w:t>
            </w:r>
          </w:p>
          <w:p w:rsidR="005B0E5D" w:rsidRPr="00417274" w:rsidRDefault="00AD70DD" w:rsidP="000933D0">
            <w:pPr>
              <w:numPr>
                <w:ilvl w:val="0"/>
                <w:numId w:val="36"/>
              </w:numPr>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lastRenderedPageBreak/>
              <w:t>заявка соответствует форме, указанной в приложении 1.1 к настоящему Регламенту;</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подлинность ЭП заявки подтверждена в соответствии с </w:t>
            </w:r>
            <w:r w:rsidRPr="00417274">
              <w:rPr>
                <w:rFonts w:ascii="Garamond" w:eastAsia="Batang" w:hAnsi="Garamond"/>
                <w:i/>
                <w:sz w:val="22"/>
                <w:szCs w:val="22"/>
                <w:lang w:eastAsia="ar-SA"/>
              </w:rPr>
              <w:t xml:space="preserve">Соглашением о применении электронной подписи в торговой системе оптового рынка </w:t>
            </w:r>
            <w:r w:rsidRPr="00417274">
              <w:rPr>
                <w:rFonts w:ascii="Garamond" w:eastAsia="Batang" w:hAnsi="Garamond"/>
                <w:sz w:val="22"/>
                <w:szCs w:val="22"/>
                <w:lang w:eastAsia="ar-SA"/>
              </w:rPr>
              <w:t xml:space="preserve">(Приложение № Д 7 к </w:t>
            </w:r>
            <w:r w:rsidRPr="00417274">
              <w:rPr>
                <w:rFonts w:ascii="Garamond" w:eastAsia="Batang" w:hAnsi="Garamond"/>
                <w:i/>
                <w:sz w:val="22"/>
                <w:szCs w:val="22"/>
                <w:lang w:eastAsia="ar-SA"/>
              </w:rPr>
              <w:t>Договору о присоединении к торговой системе оптового рынка</w:t>
            </w:r>
            <w:r w:rsidRPr="00417274">
              <w:rPr>
                <w:rFonts w:ascii="Garamond" w:eastAsia="Batang" w:hAnsi="Garamond"/>
                <w:sz w:val="22"/>
                <w:szCs w:val="22"/>
                <w:lang w:eastAsia="ar-SA"/>
              </w:rPr>
              <w:t>);</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все предусмотренные настоящим Регламентом значения параметров и данные заявлены;</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значения заявленных параметров соответствуют допустимому формату и размерности;</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заявка подана с соблюдением предусмотренного пунктом 4.1.4 настоящего Регламента срока;</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значение плановой величины капитальных затрат на 1 кВт установленной мощности, указанной в заявке в соответствии с подпунктом </w:t>
            </w:r>
            <w:r w:rsidRPr="00417274">
              <w:rPr>
                <w:rFonts w:ascii="Garamond" w:eastAsia="Batang" w:hAnsi="Garamond" w:cs="Garamond"/>
                <w:sz w:val="22"/>
                <w:szCs w:val="22"/>
                <w:lang w:eastAsia="ar-SA"/>
              </w:rPr>
              <w:t xml:space="preserve">9 </w:t>
            </w:r>
            <w:r w:rsidRPr="00417274">
              <w:rPr>
                <w:rFonts w:ascii="Garamond" w:eastAsia="Batang" w:hAnsi="Garamond"/>
                <w:sz w:val="22"/>
                <w:szCs w:val="22"/>
                <w:lang w:eastAsia="ar-SA"/>
              </w:rPr>
              <w:t xml:space="preserve">пункта 4.1.3 настоящего Регламента, не превышает предельной величины капитальных затрат на возведение 1 кВт установленной мощности генерирующего объекта, определенной </w:t>
            </w:r>
            <w:r w:rsidRPr="00417274">
              <w:rPr>
                <w:rFonts w:ascii="Garamond" w:eastAsia="Batang" w:hAnsi="Garamond"/>
                <w:sz w:val="22"/>
                <w:szCs w:val="22"/>
              </w:rPr>
              <w:t>в соответствии с приложением 17 к настоящему Регламенту</w:t>
            </w:r>
            <w:r w:rsidRPr="00417274">
              <w:rPr>
                <w:rFonts w:ascii="Garamond" w:eastAsia="Batang" w:hAnsi="Garamond"/>
                <w:sz w:val="22"/>
                <w:szCs w:val="22"/>
                <w:lang w:eastAsia="ar-SA"/>
              </w:rPr>
              <w:t xml:space="preserve"> в отношении генерирующих объектов соответствующего вида и календарного года, соответствующего плановому году начала поставки мощности, указанному в заявке согласно подпункту </w:t>
            </w:r>
            <w:r w:rsidRPr="00417274">
              <w:rPr>
                <w:rFonts w:ascii="Garamond" w:eastAsia="Batang" w:hAnsi="Garamond" w:cs="Garamond"/>
                <w:sz w:val="22"/>
                <w:szCs w:val="22"/>
                <w:lang w:eastAsia="ar-SA"/>
              </w:rPr>
              <w:t xml:space="preserve">11 </w:t>
            </w:r>
            <w:r w:rsidRPr="00417274">
              <w:rPr>
                <w:rFonts w:ascii="Garamond" w:eastAsia="Batang" w:hAnsi="Garamond"/>
                <w:sz w:val="22"/>
                <w:szCs w:val="22"/>
                <w:lang w:eastAsia="ar-SA"/>
              </w:rPr>
              <w:t>пункта 4.1.3 настоящего Регламента;</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в случае подачи заявки в отношении объекта ВИЭ, в отношении которого в КО уже поступила заявка</w:t>
            </w:r>
            <w:r w:rsidRPr="00417274">
              <w:rPr>
                <w:rFonts w:ascii="Garamond" w:eastAsia="Batang" w:hAnsi="Garamond" w:cs="Garamond"/>
                <w:sz w:val="22"/>
                <w:szCs w:val="22"/>
                <w:lang w:eastAsia="ar-SA"/>
              </w:rPr>
              <w:t xml:space="preserve"> (далее – предыдущая заявка), – </w:t>
            </w:r>
            <w:r w:rsidRPr="00417274">
              <w:rPr>
                <w:rFonts w:ascii="Garamond" w:eastAsia="Batang" w:hAnsi="Garamond"/>
                <w:sz w:val="22"/>
                <w:szCs w:val="22"/>
                <w:lang w:eastAsia="ar-SA"/>
              </w:rPr>
              <w:t xml:space="preserve">значение плановой величины капитальных затрат на 1 кВт установленной мощности объекта ВИЭ, указанное в заявке в соответствии с подпунктом </w:t>
            </w:r>
            <w:r w:rsidRPr="00417274">
              <w:rPr>
                <w:rFonts w:ascii="Garamond" w:eastAsia="Batang" w:hAnsi="Garamond" w:cs="Garamond"/>
                <w:sz w:val="22"/>
                <w:szCs w:val="22"/>
                <w:lang w:eastAsia="ar-SA"/>
              </w:rPr>
              <w:t xml:space="preserve">9 </w:t>
            </w:r>
            <w:r w:rsidRPr="00417274">
              <w:rPr>
                <w:rFonts w:ascii="Garamond" w:eastAsia="Batang" w:hAnsi="Garamond"/>
                <w:sz w:val="22"/>
                <w:szCs w:val="22"/>
                <w:lang w:eastAsia="ar-SA"/>
              </w:rPr>
              <w:t xml:space="preserve">пункта 4.1.3 настоящего Регламента, не превышает значение данного параметра, указанного в </w:t>
            </w:r>
            <w:r w:rsidRPr="00417274">
              <w:rPr>
                <w:rFonts w:ascii="Garamond" w:eastAsia="Batang" w:hAnsi="Garamond" w:cs="Garamond"/>
                <w:sz w:val="22"/>
                <w:szCs w:val="22"/>
                <w:lang w:eastAsia="ar-SA"/>
              </w:rPr>
              <w:t xml:space="preserve">предыдущей </w:t>
            </w:r>
            <w:r w:rsidRPr="00417274">
              <w:rPr>
                <w:rFonts w:ascii="Garamond" w:eastAsia="Batang" w:hAnsi="Garamond"/>
                <w:sz w:val="22"/>
                <w:szCs w:val="22"/>
                <w:lang w:eastAsia="ar-SA"/>
              </w:rPr>
              <w:t>заявке;</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указанный в заявке в соответствии с подпунктом </w:t>
            </w:r>
            <w:r w:rsidRPr="00417274">
              <w:rPr>
                <w:rFonts w:ascii="Garamond" w:eastAsia="Batang" w:hAnsi="Garamond" w:cs="Garamond"/>
                <w:sz w:val="22"/>
                <w:szCs w:val="22"/>
                <w:lang w:eastAsia="ar-SA"/>
              </w:rPr>
              <w:t xml:space="preserve">6 </w:t>
            </w:r>
            <w:r w:rsidRPr="00417274">
              <w:rPr>
                <w:rFonts w:ascii="Garamond" w:eastAsia="Batang" w:hAnsi="Garamond"/>
                <w:sz w:val="22"/>
                <w:szCs w:val="22"/>
                <w:lang w:eastAsia="ar-SA"/>
              </w:rPr>
              <w:t>пункта 4.1.3 настоящего Регламента плановый объем установленной мощности объекта ВИЭ составляет не менее 5 МВт;</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указанный в заявке, поданной в отношении генерирующего объекта гидрогенерации, в соответствии с подпунктом </w:t>
            </w:r>
            <w:r w:rsidRPr="00417274">
              <w:rPr>
                <w:rFonts w:ascii="Garamond" w:eastAsia="Batang" w:hAnsi="Garamond" w:cs="Garamond"/>
                <w:sz w:val="22"/>
                <w:szCs w:val="22"/>
                <w:lang w:eastAsia="ar-SA"/>
              </w:rPr>
              <w:t xml:space="preserve">6 </w:t>
            </w:r>
            <w:r w:rsidRPr="00417274">
              <w:rPr>
                <w:rFonts w:ascii="Garamond" w:eastAsia="Batang" w:hAnsi="Garamond"/>
                <w:sz w:val="22"/>
                <w:szCs w:val="22"/>
                <w:lang w:eastAsia="ar-SA"/>
              </w:rPr>
              <w:t>пункта 4.1.3 настоящего Регламента плановый объем установленной мощности объекта ВИЭ составляет менее 25 МВт;</w:t>
            </w:r>
          </w:p>
          <w:p w:rsidR="005B0E5D" w:rsidRPr="00417274" w:rsidRDefault="00AD70DD" w:rsidP="000933D0">
            <w:pPr>
              <w:numPr>
                <w:ilvl w:val="0"/>
                <w:numId w:val="36"/>
              </w:numPr>
              <w:tabs>
                <w:tab w:val="num" w:pos="851"/>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lastRenderedPageBreak/>
              <w:t xml:space="preserve"> значение указанного в заявке в соответствии с подпунктом 10</w:t>
            </w:r>
            <w:r w:rsidRPr="00417274">
              <w:rPr>
                <w:rFonts w:ascii="Garamond" w:eastAsia="Batang" w:hAnsi="Garamond" w:cs="Garamond"/>
                <w:sz w:val="22"/>
                <w:szCs w:val="22"/>
                <w:lang w:eastAsia="ar-SA"/>
              </w:rPr>
              <w:t xml:space="preserve"> </w:t>
            </w:r>
            <w:r w:rsidRPr="00417274">
              <w:rPr>
                <w:rFonts w:ascii="Garamond" w:eastAsia="Batang" w:hAnsi="Garamond"/>
                <w:sz w:val="22"/>
                <w:szCs w:val="22"/>
                <w:lang w:eastAsia="ar-SA"/>
              </w:rPr>
              <w:t>пункта 4.1.3 настоящего Регламента планового показателя локализации производства генерирующего оборудования объекта ВИЭ равно или превышает значение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опубликованное в соответствии с подпунктом «в» пункта 3.3 настоящего Регламента;</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участник ОПВ является участником оптового рынка электрической энергии и мощности, при этом указанный в заявке в соответствии с подпунктом 3 пункта 4.1.3 настоящего Регламента регистрационный номер участника ОПВ в Реестре субъектов оптового рынка присвоен организации, уникальный код которой указан в заявке в соответствии с подпунктом 2 пункта 4.1.3 настоящего Регламента;</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участник ОПВ, полное наименование которого указано в заявке в соответствии с подпунктом 2 пункта 4.1.3 настоящего Регламента, по состоянию на дату начала срока подачи заявок заключил все необходимые для участия в ОПВ договоры (соглашения), предусмотренные </w:t>
            </w:r>
            <w:r w:rsidRPr="00417274">
              <w:rPr>
                <w:rFonts w:ascii="Garamond" w:eastAsia="Batang" w:hAnsi="Garamond"/>
                <w:i/>
                <w:sz w:val="22"/>
                <w:szCs w:val="22"/>
                <w:lang w:eastAsia="ar-SA"/>
              </w:rPr>
              <w:t>Договором о присоединении к торговой системе оптового рынка</w:t>
            </w:r>
            <w:r w:rsidRPr="00417274">
              <w:rPr>
                <w:rFonts w:ascii="Garamond" w:eastAsia="Batang" w:hAnsi="Garamond"/>
                <w:sz w:val="22"/>
                <w:szCs w:val="22"/>
                <w:lang w:eastAsia="ar-SA"/>
              </w:rPr>
              <w:t>, а также договор 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en-US"/>
              </w:rPr>
              <w:t>в отношении указанной в заявке в соответствии с подпунктом 8 пункта 4.1.3 настоящего Регламента условной ГТП, зарегистрированной в отношении объектов ВИЭ, по состоянию на последний рабочий день, предшествующий дате начала срока подачи заявок, Правлением КО принято решение о предоставлении права участия в торговле электроэнергией и (или) мощностью на оптовом рынке;</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территория, указанная в заявке в соответствии с подпунктом 7</w:t>
            </w:r>
            <w:r w:rsidRPr="00417274">
              <w:rPr>
                <w:rFonts w:ascii="Garamond" w:eastAsia="Batang" w:hAnsi="Garamond" w:cs="Garamond"/>
                <w:sz w:val="22"/>
                <w:szCs w:val="22"/>
                <w:lang w:eastAsia="ar-SA"/>
              </w:rPr>
              <w:t xml:space="preserve"> </w:t>
            </w:r>
            <w:r w:rsidRPr="00417274">
              <w:rPr>
                <w:rFonts w:ascii="Garamond" w:eastAsia="Batang" w:hAnsi="Garamond"/>
                <w:sz w:val="22"/>
                <w:szCs w:val="22"/>
                <w:lang w:eastAsia="ar-SA"/>
              </w:rPr>
              <w:t>пункта 4.1.3 настоящего Регламента, относится к одной из территорий, объединенных в соответствии с Правилами оптового рынка в ценовые зоны оптового рынка электрической энергии и мощности;</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в отношении объекта ВИЭ, код ГТП которого указан в заявке, по состоянию на дату начала срока подачи заявок зарегистрирована генерирующая единица мощности (ГЕМ);</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lastRenderedPageBreak/>
              <w:t xml:space="preserve">указанный в заявке, поданной в отношении генерирующего объекта в соответствии с подпунктом </w:t>
            </w:r>
            <w:r w:rsidRPr="00417274">
              <w:rPr>
                <w:rFonts w:ascii="Garamond" w:eastAsia="Batang" w:hAnsi="Garamond" w:cs="Garamond"/>
                <w:sz w:val="22"/>
                <w:szCs w:val="22"/>
                <w:lang w:eastAsia="ar-SA"/>
              </w:rPr>
              <w:t xml:space="preserve">6 </w:t>
            </w:r>
            <w:r w:rsidRPr="00417274">
              <w:rPr>
                <w:rFonts w:ascii="Garamond" w:eastAsia="Batang" w:hAnsi="Garamond"/>
                <w:sz w:val="22"/>
                <w:szCs w:val="22"/>
                <w:lang w:eastAsia="ar-SA"/>
              </w:rPr>
              <w:t xml:space="preserve">пункта 4.1.3 настоящего Регламента, плановый объем установленной мощности объекта ВИЭ не превышает произведение 1,1 и значений планового объема мощности объектов ВИЭ соответствующего вида, необходимой к отбору на год </w:t>
            </w:r>
            <w:r w:rsidRPr="00417274">
              <w:rPr>
                <w:rFonts w:ascii="Garamond" w:eastAsia="Batang" w:hAnsi="Garamond"/>
                <w:i/>
                <w:sz w:val="22"/>
                <w:szCs w:val="22"/>
                <w:lang w:eastAsia="ar-SA"/>
              </w:rPr>
              <w:t>X+k</w:t>
            </w:r>
            <w:r w:rsidRPr="00417274">
              <w:rPr>
                <w:rFonts w:ascii="Garamond" w:eastAsia="Batang" w:hAnsi="Garamond"/>
                <w:sz w:val="22"/>
                <w:szCs w:val="22"/>
                <w:lang w:eastAsia="ar-SA"/>
              </w:rPr>
              <w:t xml:space="preserve">, указанный в заявке, поданной в отношении генерирующего объекта, в соответствии с подпунктом </w:t>
            </w:r>
            <w:r w:rsidRPr="00417274">
              <w:rPr>
                <w:rFonts w:ascii="Garamond" w:eastAsia="Batang" w:hAnsi="Garamond" w:cs="Garamond"/>
                <w:sz w:val="22"/>
                <w:szCs w:val="22"/>
                <w:lang w:eastAsia="ar-SA"/>
              </w:rPr>
              <w:t xml:space="preserve">11 </w:t>
            </w:r>
            <w:r w:rsidRPr="00417274">
              <w:rPr>
                <w:rFonts w:ascii="Garamond" w:eastAsia="Batang" w:hAnsi="Garamond"/>
                <w:sz w:val="22"/>
                <w:szCs w:val="22"/>
                <w:lang w:eastAsia="ar-SA"/>
              </w:rPr>
              <w:t>пункта 4.1.3 настоящего Регламента;</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представленное участником ОПВ обеспечение исполнения его обязательств, возникающих по результатам ОПВ, соответствует требованиям раздела 7 настоящего Регламента, с учетом требований настоящего подпункта.</w:t>
            </w:r>
          </w:p>
          <w:p w:rsidR="005B0E5D" w:rsidRPr="00417274" w:rsidRDefault="00AD70DD" w:rsidP="000933D0">
            <w:pPr>
              <w:suppressAutoHyphens/>
              <w:spacing w:before="120" w:after="120"/>
              <w:ind w:firstLine="709"/>
              <w:jc w:val="both"/>
              <w:rPr>
                <w:rFonts w:ascii="Garamond" w:eastAsia="Batang" w:hAnsi="Garamond"/>
                <w:sz w:val="22"/>
                <w:szCs w:val="22"/>
                <w:lang w:eastAsia="ar-SA"/>
              </w:rPr>
            </w:pPr>
            <w:r w:rsidRPr="00417274">
              <w:rPr>
                <w:rFonts w:ascii="Garamond" w:eastAsia="Batang" w:hAnsi="Garamond"/>
                <w:sz w:val="22"/>
                <w:szCs w:val="22"/>
                <w:lang w:eastAsia="ar-SA"/>
              </w:rPr>
              <w:t>Если способом обеспечения исполнения обязательств участника ОПВ, возникающих по результатам ОПВ, является неустойка по ДПМ ВИЭ, то в рамках проверки, проводимой КО в соответствии с приложением 31 к настоящему Регламенту, должно быть установлено соответствие участника ОПВ требованиям пункта 7.3 настоящего Регламента.</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Если способом обеспечения исполнения обязательств участника ОПВ, возникающих по результатам ОПВ, является предоставление поручительства третьего лица, то в отношении объекта ВИЭ до даты начала срока подачи заявок должен быть заключен договор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с указанием соответствующего объекта ВИЭ (при этом код ГТП генерации, вид и местонахождение объекта, а также год, в котором планируется поставка мощности, указанные в соответствующем договоре, должны соответствовать аналогичным параметрам, указанным в заявке на ОПВ, а величина установленной мощности, указанная в соответствующем договоре, должна быть не менее величины планового объема установленной мощности, указанной в заявке в соответствии с подпунктом 6 пункта 4.1.3 настоящего Регламента). При этом в рамках проверки, проводимой КО в соответствии с приложением 31 к настоящему Регламенту, установлено соответствие поручителя требованиям пункта 7.5 настоящего Регламента.</w:t>
            </w:r>
          </w:p>
          <w:p w:rsidR="005B0E5D" w:rsidRPr="00417274" w:rsidRDefault="00AD70DD" w:rsidP="000933D0">
            <w:pPr>
              <w:suppressAutoHyphens/>
              <w:spacing w:before="120" w:after="120"/>
              <w:ind w:firstLine="709"/>
              <w:jc w:val="both"/>
              <w:rPr>
                <w:rFonts w:ascii="Garamond" w:eastAsia="Batang" w:hAnsi="Garamond"/>
                <w:sz w:val="22"/>
                <w:szCs w:val="22"/>
                <w:lang w:eastAsia="ar-SA"/>
              </w:rPr>
            </w:pPr>
            <w:r w:rsidRPr="00417274">
              <w:rPr>
                <w:rFonts w:ascii="Garamond" w:eastAsia="Batang" w:hAnsi="Garamond"/>
                <w:sz w:val="22"/>
                <w:szCs w:val="22"/>
                <w:lang w:eastAsia="ar-SA"/>
              </w:rPr>
              <w:lastRenderedPageBreak/>
              <w:t>При подаче заявок, способом обеспечения исполнения обязательств участника ОПВ, возникающих по результатам ОПВ, по которым является неустойка по ДПМ ВИЭ или поручительство третьего лица, проверка соответствия заявок указанным в пунктах 7.2–7.5 настоящего Регламента требованиям, проводимая КО в соответствии с приложением 31 к настоящему Регламенту, осуществляется с учетом потенциальных обязательств тех же лиц по оплате штрафов по ранее поданным в рамках ОПВ заявкам в установленном п. 2 приложения 31 к настоящему Регламенту порядке.</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Если 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 то в отношении объекта ВИЭ до даты начала срока подачи заявок должны быть выполнены одновременно следующие условия:</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 участником ОПВ заключено Соглашение </w:t>
            </w:r>
            <w:r w:rsidRPr="00417274">
              <w:rPr>
                <w:rFonts w:ascii="Garamond" w:eastAsia="Batang" w:hAnsi="Garamond"/>
                <w:color w:val="000000"/>
                <w:sz w:val="22"/>
                <w:szCs w:val="22"/>
                <w:lang w:eastAsia="ar-SA"/>
              </w:rPr>
              <w:t xml:space="preserve">об оплате штрафов по ДПМ ВИЭ </w:t>
            </w:r>
            <w:r w:rsidRPr="00417274">
              <w:rPr>
                <w:rFonts w:ascii="Garamond" w:eastAsia="Batang" w:hAnsi="Garamond"/>
                <w:iCs/>
                <w:sz w:val="22"/>
                <w:szCs w:val="22"/>
                <w:lang w:eastAsia="en-US"/>
              </w:rPr>
              <w:t xml:space="preserve">по форме, установленной Приложением № Д 6.6 к </w:t>
            </w:r>
            <w:r w:rsidRPr="00417274">
              <w:rPr>
                <w:rFonts w:ascii="Garamond" w:eastAsia="Batang" w:hAnsi="Garamond"/>
                <w:i/>
                <w:iCs/>
                <w:sz w:val="22"/>
                <w:szCs w:val="22"/>
                <w:lang w:eastAsia="en-US"/>
              </w:rPr>
              <w:t>Договору о присоединении к торговой системе оптового рынка</w:t>
            </w:r>
            <w:r w:rsidRPr="00417274">
              <w:rPr>
                <w:rFonts w:ascii="Garamond" w:eastAsia="Batang" w:hAnsi="Garamond"/>
                <w:color w:val="000000"/>
                <w:sz w:val="22"/>
                <w:szCs w:val="22"/>
                <w:lang w:eastAsia="ar-SA"/>
              </w:rPr>
              <w:t xml:space="preserve">, </w:t>
            </w:r>
            <w:r w:rsidRPr="00417274">
              <w:rPr>
                <w:rFonts w:ascii="Garamond" w:eastAsia="Batang" w:hAnsi="Garamond"/>
                <w:sz w:val="22"/>
                <w:szCs w:val="22"/>
                <w:lang w:eastAsia="ar-SA"/>
              </w:rPr>
              <w:t>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5B0E5D" w:rsidRPr="00417274" w:rsidRDefault="00AD70DD" w:rsidP="000933D0">
            <w:pPr>
              <w:suppressAutoHyphens/>
              <w:spacing w:before="120" w:after="120"/>
              <w:ind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ЦФР получено от банка получателя средств уведомление (извещение) об открытии аккредитива, содержащего все условия, соответствующие требованиям, указанным в пункте 7.6 настоящего Регламента;</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уведомление (извещение) об открытии аккредитива </w:t>
            </w:r>
            <w:r w:rsidRPr="00417274">
              <w:rPr>
                <w:rFonts w:ascii="Garamond" w:eastAsia="Batang" w:hAnsi="Garamond" w:cs="Garamond"/>
                <w:sz w:val="22"/>
                <w:szCs w:val="22"/>
                <w:lang w:val="x-none" w:eastAsia="ar-SA"/>
              </w:rPr>
              <w:t>был</w:t>
            </w:r>
            <w:r w:rsidRPr="00417274">
              <w:rPr>
                <w:rFonts w:ascii="Garamond" w:eastAsia="Batang" w:hAnsi="Garamond" w:cs="Garamond"/>
                <w:sz w:val="22"/>
                <w:szCs w:val="22"/>
                <w:lang w:eastAsia="ar-SA"/>
              </w:rPr>
              <w:t>о</w:t>
            </w:r>
            <w:r w:rsidRPr="00417274">
              <w:rPr>
                <w:rFonts w:ascii="Garamond" w:eastAsia="Batang" w:hAnsi="Garamond" w:cs="Garamond"/>
                <w:sz w:val="22"/>
                <w:szCs w:val="22"/>
                <w:lang w:val="x-none" w:eastAsia="ar-SA"/>
              </w:rPr>
              <w:t xml:space="preserve"> получен</w:t>
            </w:r>
            <w:r w:rsidRPr="00417274">
              <w:rPr>
                <w:rFonts w:ascii="Garamond" w:eastAsia="Batang" w:hAnsi="Garamond" w:cs="Garamond"/>
                <w:sz w:val="22"/>
                <w:szCs w:val="22"/>
                <w:lang w:eastAsia="ar-SA"/>
              </w:rPr>
              <w:t xml:space="preserve">о ЦФР от </w:t>
            </w:r>
            <w:r w:rsidRPr="00417274">
              <w:rPr>
                <w:rFonts w:ascii="Garamond" w:eastAsia="Batang" w:hAnsi="Garamond" w:cs="Garamond"/>
                <w:sz w:val="22"/>
                <w:szCs w:val="22"/>
                <w:lang w:val="x-none" w:eastAsia="ar-SA"/>
              </w:rPr>
              <w:t>банк</w:t>
            </w:r>
            <w:r w:rsidRPr="00417274">
              <w:rPr>
                <w:rFonts w:ascii="Garamond" w:eastAsia="Batang" w:hAnsi="Garamond" w:cs="Garamond"/>
                <w:sz w:val="22"/>
                <w:szCs w:val="22"/>
                <w:lang w:eastAsia="ar-SA"/>
              </w:rPr>
              <w:t xml:space="preserve">а </w:t>
            </w:r>
            <w:r w:rsidRPr="00417274">
              <w:rPr>
                <w:rFonts w:ascii="Garamond" w:eastAsia="Batang" w:hAnsi="Garamond" w:cs="Garamond"/>
                <w:sz w:val="22"/>
                <w:szCs w:val="22"/>
                <w:lang w:val="x-none" w:eastAsia="ar-SA"/>
              </w:rPr>
              <w:t xml:space="preserve">получателя средств не позднее </w:t>
            </w:r>
            <w:r w:rsidRPr="00417274">
              <w:rPr>
                <w:rFonts w:ascii="Garamond" w:eastAsia="Batang" w:hAnsi="Garamond" w:cs="Garamond"/>
                <w:sz w:val="22"/>
                <w:szCs w:val="22"/>
                <w:lang w:eastAsia="ar-SA"/>
              </w:rPr>
              <w:t xml:space="preserve">чем за 8 рабочих дней до даты начала срока подачи заявок </w:t>
            </w:r>
            <w:r w:rsidRPr="00417274">
              <w:rPr>
                <w:rFonts w:ascii="Garamond" w:eastAsia="Batang" w:hAnsi="Garamond" w:cs="Garamond"/>
                <w:sz w:val="22"/>
                <w:szCs w:val="22"/>
                <w:highlight w:val="yellow"/>
                <w:lang w:eastAsia="ar-SA"/>
              </w:rPr>
              <w:t>(для ОПВ, проводимого в 2020 году, – не позднее 11 ноября 2020 года</w:t>
            </w:r>
            <w:r w:rsidR="00947DC3" w:rsidRPr="00417274">
              <w:rPr>
                <w:rFonts w:ascii="Garamond" w:eastAsia="Batang" w:hAnsi="Garamond" w:cs="Garamond"/>
                <w:sz w:val="22"/>
                <w:szCs w:val="22"/>
                <w:highlight w:val="yellow"/>
                <w:lang w:eastAsia="ar-SA"/>
              </w:rPr>
              <w:t>)</w:t>
            </w:r>
            <w:r w:rsidRPr="00417274">
              <w:rPr>
                <w:rFonts w:ascii="Garamond" w:eastAsia="Batang" w:hAnsi="Garamond" w:cs="Garamond"/>
                <w:sz w:val="22"/>
                <w:szCs w:val="22"/>
                <w:lang w:eastAsia="ar-SA"/>
              </w:rPr>
              <w:t>.</w:t>
            </w:r>
          </w:p>
          <w:p w:rsidR="005B0E5D" w:rsidRPr="00417274" w:rsidRDefault="00AD70DD" w:rsidP="000933D0">
            <w:pPr>
              <w:keepNext/>
              <w:keepLines/>
              <w:suppressAutoHyphens/>
              <w:spacing w:before="120" w:after="120"/>
              <w:ind w:firstLine="709"/>
              <w:jc w:val="both"/>
              <w:outlineLvl w:val="3"/>
              <w:rPr>
                <w:rFonts w:ascii="Garamond" w:eastAsia="Batang" w:hAnsi="Garamond" w:cs="Garamond"/>
                <w:iCs/>
                <w:sz w:val="22"/>
                <w:szCs w:val="22"/>
                <w:lang w:eastAsia="en-US"/>
              </w:rPr>
            </w:pPr>
            <w:r w:rsidRPr="00417274">
              <w:rPr>
                <w:rFonts w:ascii="Garamond" w:eastAsia="Batang" w:hAnsi="Garamond" w:cs="Garamond"/>
                <w:iCs/>
                <w:sz w:val="22"/>
                <w:szCs w:val="22"/>
                <w:lang w:eastAsia="en-US"/>
              </w:rPr>
              <w:lastRenderedPageBreak/>
              <w:t>Если способом обеспечения исполнения обязательств участника ОПВ, возникающих по результатам ОПВ, является банковская гарантия, обеспечивающая исполнение участником ОПВ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 то в отношении объекта ВИЭ до даты начала срока подачи заявок должны быть выполнены одновременно следующие условия:</w:t>
            </w:r>
          </w:p>
          <w:p w:rsidR="005B0E5D" w:rsidRPr="00417274" w:rsidRDefault="00AD70DD" w:rsidP="000933D0">
            <w:pPr>
              <w:keepNext/>
              <w:keepLines/>
              <w:suppressAutoHyphens/>
              <w:spacing w:before="120" w:after="120"/>
              <w:ind w:firstLine="709"/>
              <w:jc w:val="both"/>
              <w:outlineLvl w:val="3"/>
              <w:rPr>
                <w:rFonts w:ascii="Garamond" w:eastAsia="Batang" w:hAnsi="Garamond" w:cs="Garamond"/>
                <w:iCs/>
                <w:sz w:val="22"/>
                <w:szCs w:val="22"/>
                <w:lang w:eastAsia="en-US"/>
              </w:rPr>
            </w:pPr>
            <w:r w:rsidRPr="00417274">
              <w:rPr>
                <w:rFonts w:ascii="Garamond" w:eastAsia="Batang" w:hAnsi="Garamond" w:cs="Garamond"/>
                <w:iCs/>
                <w:sz w:val="22"/>
                <w:szCs w:val="22"/>
                <w:lang w:eastAsia="en-US"/>
              </w:rPr>
              <w:t xml:space="preserve">– участником ОПВ заключено Соглашение об оплате штрафов по ДПМ ВИЭ по форме, установленной Приложением № Д 6.14 к </w:t>
            </w:r>
            <w:r w:rsidRPr="00417274">
              <w:rPr>
                <w:rFonts w:ascii="Garamond" w:eastAsia="Batang" w:hAnsi="Garamond" w:cs="Garamond"/>
                <w:i/>
                <w:iCs/>
                <w:sz w:val="22"/>
                <w:szCs w:val="22"/>
                <w:lang w:eastAsia="en-US"/>
              </w:rPr>
              <w:t>Договору о присоединении к торговой системе оптового рынка</w:t>
            </w:r>
            <w:r w:rsidRPr="00417274">
              <w:rPr>
                <w:rFonts w:ascii="Garamond" w:eastAsia="Batang" w:hAnsi="Garamond" w:cs="Garamond"/>
                <w:iCs/>
                <w:sz w:val="22"/>
                <w:szCs w:val="22"/>
                <w:lang w:eastAsia="en-US"/>
              </w:rPr>
              <w:t>, с указанием соответствующего объекта ВИЭ (при этом код ГТП генерации, местонахождение, вид и год начала поставки мощности, указанные в соответствующем соглашении, должны соответствовать аналогичным параметрам, указанным в заявке на ОПВ);</w:t>
            </w:r>
          </w:p>
          <w:p w:rsidR="005B0E5D" w:rsidRPr="00417274" w:rsidRDefault="00AD70DD" w:rsidP="000933D0">
            <w:pPr>
              <w:keepNext/>
              <w:keepLines/>
              <w:suppressAutoHyphens/>
              <w:spacing w:before="120" w:after="120"/>
              <w:ind w:firstLine="709"/>
              <w:jc w:val="both"/>
              <w:outlineLvl w:val="3"/>
              <w:rPr>
                <w:rFonts w:ascii="Garamond" w:eastAsia="Batang" w:hAnsi="Garamond" w:cs="Garamond"/>
                <w:iCs/>
                <w:sz w:val="22"/>
                <w:szCs w:val="22"/>
                <w:lang w:eastAsia="en-US"/>
              </w:rPr>
            </w:pPr>
            <w:r w:rsidRPr="00417274">
              <w:rPr>
                <w:rFonts w:ascii="Garamond" w:eastAsia="Batang" w:hAnsi="Garamond" w:cs="Garamond"/>
                <w:iCs/>
                <w:sz w:val="22"/>
                <w:szCs w:val="22"/>
                <w:lang w:eastAsia="en-US"/>
              </w:rPr>
              <w:t>– ЦФР получена банковская гарантия, соответствующая требованиям, указанным в пункте 7.7 настоящего Регламента;</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en-US"/>
              </w:rPr>
              <w:t xml:space="preserve">– банковская гарантия получена </w:t>
            </w:r>
            <w:r w:rsidRPr="00417274">
              <w:rPr>
                <w:rFonts w:ascii="Garamond" w:eastAsia="Batang" w:hAnsi="Garamond" w:cs="Garamond"/>
                <w:sz w:val="22"/>
                <w:szCs w:val="22"/>
                <w:lang w:val="x-none" w:eastAsia="en-US"/>
              </w:rPr>
              <w:t xml:space="preserve">не позднее </w:t>
            </w:r>
            <w:r w:rsidRPr="00417274">
              <w:rPr>
                <w:rFonts w:ascii="Garamond" w:eastAsia="Batang" w:hAnsi="Garamond" w:cs="Garamond"/>
                <w:sz w:val="22"/>
                <w:szCs w:val="22"/>
                <w:lang w:eastAsia="en-US"/>
              </w:rPr>
              <w:t xml:space="preserve">чем за 8 рабочих дней до даты начала срока подачи заявок </w:t>
            </w:r>
            <w:r w:rsidRPr="00417274">
              <w:rPr>
                <w:rFonts w:ascii="Garamond" w:eastAsia="Batang" w:hAnsi="Garamond" w:cs="Garamond"/>
                <w:sz w:val="22"/>
                <w:szCs w:val="22"/>
                <w:highlight w:val="yellow"/>
                <w:lang w:eastAsia="ar-SA"/>
              </w:rPr>
              <w:t>(для ОПВ, проводимого в 2020 году, – не позднее 11 ноября 2020 года)</w:t>
            </w:r>
            <w:r w:rsidRPr="00417274">
              <w:rPr>
                <w:rFonts w:ascii="Garamond" w:eastAsia="Batang" w:hAnsi="Garamond" w:cs="Garamond"/>
                <w:sz w:val="22"/>
                <w:szCs w:val="22"/>
                <w:lang w:eastAsia="en-US"/>
              </w:rPr>
              <w:t>.</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Соответствие заявки на ОПВ требованиям настоящего пункта устанавливается КО на основании:</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данных Реестра </w:t>
            </w:r>
            <w:r w:rsidRPr="00417274">
              <w:rPr>
                <w:rFonts w:ascii="Garamond" w:eastAsia="Batang" w:hAnsi="Garamond" w:cs="Garamond"/>
                <w:sz w:val="22"/>
                <w:szCs w:val="22"/>
                <w:lang w:val="x-none" w:eastAsia="ar-SA"/>
              </w:rPr>
              <w:t xml:space="preserve">заключенных договоров коммерческого представительства для целей заключения договоров </w:t>
            </w:r>
            <w:r w:rsidRPr="00417274">
              <w:rPr>
                <w:rFonts w:ascii="Garamond" w:eastAsia="Batang" w:hAnsi="Garamond" w:cs="Garamond"/>
                <w:sz w:val="22"/>
                <w:szCs w:val="22"/>
                <w:lang w:eastAsia="ar-SA"/>
              </w:rPr>
              <w:t xml:space="preserve">поручительства для обеспечения исполнения обязательств поставщика мощности по договорам </w:t>
            </w:r>
            <w:r w:rsidRPr="00417274">
              <w:rPr>
                <w:rFonts w:ascii="Garamond" w:eastAsia="Batang" w:hAnsi="Garamond" w:cs="Garamond"/>
                <w:sz w:val="22"/>
                <w:szCs w:val="22"/>
                <w:lang w:val="x-none" w:eastAsia="ar-SA"/>
              </w:rPr>
              <w:t>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Pr="00417274">
              <w:rPr>
                <w:rFonts w:ascii="Garamond" w:eastAsia="Batang" w:hAnsi="Garamond" w:cs="Garamond"/>
                <w:sz w:val="22"/>
                <w:szCs w:val="22"/>
                <w:lang w:eastAsia="ar-SA"/>
              </w:rPr>
              <w:t>, полученного от ЦФР в соответствии с пунктом 6.4.7 настоящего Регламента, – в случае,</w:t>
            </w:r>
            <w:r w:rsidRPr="00417274">
              <w:rPr>
                <w:rFonts w:ascii="Garamond" w:eastAsia="Batang" w:hAnsi="Garamond" w:cs="Garamond"/>
                <w:sz w:val="22"/>
                <w:szCs w:val="22"/>
                <w:lang w:val="x-none" w:eastAsia="ar-SA"/>
              </w:rPr>
              <w:t xml:space="preserve"> если способом обеспечения исполнения обязательств участника ОПВ, возникающих по результатам ОПВ, является предоставление поручительств</w:t>
            </w:r>
            <w:r w:rsidRPr="00417274">
              <w:rPr>
                <w:rFonts w:ascii="Garamond" w:eastAsia="Batang" w:hAnsi="Garamond" w:cs="Garamond"/>
                <w:sz w:val="22"/>
                <w:szCs w:val="22"/>
                <w:lang w:eastAsia="ar-SA"/>
              </w:rPr>
              <w:t>а</w:t>
            </w:r>
            <w:r w:rsidRPr="00417274">
              <w:rPr>
                <w:rFonts w:ascii="Garamond" w:eastAsia="Batang" w:hAnsi="Garamond" w:cs="Garamond"/>
                <w:sz w:val="22"/>
                <w:szCs w:val="22"/>
                <w:lang w:val="x-none" w:eastAsia="ar-SA"/>
              </w:rPr>
              <w:t xml:space="preserve"> третьего лиц</w:t>
            </w:r>
            <w:r w:rsidRPr="00417274">
              <w:rPr>
                <w:rFonts w:ascii="Garamond" w:eastAsia="Batang" w:hAnsi="Garamond" w:cs="Garamond"/>
                <w:sz w:val="22"/>
                <w:szCs w:val="22"/>
                <w:lang w:eastAsia="ar-SA"/>
              </w:rPr>
              <w:t>а;</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данных Расчета требований участника оптового рынка от продажи мощности по договорам, заключенным на оптовом рынке, формируемого в соответствии с порядком, определенным в приложении 31 к настоящему Регламенту, – в случае,</w:t>
            </w:r>
            <w:r w:rsidRPr="00417274">
              <w:rPr>
                <w:rFonts w:ascii="Garamond" w:eastAsia="Batang" w:hAnsi="Garamond" w:cs="Garamond"/>
                <w:sz w:val="22"/>
                <w:szCs w:val="22"/>
                <w:lang w:val="x-none" w:eastAsia="ar-SA"/>
              </w:rPr>
              <w:t xml:space="preserve"> если способом обеспечения исполнения обязательств участника ОПВ, возникающих по результатам </w:t>
            </w:r>
            <w:r w:rsidRPr="00417274">
              <w:rPr>
                <w:rFonts w:ascii="Garamond" w:eastAsia="Batang" w:hAnsi="Garamond" w:cs="Garamond"/>
                <w:sz w:val="22"/>
                <w:szCs w:val="22"/>
                <w:lang w:val="x-none" w:eastAsia="ar-SA"/>
              </w:rPr>
              <w:lastRenderedPageBreak/>
              <w:t xml:space="preserve">ОПВ, является </w:t>
            </w:r>
            <w:r w:rsidRPr="00417274">
              <w:rPr>
                <w:rFonts w:ascii="Garamond" w:eastAsia="Batang" w:hAnsi="Garamond" w:cs="Garamond"/>
                <w:sz w:val="22"/>
                <w:szCs w:val="22"/>
                <w:lang w:eastAsia="ar-SA"/>
              </w:rPr>
              <w:t xml:space="preserve">неустойка по ДПМ ВИЭ или </w:t>
            </w:r>
            <w:r w:rsidRPr="00417274">
              <w:rPr>
                <w:rFonts w:ascii="Garamond" w:eastAsia="Batang" w:hAnsi="Garamond" w:cs="Garamond"/>
                <w:sz w:val="22"/>
                <w:szCs w:val="22"/>
                <w:lang w:val="x-none" w:eastAsia="ar-SA"/>
              </w:rPr>
              <w:t>предоставление поручительств третьих лиц</w:t>
            </w:r>
            <w:r w:rsidRPr="00417274">
              <w:rPr>
                <w:rFonts w:ascii="Garamond" w:eastAsia="Batang" w:hAnsi="Garamond" w:cs="Garamond"/>
                <w:sz w:val="22"/>
                <w:szCs w:val="22"/>
                <w:lang w:eastAsia="ar-SA"/>
              </w:rPr>
              <w:t>;</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данных Реестра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6.7.3 настоящего Регламента – в случае, если </w:t>
            </w:r>
            <w:r w:rsidRPr="00417274">
              <w:rPr>
                <w:rFonts w:ascii="Garamond" w:eastAsia="Batang" w:hAnsi="Garamond" w:cs="Garamond"/>
                <w:sz w:val="22"/>
                <w:szCs w:val="22"/>
                <w:lang w:val="x-none" w:eastAsia="ar-SA"/>
              </w:rPr>
              <w:t>способом обеспечения исполнения обязательств участника ОПВ, возникающих по результатам ОПВ, является штраф, оплата которого осуществляется по аккредитиву</w:t>
            </w:r>
            <w:r w:rsidRPr="00417274">
              <w:rPr>
                <w:rFonts w:ascii="Garamond" w:eastAsia="Batang" w:hAnsi="Garamond" w:cs="Garamond"/>
                <w:sz w:val="22"/>
                <w:szCs w:val="22"/>
                <w:lang w:eastAsia="ar-SA"/>
              </w:rPr>
              <w:t xml:space="preserve"> </w:t>
            </w:r>
            <w:r w:rsidRPr="00417274">
              <w:rPr>
                <w:rFonts w:ascii="Garamond" w:eastAsia="Batang" w:hAnsi="Garamond" w:cs="Garamond"/>
                <w:sz w:val="22"/>
                <w:szCs w:val="22"/>
                <w:highlight w:val="yellow"/>
                <w:lang w:eastAsia="ar-SA"/>
              </w:rPr>
              <w:t>(в рамках ОПВ, проводимого в 2020 году, в пятый день первого этапа ОПВ КО в целях определения соответствия заявки требованиям настоящего пункта использует актуализированный реестр, полученный от ЦФР в соответств</w:t>
            </w:r>
            <w:r w:rsidR="0044747F">
              <w:rPr>
                <w:rFonts w:ascii="Garamond" w:eastAsia="Batang" w:hAnsi="Garamond" w:cs="Garamond"/>
                <w:sz w:val="22"/>
                <w:szCs w:val="22"/>
                <w:highlight w:val="yellow"/>
                <w:lang w:eastAsia="ar-SA"/>
              </w:rPr>
              <w:t>ии с абзацем пятым пункта 6.7.3</w:t>
            </w:r>
            <w:r w:rsidRPr="00417274">
              <w:rPr>
                <w:rFonts w:ascii="Garamond" w:eastAsia="Batang" w:hAnsi="Garamond" w:cs="Garamond"/>
                <w:sz w:val="22"/>
                <w:szCs w:val="22"/>
                <w:highlight w:val="yellow"/>
                <w:lang w:eastAsia="ar-SA"/>
              </w:rPr>
              <w:t xml:space="preserve"> настоящего Регламента)</w:t>
            </w:r>
            <w:r w:rsidRPr="00417274">
              <w:rPr>
                <w:rFonts w:ascii="Garamond" w:eastAsia="Batang" w:hAnsi="Garamond" w:cs="Garamond"/>
                <w:sz w:val="22"/>
                <w:szCs w:val="22"/>
                <w:lang w:eastAsia="ar-SA"/>
              </w:rPr>
              <w:t>;</w:t>
            </w:r>
          </w:p>
          <w:p w:rsidR="005B0E5D" w:rsidRPr="00417274" w:rsidRDefault="00AD70DD" w:rsidP="000933D0">
            <w:pPr>
              <w:suppressAutoHyphens/>
              <w:spacing w:before="120" w:after="120"/>
              <w:ind w:firstLine="709"/>
              <w:jc w:val="both"/>
              <w:outlineLvl w:val="3"/>
              <w:rPr>
                <w:rFonts w:ascii="Garamond" w:eastAsia="Batang" w:hAnsi="Garamond" w:cs="Garamond"/>
                <w:sz w:val="22"/>
                <w:szCs w:val="22"/>
                <w:lang w:eastAsia="ar-SA"/>
              </w:rPr>
            </w:pPr>
            <w:r w:rsidRPr="00417274">
              <w:rPr>
                <w:rFonts w:ascii="Garamond" w:eastAsia="Batang" w:hAnsi="Garamond" w:cs="Garamond"/>
                <w:sz w:val="22"/>
                <w:szCs w:val="22"/>
                <w:lang w:eastAsia="ar-SA"/>
              </w:rPr>
              <w:t xml:space="preserve">– </w:t>
            </w:r>
            <w:r w:rsidRPr="00417274">
              <w:rPr>
                <w:rFonts w:ascii="Garamond" w:eastAsia="Batang" w:hAnsi="Garamond" w:cs="Garamond"/>
                <w:sz w:val="22"/>
                <w:szCs w:val="22"/>
                <w:lang w:eastAsia="en-US"/>
              </w:rPr>
              <w:t>данных Реестра банковских гарантий, которые получены ЦФР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полученного от ЦФР в соответствии с пунктом 6.</w:t>
            </w:r>
            <w:r w:rsidR="00A052DE" w:rsidRPr="00417274">
              <w:rPr>
                <w:rFonts w:ascii="Garamond" w:eastAsia="Batang" w:hAnsi="Garamond" w:cs="Garamond"/>
                <w:sz w:val="22"/>
                <w:szCs w:val="22"/>
                <w:highlight w:val="yellow"/>
                <w:lang w:eastAsia="en-US"/>
              </w:rPr>
              <w:t>8</w:t>
            </w:r>
            <w:r w:rsidRPr="00417274">
              <w:rPr>
                <w:rFonts w:ascii="Garamond" w:eastAsia="Batang" w:hAnsi="Garamond" w:cs="Garamond"/>
                <w:sz w:val="22"/>
                <w:szCs w:val="22"/>
                <w:lang w:eastAsia="en-US"/>
              </w:rPr>
              <w:t xml:space="preserve">.3 настоящего Регламента, – в случае, если </w:t>
            </w:r>
            <w:r w:rsidRPr="00417274">
              <w:rPr>
                <w:rFonts w:ascii="Garamond" w:eastAsia="Batang" w:hAnsi="Garamond" w:cs="Garamond"/>
                <w:sz w:val="22"/>
                <w:szCs w:val="22"/>
                <w:lang w:val="x-none" w:eastAsia="en-US"/>
              </w:rPr>
              <w:t xml:space="preserve">способом обеспечения исполнения обязательств участника ОПВ, возникающих по результатам ОПВ, является банковская гарантия, обеспечивающая исполнение </w:t>
            </w:r>
            <w:r w:rsidRPr="00417274">
              <w:rPr>
                <w:rFonts w:ascii="Garamond" w:eastAsia="Batang" w:hAnsi="Garamond" w:cs="Garamond"/>
                <w:sz w:val="22"/>
                <w:szCs w:val="22"/>
                <w:lang w:eastAsia="en-US"/>
              </w:rPr>
              <w:t>участником ОПВ</w:t>
            </w:r>
            <w:r w:rsidRPr="00417274">
              <w:rPr>
                <w:rFonts w:ascii="Garamond" w:eastAsia="Batang" w:hAnsi="Garamond" w:cs="Garamond"/>
                <w:sz w:val="22"/>
                <w:szCs w:val="22"/>
                <w:lang w:val="x-none" w:eastAsia="en-US"/>
              </w:rPr>
              <w:t xml:space="preserve"> обязанности по перечислению денежных средств на расчетный счет АО «ЦФР» в счет уплаты штрафов за неисполнение или ненадлежащее исполнение своих обязательств по ДПМ ВИЭ</w:t>
            </w:r>
            <w:r w:rsidRPr="00417274">
              <w:rPr>
                <w:rFonts w:ascii="Garamond" w:eastAsia="Batang" w:hAnsi="Garamond" w:cs="Garamond"/>
                <w:sz w:val="22"/>
                <w:szCs w:val="22"/>
                <w:lang w:eastAsia="ar-SA"/>
              </w:rPr>
              <w:t xml:space="preserve"> </w:t>
            </w:r>
            <w:r w:rsidRPr="00417274">
              <w:rPr>
                <w:rFonts w:ascii="Garamond" w:eastAsia="Batang" w:hAnsi="Garamond" w:cs="Garamond"/>
                <w:sz w:val="22"/>
                <w:szCs w:val="22"/>
                <w:highlight w:val="yellow"/>
                <w:lang w:eastAsia="ar-SA"/>
              </w:rPr>
              <w:t>(в рамках ОПВ, проводимого в 2020 году, в пятый день первого этапа ОПВ КО в целях определения соответствия заявки требованиям настоящего пункта использует актуализированный реестр, полученный от ЦФР в соответств</w:t>
            </w:r>
            <w:r w:rsidR="00861BDF">
              <w:rPr>
                <w:rFonts w:ascii="Garamond" w:eastAsia="Batang" w:hAnsi="Garamond" w:cs="Garamond"/>
                <w:sz w:val="22"/>
                <w:szCs w:val="22"/>
                <w:highlight w:val="yellow"/>
                <w:lang w:eastAsia="ar-SA"/>
              </w:rPr>
              <w:t>ии с абзацем пятым пункта 6.8.3</w:t>
            </w:r>
            <w:r w:rsidRPr="00417274">
              <w:rPr>
                <w:rFonts w:ascii="Garamond" w:eastAsia="Batang" w:hAnsi="Garamond" w:cs="Garamond"/>
                <w:sz w:val="22"/>
                <w:szCs w:val="22"/>
                <w:highlight w:val="yellow"/>
                <w:lang w:eastAsia="ar-SA"/>
              </w:rPr>
              <w:t xml:space="preserve"> настоящего Регламента)</w:t>
            </w:r>
            <w:r w:rsidRPr="00417274">
              <w:rPr>
                <w:rFonts w:ascii="Garamond" w:eastAsia="Batang" w:hAnsi="Garamond" w:cs="Garamond"/>
                <w:sz w:val="22"/>
                <w:szCs w:val="22"/>
                <w:highlight w:val="yellow"/>
                <w:lang w:eastAsia="en-US"/>
              </w:rPr>
              <w:t>.</w:t>
            </w:r>
          </w:p>
          <w:p w:rsidR="005B0E5D" w:rsidRPr="00417274" w:rsidRDefault="00AD70DD" w:rsidP="000933D0">
            <w:pPr>
              <w:suppressAutoHyphens/>
              <w:spacing w:before="120" w:after="120"/>
              <w:ind w:firstLine="709"/>
              <w:jc w:val="both"/>
              <w:rPr>
                <w:rFonts w:ascii="Garamond" w:eastAsia="Batang" w:hAnsi="Garamond"/>
                <w:sz w:val="22"/>
                <w:szCs w:val="22"/>
                <w:lang w:eastAsia="ar-SA"/>
              </w:rPr>
            </w:pPr>
            <w:r w:rsidRPr="00417274">
              <w:rPr>
                <w:rFonts w:ascii="Garamond" w:eastAsia="Batang" w:hAnsi="Garamond"/>
                <w:sz w:val="22"/>
                <w:szCs w:val="22"/>
                <w:lang w:eastAsia="ar-SA"/>
              </w:rPr>
              <w:t xml:space="preserve">Величина обеспечения исполнения обязательств, указанная в заявке на ОПВ в поле «величина обеспечения (гарантии) исполнения обязательств, возникающих по результатам ОПВ», составляет не менее 5% от произведения предельной величины капитальных затрат на 1 кВт установленной мощности, определенной </w:t>
            </w:r>
            <w:r w:rsidRPr="00417274">
              <w:rPr>
                <w:rFonts w:ascii="Garamond" w:eastAsia="Batang" w:hAnsi="Garamond"/>
                <w:sz w:val="22"/>
                <w:szCs w:val="22"/>
              </w:rPr>
              <w:t xml:space="preserve">в соответствии с приложением 17 к настоящему Регламенту </w:t>
            </w:r>
            <w:r w:rsidRPr="00417274">
              <w:rPr>
                <w:rFonts w:ascii="Garamond" w:eastAsia="Batang" w:hAnsi="Garamond"/>
                <w:sz w:val="22"/>
                <w:szCs w:val="22"/>
                <w:lang w:eastAsia="ar-SA"/>
              </w:rPr>
              <w:t xml:space="preserve">для генерирующих объектов </w:t>
            </w:r>
            <w:r w:rsidRPr="00417274">
              <w:rPr>
                <w:rFonts w:ascii="Garamond" w:eastAsia="Batang" w:hAnsi="Garamond"/>
                <w:sz w:val="22"/>
                <w:szCs w:val="22"/>
                <w:lang w:eastAsia="ar-SA"/>
              </w:rPr>
              <w:lastRenderedPageBreak/>
              <w:t>соответствующего вида и календарного года начала поставки мощности данного объекта, и объема установленной мощности генерирующего объекта, указанного в заявке на ОПВ;</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указанные в заявке, поданной в ходе второго этапа ОПВ, значения всех параметров, за исключением плановой величины капитальных затрат на 1 кВт установленной мощности, указанной в заявке в соответствии с подпунктом </w:t>
            </w:r>
            <w:r w:rsidRPr="00417274">
              <w:rPr>
                <w:rFonts w:ascii="Garamond" w:eastAsia="Batang" w:hAnsi="Garamond" w:cs="Garamond"/>
                <w:sz w:val="22"/>
                <w:szCs w:val="22"/>
                <w:lang w:eastAsia="ar-SA"/>
              </w:rPr>
              <w:t xml:space="preserve">9 </w:t>
            </w:r>
            <w:r w:rsidRPr="00417274">
              <w:rPr>
                <w:rFonts w:ascii="Garamond" w:eastAsia="Batang" w:hAnsi="Garamond"/>
                <w:sz w:val="22"/>
                <w:szCs w:val="22"/>
                <w:lang w:eastAsia="ar-SA"/>
              </w:rPr>
              <w:t>пункта 4.1.3 настоящего Регламента, совпадают со значениями соответствующих параметров поданной тем же участником ОПВ заявки, включенной в Перечень по итогам этапа 1;</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кратность уменьшения заявки указана с точностью до 1 МВт и находится в пределах от 1 до 25 МВт;</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кратность уменьшения заявки не превышает величину планового объема установленной мощности, указанную в заявке в отношении данного объекта ВИЭ в соответствии с подпунктом 6 пункта 4.1.3 настоящего Регламента;</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набор символов, указанный в поле заявки «регистрационный номер», не был указан в соответствующем поле иной заявки, поданной в отношении того же объекта ВИЭ;</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заявка содержит предусмотренное подпунктом 14 пункта 4.1.3 настоящего Регламента волеизъявление участника ОПВ, при этом формат и размерность данного параметра соответствуют предусмотренным приложением 1.1 к настоящему Регламенту;</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заявка содержит предусмотренное подпунктом 15 пункта 4.1.3 настоящего Регламента </w:t>
            </w:r>
            <w:r w:rsidRPr="00417274">
              <w:rPr>
                <w:rFonts w:ascii="Garamond" w:eastAsia="Batang" w:hAnsi="Garamond"/>
                <w:bCs/>
                <w:sz w:val="22"/>
                <w:szCs w:val="22"/>
                <w:lang w:eastAsia="ar-SA"/>
              </w:rPr>
              <w:t xml:space="preserve">указание </w:t>
            </w:r>
            <w:r w:rsidRPr="00417274">
              <w:rPr>
                <w:rFonts w:ascii="Garamond" w:eastAsia="Batang" w:hAnsi="Garamond"/>
                <w:sz w:val="22"/>
                <w:szCs w:val="22"/>
                <w:lang w:eastAsia="ar-SA"/>
              </w:rPr>
              <w:t>участника ОПВ, при этом формат и размерность данного параметра соответствуют предусмотренным приложением 1.1 к настоящему Регламенту;</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генерирующий объект, в отношении которого зарегистрирована указанная в заявке в соответствии с подпунктом 8 пункта 4.1.3 настоящего Регламента условная ГТП, не был отобран по результатам какого-либо из конкурентных отборов мощности, проведенных до 1 (первого) января года </w:t>
            </w:r>
            <w:r w:rsidRPr="00417274">
              <w:rPr>
                <w:rFonts w:ascii="Garamond" w:eastAsia="Batang" w:hAnsi="Garamond"/>
                <w:i/>
                <w:sz w:val="22"/>
                <w:szCs w:val="22"/>
                <w:lang w:eastAsia="ar-SA"/>
              </w:rPr>
              <w:t>Х</w:t>
            </w:r>
            <w:r w:rsidRPr="00417274">
              <w:rPr>
                <w:rFonts w:ascii="Garamond" w:eastAsia="Batang" w:hAnsi="Garamond"/>
                <w:sz w:val="22"/>
                <w:szCs w:val="22"/>
                <w:lang w:eastAsia="ar-SA"/>
              </w:rPr>
              <w:t>;</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ar-SA"/>
              </w:rPr>
              <w:t xml:space="preserve">проект по строительству генерирующего объекта, в отношении которого зарегистрирована указанная в заявке в соответствии с подпунктом 8 пункта 4.1.3 настоящего Регламента условная ГТП, не был </w:t>
            </w:r>
            <w:r w:rsidRPr="00417274">
              <w:rPr>
                <w:rFonts w:ascii="Garamond" w:eastAsia="Batang" w:hAnsi="Garamond"/>
                <w:sz w:val="22"/>
                <w:szCs w:val="22"/>
                <w:lang w:eastAsia="ar-SA"/>
              </w:rPr>
              <w:lastRenderedPageBreak/>
              <w:t xml:space="preserve">отобран по результатам какого-либо из ОПВ, проведенных до 1 (первого) января года </w:t>
            </w:r>
            <w:r w:rsidRPr="00417274">
              <w:rPr>
                <w:rFonts w:ascii="Garamond" w:eastAsia="Batang" w:hAnsi="Garamond"/>
                <w:i/>
                <w:sz w:val="22"/>
                <w:szCs w:val="22"/>
                <w:lang w:eastAsia="ar-SA"/>
              </w:rPr>
              <w:t>Х</w:t>
            </w:r>
            <w:r w:rsidRPr="00417274">
              <w:rPr>
                <w:rFonts w:ascii="Garamond" w:eastAsia="Batang" w:hAnsi="Garamond"/>
                <w:sz w:val="22"/>
                <w:szCs w:val="22"/>
                <w:lang w:eastAsia="ar-SA"/>
              </w:rPr>
              <w:t>;</w:t>
            </w:r>
          </w:p>
          <w:p w:rsidR="005B0E5D" w:rsidRPr="00417274" w:rsidRDefault="00AD70DD" w:rsidP="000933D0">
            <w:pPr>
              <w:numPr>
                <w:ilvl w:val="0"/>
                <w:numId w:val="36"/>
              </w:numPr>
              <w:tabs>
                <w:tab w:val="num" w:pos="993"/>
              </w:tabs>
              <w:suppressAutoHyphens/>
              <w:spacing w:before="120" w:after="120"/>
              <w:ind w:left="0" w:firstLine="709"/>
              <w:jc w:val="both"/>
              <w:outlineLvl w:val="3"/>
              <w:rPr>
                <w:rFonts w:ascii="Garamond" w:eastAsia="Batang" w:hAnsi="Garamond"/>
                <w:sz w:val="22"/>
                <w:szCs w:val="22"/>
                <w:lang w:eastAsia="ar-SA"/>
              </w:rPr>
            </w:pPr>
            <w:r w:rsidRPr="00417274">
              <w:rPr>
                <w:rFonts w:ascii="Garamond" w:eastAsia="Batang" w:hAnsi="Garamond"/>
                <w:sz w:val="22"/>
                <w:szCs w:val="22"/>
                <w:lang w:eastAsia="en-US"/>
              </w:rPr>
              <w:t>заявка содержит предусмотренное подпунктом 16 пункта 4.1.3 настоящего Регламента заверение участника ОПВ, при этом формат и размерность данного параметра соответствуют предусмотренным приложением 1.1 к настоящему Регламенту.</w:t>
            </w:r>
          </w:p>
        </w:tc>
      </w:tr>
      <w:tr w:rsidR="005B0E5D" w:rsidRPr="00417274" w:rsidTr="00A052DE">
        <w:trPr>
          <w:trHeight w:val="345"/>
        </w:trPr>
        <w:tc>
          <w:tcPr>
            <w:tcW w:w="352" w:type="pct"/>
            <w:tcBorders>
              <w:top w:val="single" w:sz="4" w:space="0" w:color="auto"/>
              <w:left w:val="single" w:sz="4" w:space="0" w:color="auto"/>
              <w:bottom w:val="single" w:sz="4" w:space="0" w:color="auto"/>
              <w:right w:val="single" w:sz="4" w:space="0" w:color="auto"/>
            </w:tcBorders>
          </w:tcPr>
          <w:p w:rsidR="005B0E5D" w:rsidRPr="00417274" w:rsidRDefault="00226FF5">
            <w:pPr>
              <w:spacing w:before="180"/>
              <w:jc w:val="center"/>
              <w:rPr>
                <w:rFonts w:ascii="Garamond" w:hAnsi="Garamond" w:cs="Garamond"/>
                <w:b/>
                <w:bCs/>
                <w:sz w:val="22"/>
                <w:szCs w:val="22"/>
              </w:rPr>
            </w:pPr>
            <w:r w:rsidRPr="00417274">
              <w:rPr>
                <w:rFonts w:ascii="Garamond" w:hAnsi="Garamond" w:cs="Garamond"/>
                <w:b/>
                <w:bCs/>
                <w:sz w:val="22"/>
                <w:szCs w:val="22"/>
              </w:rPr>
              <w:lastRenderedPageBreak/>
              <w:t>6.7.3</w:t>
            </w:r>
          </w:p>
        </w:tc>
        <w:tc>
          <w:tcPr>
            <w:tcW w:w="2324" w:type="pct"/>
            <w:gridSpan w:val="2"/>
            <w:tcBorders>
              <w:top w:val="single" w:sz="4" w:space="0" w:color="auto"/>
              <w:left w:val="single" w:sz="4" w:space="0" w:color="auto"/>
              <w:bottom w:val="single" w:sz="4" w:space="0" w:color="auto"/>
              <w:right w:val="single" w:sz="4" w:space="0" w:color="auto"/>
            </w:tcBorders>
          </w:tcPr>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6.7.3.</w:t>
            </w:r>
            <w:r w:rsidRPr="00417274">
              <w:rPr>
                <w:rFonts w:ascii="Garamond" w:hAnsi="Garamond"/>
                <w:sz w:val="22"/>
                <w:szCs w:val="22"/>
                <w:lang w:eastAsia="en-US"/>
              </w:rPr>
              <w:tab/>
              <w:t>В целях заключения соглашения об оплате штрафов по ДПМ ВИЭ по аккредитиву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в КО заявление о заключении соглашения об оплате штрафов по ДПМ ВИЭ по аккредитиву по форме приложения 5.1 к настоящему Регламенту.</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В течение 7 (семи) рабочих дней со дня, следующего за днем получения от участника ОПВ заявления о намерении заключения соглашения об оплате штрафов по ДПМ ВИЭ по аккредитиву,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соответствующему участнику ОПВ. 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ЦФР направляет в КО реестр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4.4 к настоящему Регламенту (далее – реестр аккредитивов).</w:t>
            </w:r>
          </w:p>
          <w:p w:rsidR="005B0E5D" w:rsidRPr="00417274" w:rsidRDefault="00AD70DD" w:rsidP="000933D0">
            <w:pPr>
              <w:tabs>
                <w:tab w:val="num" w:pos="2134"/>
              </w:tabs>
              <w:spacing w:before="120" w:after="120"/>
              <w:ind w:firstLine="709"/>
              <w:jc w:val="both"/>
              <w:outlineLvl w:val="0"/>
              <w:rPr>
                <w:rFonts w:ascii="Garamond" w:hAnsi="Garamond"/>
                <w:sz w:val="22"/>
                <w:szCs w:val="22"/>
                <w:lang w:eastAsia="en-US"/>
              </w:rPr>
            </w:pPr>
            <w:r w:rsidRPr="00417274">
              <w:rPr>
                <w:rFonts w:ascii="Garamond" w:hAnsi="Garamond"/>
                <w:sz w:val="22"/>
                <w:szCs w:val="22"/>
                <w:lang w:eastAsia="en-US"/>
              </w:rPr>
              <w:lastRenderedPageBreak/>
              <w:t>ЦФР ежегодно, не позднее рабочего дня, предшествующего дате начала срока подачи заявок, направляет в КО в электронном виде с применением ЭП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w:t>
            </w:r>
          </w:p>
        </w:tc>
        <w:tc>
          <w:tcPr>
            <w:tcW w:w="2324" w:type="pct"/>
            <w:tcBorders>
              <w:top w:val="single" w:sz="4" w:space="0" w:color="auto"/>
              <w:left w:val="single" w:sz="4" w:space="0" w:color="auto"/>
              <w:bottom w:val="single" w:sz="4" w:space="0" w:color="auto"/>
              <w:right w:val="single" w:sz="4" w:space="0" w:color="auto"/>
            </w:tcBorders>
          </w:tcPr>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lastRenderedPageBreak/>
              <w:t>6.7.3.</w:t>
            </w:r>
            <w:r w:rsidRPr="00417274">
              <w:rPr>
                <w:rFonts w:ascii="Garamond" w:hAnsi="Garamond"/>
                <w:sz w:val="22"/>
                <w:szCs w:val="22"/>
                <w:lang w:eastAsia="en-US"/>
              </w:rPr>
              <w:tab/>
              <w:t>В целях заключения соглашения об оплате штрафов по ДПМ ВИЭ по аккредитиву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в КО заявление о заключении соглашения об оплате штрафов по ДПМ ВИЭ по аккредитиву по форме приложения 5.1 к настоящему Регламенту.</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В течение 7 (семи) рабочих дней со дня, следующего за днем получения от участника ОПВ заявления о намерении заключения соглашения об оплате штрафов по ДПМ ВИЭ по аккредитиву,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по аккредитиву и реестр заключенных соглашений об оплате штрафов по ДПМ ВИЭ по аккредитиву по форме приложения 4.5 к настоящему Регламенту, а также копию подписанного соглашения об оплате штрафов по ДПМ ВИЭ по аккредитиву соответствующему участнику ОПВ. Реестр заключенных соглашений об оплате штрафов по ДПМ ВИЭ по аккредитиву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ЦФР направляет в КО реестр аккредитивов, уведомление об открытии которых получено ЦФР как получателем средств в соответствии с соглашениями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по форме приложения 4.4 к настоящему Регламенту (далее – реестр аккредитивов).</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lastRenderedPageBreak/>
              <w:t>ЦФР ежегодно, не позднее рабочего дня, предшествующего дате начала срока подачи заявок, направляет в КО в электронном виде с применением ЭП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чем за 8 рабочих дней до даты начала срока подачи заявок.</w:t>
            </w:r>
          </w:p>
          <w:p w:rsidR="005B0E5D" w:rsidRPr="00417274" w:rsidRDefault="00AD70DD" w:rsidP="00A661E2">
            <w:pPr>
              <w:tabs>
                <w:tab w:val="left" w:pos="567"/>
              </w:tabs>
              <w:suppressAutoHyphens/>
              <w:spacing w:before="120" w:after="120"/>
              <w:ind w:firstLine="709"/>
              <w:jc w:val="both"/>
              <w:rPr>
                <w:rFonts w:ascii="Garamond" w:hAnsi="Garamond" w:cs="Garamond"/>
                <w:color w:val="000000"/>
                <w:sz w:val="22"/>
                <w:szCs w:val="22"/>
                <w:lang w:eastAsia="ar-SA"/>
              </w:rPr>
            </w:pPr>
            <w:r w:rsidRPr="00417274">
              <w:rPr>
                <w:rFonts w:ascii="Garamond" w:hAnsi="Garamond"/>
                <w:sz w:val="22"/>
                <w:szCs w:val="22"/>
                <w:highlight w:val="yellow"/>
                <w:lang w:eastAsia="en-US"/>
              </w:rPr>
              <w:t xml:space="preserve">ЦФР не позднее 20 ноября 2020 года направляет в КО в электронном виде с применением ЭП актуализированный реестр аккредитивов. Данный реестр формируется ЦФР с учетом полученных ЦФР от банка получателя средств по аккредитиву уведомлений (извещений) об открытии аккредитива при условии, что уведомление (извещение) об открытии аккредитива было получено ЦФР от банка получателя средств не позднее 11 ноября 2020 года. </w:t>
            </w:r>
            <w:r w:rsidR="00A661E2">
              <w:rPr>
                <w:rFonts w:ascii="Garamond" w:hAnsi="Garamond"/>
                <w:sz w:val="22"/>
                <w:szCs w:val="22"/>
                <w:highlight w:val="yellow"/>
                <w:lang w:eastAsia="en-US"/>
              </w:rPr>
              <w:t>Направляемый</w:t>
            </w:r>
            <w:r w:rsidRPr="00417274">
              <w:rPr>
                <w:rFonts w:ascii="Garamond" w:hAnsi="Garamond"/>
                <w:sz w:val="22"/>
                <w:szCs w:val="22"/>
                <w:highlight w:val="yellow"/>
                <w:lang w:eastAsia="en-US"/>
              </w:rPr>
              <w:t xml:space="preserve"> в соответствии с настоящим абзацем реестр аккредитивов представляет собой реестр, </w:t>
            </w:r>
            <w:r w:rsidR="00A661E2">
              <w:rPr>
                <w:rFonts w:ascii="Garamond" w:hAnsi="Garamond"/>
                <w:sz w:val="22"/>
                <w:szCs w:val="22"/>
                <w:highlight w:val="yellow"/>
                <w:lang w:eastAsia="en-US"/>
              </w:rPr>
              <w:t>направленный</w:t>
            </w:r>
            <w:r w:rsidRPr="00417274">
              <w:rPr>
                <w:rFonts w:ascii="Garamond" w:hAnsi="Garamond"/>
                <w:sz w:val="22"/>
                <w:szCs w:val="22"/>
                <w:highlight w:val="yellow"/>
                <w:lang w:eastAsia="en-US"/>
              </w:rPr>
              <w:t xml:space="preserve"> в КО в соответствии с требованиями абзаца четвертого настоящего пункта, дополненный информацией об аккредитивах, уведомление (извещение) об открытии которых было получено ЦФР от банка получателя средств начиная с 7 рабочего дня до даты начала срока подачи заявок до 11 ноября 2020 года (включительно).</w:t>
            </w:r>
          </w:p>
        </w:tc>
      </w:tr>
      <w:tr w:rsidR="005B0E5D" w:rsidRPr="00417274" w:rsidTr="00A052DE">
        <w:trPr>
          <w:trHeight w:val="345"/>
        </w:trPr>
        <w:tc>
          <w:tcPr>
            <w:tcW w:w="352" w:type="pct"/>
            <w:tcBorders>
              <w:top w:val="single" w:sz="4" w:space="0" w:color="auto"/>
              <w:left w:val="single" w:sz="4" w:space="0" w:color="auto"/>
              <w:bottom w:val="single" w:sz="4" w:space="0" w:color="auto"/>
              <w:right w:val="single" w:sz="4" w:space="0" w:color="auto"/>
            </w:tcBorders>
          </w:tcPr>
          <w:p w:rsidR="005B0E5D" w:rsidRPr="00417274" w:rsidRDefault="00AD70DD">
            <w:pPr>
              <w:spacing w:before="180"/>
              <w:jc w:val="center"/>
              <w:rPr>
                <w:rFonts w:ascii="Garamond" w:hAnsi="Garamond" w:cs="Garamond"/>
                <w:b/>
                <w:bCs/>
                <w:sz w:val="22"/>
                <w:szCs w:val="22"/>
              </w:rPr>
            </w:pPr>
            <w:r w:rsidRPr="00417274">
              <w:rPr>
                <w:rFonts w:ascii="Garamond" w:hAnsi="Garamond" w:cs="Garamond"/>
                <w:b/>
                <w:bCs/>
                <w:sz w:val="22"/>
                <w:szCs w:val="22"/>
              </w:rPr>
              <w:lastRenderedPageBreak/>
              <w:t>6.8.3</w:t>
            </w:r>
          </w:p>
        </w:tc>
        <w:tc>
          <w:tcPr>
            <w:tcW w:w="2324" w:type="pct"/>
            <w:gridSpan w:val="2"/>
            <w:tcBorders>
              <w:top w:val="single" w:sz="4" w:space="0" w:color="auto"/>
              <w:left w:val="single" w:sz="4" w:space="0" w:color="auto"/>
              <w:bottom w:val="single" w:sz="4" w:space="0" w:color="auto"/>
              <w:right w:val="single" w:sz="4" w:space="0" w:color="auto"/>
            </w:tcBorders>
          </w:tcPr>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6.8.3.</w:t>
            </w:r>
            <w:r w:rsidRPr="00417274">
              <w:rPr>
                <w:rFonts w:ascii="Garamond" w:hAnsi="Garamond"/>
                <w:sz w:val="22"/>
                <w:szCs w:val="22"/>
                <w:lang w:eastAsia="en-US"/>
              </w:rPr>
              <w:tab/>
              <w:t>В целях заключения соглашения об оплате штрафов по ДПМ ВИЭ БГ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в КО заявление о заключении соглашения об оплате штрафов по ДПМ ВИЭ БГ по форме приложения 5.3 к настоящему Регламенту.</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 xml:space="preserve">В течение 7 (семи) рабочих дней со дня, следующего за днем получения от ЦФР реестра заключенных агентских договоров,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БГ и реестр заключенных соглашений об оплате штрафов по ДПМ ВИЭ БГ по форме приложения 27 к настоящему Регламенту, а также копию подписанного соглашения об оплате штрафов по ДПМ ВИЭ БГ соответствующему участнику ОПВ. Реестр заключенных соглашений об оплате штрафов по </w:t>
            </w:r>
            <w:r w:rsidRPr="00417274">
              <w:rPr>
                <w:rFonts w:ascii="Garamond" w:hAnsi="Garamond"/>
                <w:sz w:val="22"/>
                <w:szCs w:val="22"/>
                <w:lang w:eastAsia="en-US"/>
              </w:rPr>
              <w:lastRenderedPageBreak/>
              <w:t>ДПМ ВИЭ БГ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ЦФР направляет в КО реестр банковских гарантий, полученных ЦФР и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по форме приложения 26 к настоящему Регламенту (далее – реестр банковских гарантий).</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ЦФР ежегодно, не позднее рабочего дня, предшествующего дате начала срока подачи заявок,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чем за 8 (восемь) рабочих дней до даты начала срока подачи заявок.</w:t>
            </w:r>
          </w:p>
        </w:tc>
        <w:tc>
          <w:tcPr>
            <w:tcW w:w="2324" w:type="pct"/>
            <w:tcBorders>
              <w:top w:val="single" w:sz="4" w:space="0" w:color="auto"/>
              <w:left w:val="single" w:sz="4" w:space="0" w:color="auto"/>
              <w:bottom w:val="single" w:sz="4" w:space="0" w:color="auto"/>
              <w:right w:val="single" w:sz="4" w:space="0" w:color="auto"/>
            </w:tcBorders>
          </w:tcPr>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lastRenderedPageBreak/>
              <w:t>6.8.3.</w:t>
            </w:r>
            <w:r w:rsidRPr="00417274">
              <w:rPr>
                <w:rFonts w:ascii="Garamond" w:hAnsi="Garamond"/>
                <w:sz w:val="22"/>
                <w:szCs w:val="22"/>
                <w:lang w:eastAsia="en-US"/>
              </w:rPr>
              <w:tab/>
              <w:t>В целях заключения соглашения об оплате штрафов по ДПМ ВИЭ БГ участник ОПВ за 10 (десять) рабочих дней до даты начала срока подачи заявок, но не ранее чем за 60 (шестьдесят) календарных дней до указанной даты представляет в КО заявление о заключении соглашения об оплате штрафов по ДПМ ВИЭ БГ по форме приложения 5.3 к настоящему Регламенту.</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 xml:space="preserve">В течение 7 (семи) рабочих дней со дня, следующего за днем получения от ЦФР реестра заключенных агентских договоров, КО организует подписание такого соглашения в отношении объекта генерации, указанного в полученном заявлении, участником ОПВ и покупателями, указанными в реестре заключенных агентских договоров, и направляет в ЦФР по одному подлинному экземпляру каждого из подписанных соглашений об оплате штрафов по ДПМ ВИЭ БГ и реестр заключенных соглашений об оплате штрафов по ДПМ ВИЭ БГ по форме приложения 27 к настоящему Регламенту, а также копию подписанного соглашения об оплате штрафов по ДПМ ВИЭ БГ соответствующему участнику ОПВ. Реестр заключенных соглашений об оплате штрафов по </w:t>
            </w:r>
            <w:r w:rsidRPr="00417274">
              <w:rPr>
                <w:rFonts w:ascii="Garamond" w:hAnsi="Garamond"/>
                <w:sz w:val="22"/>
                <w:szCs w:val="22"/>
                <w:lang w:eastAsia="en-US"/>
              </w:rPr>
              <w:lastRenderedPageBreak/>
              <w:t>ДПМ ВИЭ БГ направляется КО в электронном виде с применением электронной подписи не позднее чем на третий рабочий день месяца, следующего за месяцем подписания соглашения, но не менее чем за 3 (три) рабочих дня до даты начала срока подачи заявок.</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ЦФР направляет в КО реестр банковских гарантий, полученных ЦФР и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по форме приложения 26 к настоящему Регламенту (далее – реестр банковских гарантий).</w:t>
            </w:r>
          </w:p>
          <w:p w:rsidR="005B0E5D" w:rsidRPr="00417274" w:rsidRDefault="00AD70DD" w:rsidP="000933D0">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lang w:eastAsia="en-US"/>
              </w:rPr>
              <w:t>ЦФР ежегодно, не позднее рабочего дня, предшествующего дате начала срока подачи заявок, направляет в КО в электронном виде с применением ЭП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чем за 8 (восемь) рабочих дней до даты начала срока подачи заявок.</w:t>
            </w:r>
          </w:p>
          <w:p w:rsidR="005B0E5D" w:rsidRPr="00417274" w:rsidRDefault="00AD70DD" w:rsidP="00A661E2">
            <w:pPr>
              <w:tabs>
                <w:tab w:val="left" w:pos="567"/>
              </w:tabs>
              <w:suppressAutoHyphens/>
              <w:spacing w:before="120" w:after="120"/>
              <w:ind w:firstLine="709"/>
              <w:jc w:val="both"/>
              <w:rPr>
                <w:rFonts w:ascii="Garamond" w:hAnsi="Garamond"/>
                <w:sz w:val="22"/>
                <w:szCs w:val="22"/>
                <w:lang w:eastAsia="en-US"/>
              </w:rPr>
            </w:pPr>
            <w:r w:rsidRPr="00417274">
              <w:rPr>
                <w:rFonts w:ascii="Garamond" w:hAnsi="Garamond"/>
                <w:sz w:val="22"/>
                <w:szCs w:val="22"/>
                <w:highlight w:val="yellow"/>
                <w:lang w:eastAsia="en-US"/>
              </w:rPr>
              <w:t xml:space="preserve">ЦФР не позднее 20 ноября 2020 года направляет в КО в электронном виде с применением ЭП актуализированный реестр банковских гарантий. Данный реестр формируется ЦФР с учетом полученных ЦФР банковских гарантий, обеспечивающих исполнение участником ОПВ обязанности по перечислению денежных средств на расчетный счет ЦФР в счет уплаты штрафов за неисполнение или ненадлежащее исполнение своих обязательств по ДПМ ВИЭ, при условии, что такая банковская гарантия была получена ЦФР не позднее 11 ноября 2020 года. </w:t>
            </w:r>
            <w:r w:rsidR="00A661E2">
              <w:rPr>
                <w:rFonts w:ascii="Garamond" w:hAnsi="Garamond"/>
                <w:sz w:val="22"/>
                <w:szCs w:val="22"/>
                <w:highlight w:val="yellow"/>
                <w:lang w:eastAsia="en-US"/>
              </w:rPr>
              <w:t>Направляемый</w:t>
            </w:r>
            <w:r w:rsidRPr="00417274">
              <w:rPr>
                <w:rFonts w:ascii="Garamond" w:hAnsi="Garamond"/>
                <w:sz w:val="22"/>
                <w:szCs w:val="22"/>
                <w:highlight w:val="yellow"/>
                <w:lang w:eastAsia="en-US"/>
              </w:rPr>
              <w:t xml:space="preserve"> в соответс</w:t>
            </w:r>
            <w:r w:rsidR="00A70AB4">
              <w:rPr>
                <w:rFonts w:ascii="Garamond" w:hAnsi="Garamond"/>
                <w:sz w:val="22"/>
                <w:szCs w:val="22"/>
                <w:highlight w:val="yellow"/>
                <w:lang w:eastAsia="en-US"/>
              </w:rPr>
              <w:t>твии с настоящим абзацем реестр</w:t>
            </w:r>
            <w:r w:rsidRPr="00417274">
              <w:rPr>
                <w:rFonts w:ascii="Garamond" w:hAnsi="Garamond"/>
                <w:sz w:val="22"/>
                <w:szCs w:val="22"/>
                <w:highlight w:val="yellow"/>
                <w:lang w:eastAsia="en-US"/>
              </w:rPr>
              <w:t xml:space="preserve"> банковских гарантий представляет собой реестр, </w:t>
            </w:r>
            <w:r w:rsidR="00A661E2">
              <w:rPr>
                <w:rFonts w:ascii="Garamond" w:hAnsi="Garamond"/>
                <w:sz w:val="22"/>
                <w:szCs w:val="22"/>
                <w:highlight w:val="yellow"/>
                <w:lang w:eastAsia="en-US"/>
              </w:rPr>
              <w:t>направленный</w:t>
            </w:r>
            <w:r w:rsidRPr="00417274">
              <w:rPr>
                <w:rFonts w:ascii="Garamond" w:hAnsi="Garamond"/>
                <w:sz w:val="22"/>
                <w:szCs w:val="22"/>
                <w:highlight w:val="yellow"/>
                <w:lang w:eastAsia="en-US"/>
              </w:rPr>
              <w:t xml:space="preserve"> в КО в соответствии с требованиями абзаца четвертого настоящего пункта, дополненный информацией о банковских гарантиях</w:t>
            </w:r>
            <w:r w:rsidR="00F35C4E">
              <w:rPr>
                <w:rFonts w:ascii="Garamond" w:hAnsi="Garamond"/>
                <w:sz w:val="22"/>
                <w:szCs w:val="22"/>
                <w:highlight w:val="yellow"/>
                <w:lang w:eastAsia="en-US"/>
              </w:rPr>
              <w:t>,</w:t>
            </w:r>
            <w:r w:rsidRPr="00417274">
              <w:rPr>
                <w:rFonts w:ascii="Garamond" w:hAnsi="Garamond"/>
                <w:sz w:val="22"/>
                <w:szCs w:val="22"/>
                <w:highlight w:val="yellow"/>
                <w:lang w:eastAsia="en-US"/>
              </w:rPr>
              <w:t xml:space="preserve"> полученных ЦФР начиная с 7 рабочего дня до даты начала срока подачи заявок до 11 ноября 2020 года (включительно).</w:t>
            </w:r>
          </w:p>
        </w:tc>
      </w:tr>
      <w:bookmarkEnd w:id="1"/>
      <w:bookmarkEnd w:id="2"/>
      <w:bookmarkEnd w:id="3"/>
    </w:tbl>
    <w:p w:rsidR="005B0E5D" w:rsidRDefault="005B0E5D">
      <w:pPr>
        <w:spacing w:before="120" w:after="120"/>
        <w:jc w:val="right"/>
        <w:rPr>
          <w:rFonts w:ascii="Garamond" w:hAnsi="Garamond"/>
          <w:b/>
          <w:sz w:val="26"/>
          <w:szCs w:val="26"/>
        </w:rPr>
      </w:pPr>
    </w:p>
    <w:sectPr w:rsidR="005B0E5D">
      <w:pgSz w:w="16838" w:h="11906" w:orient="landscape" w:code="9"/>
      <w:pgMar w:top="1134" w:right="1245" w:bottom="851" w:left="709" w:header="709" w:footer="7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E5D" w:rsidRDefault="00AD70DD">
      <w:r>
        <w:separator/>
      </w:r>
    </w:p>
  </w:endnote>
  <w:endnote w:type="continuationSeparator" w:id="0">
    <w:p w:rsidR="005B0E5D" w:rsidRDefault="00AD7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DL">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E5D" w:rsidRDefault="00AD70DD">
      <w:r>
        <w:separator/>
      </w:r>
    </w:p>
  </w:footnote>
  <w:footnote w:type="continuationSeparator" w:id="0">
    <w:p w:rsidR="005B0E5D" w:rsidRDefault="00AD70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4ACE1628"/>
    <w:lvl w:ilvl="0">
      <w:start w:val="1"/>
      <w:numFmt w:val="decimal"/>
      <w:pStyle w:val="2"/>
      <w:lvlText w:val="%1."/>
      <w:lvlJc w:val="left"/>
      <w:pPr>
        <w:tabs>
          <w:tab w:val="num" w:pos="1779"/>
        </w:tabs>
        <w:ind w:left="1779" w:hanging="360"/>
      </w:pPr>
      <w:rPr>
        <w:rFonts w:cs="Times New Roman"/>
        <w:b/>
      </w:rPr>
    </w:lvl>
    <w:lvl w:ilvl="1">
      <w:start w:val="3"/>
      <w:numFmt w:val="decimal"/>
      <w:isLgl/>
      <w:lvlText w:val="%1.%2"/>
      <w:lvlJc w:val="left"/>
      <w:pPr>
        <w:tabs>
          <w:tab w:val="num" w:pos="1209"/>
        </w:tabs>
        <w:ind w:left="1209" w:hanging="360"/>
      </w:pPr>
      <w:rPr>
        <w:rFonts w:cs="Times New Roman" w:hint="default"/>
      </w:rPr>
    </w:lvl>
    <w:lvl w:ilvl="2">
      <w:start w:val="1"/>
      <w:numFmt w:val="decimal"/>
      <w:isLgl/>
      <w:lvlText w:val="%1.%2.%3"/>
      <w:lvlJc w:val="left"/>
      <w:pPr>
        <w:tabs>
          <w:tab w:val="num" w:pos="1569"/>
        </w:tabs>
        <w:ind w:left="1569" w:hanging="720"/>
      </w:pPr>
      <w:rPr>
        <w:rFonts w:cs="Times New Roman" w:hint="default"/>
      </w:rPr>
    </w:lvl>
    <w:lvl w:ilvl="3">
      <w:start w:val="1"/>
      <w:numFmt w:val="decimal"/>
      <w:isLgl/>
      <w:lvlText w:val="%1.%2.%3.%4"/>
      <w:lvlJc w:val="left"/>
      <w:pPr>
        <w:tabs>
          <w:tab w:val="num" w:pos="1929"/>
        </w:tabs>
        <w:ind w:left="1929" w:hanging="1080"/>
      </w:pPr>
      <w:rPr>
        <w:rFonts w:cs="Times New Roman" w:hint="default"/>
      </w:rPr>
    </w:lvl>
    <w:lvl w:ilvl="4">
      <w:start w:val="1"/>
      <w:numFmt w:val="decimal"/>
      <w:isLgl/>
      <w:lvlText w:val="%1.%2.%3.%4.%5"/>
      <w:lvlJc w:val="left"/>
      <w:pPr>
        <w:tabs>
          <w:tab w:val="num" w:pos="1929"/>
        </w:tabs>
        <w:ind w:left="1929" w:hanging="1080"/>
      </w:pPr>
      <w:rPr>
        <w:rFonts w:cs="Times New Roman" w:hint="default"/>
      </w:rPr>
    </w:lvl>
    <w:lvl w:ilvl="5">
      <w:start w:val="1"/>
      <w:numFmt w:val="decimal"/>
      <w:isLgl/>
      <w:lvlText w:val="%1.%2.%3.%4.%5.%6"/>
      <w:lvlJc w:val="left"/>
      <w:pPr>
        <w:tabs>
          <w:tab w:val="num" w:pos="2289"/>
        </w:tabs>
        <w:ind w:left="2289" w:hanging="1440"/>
      </w:pPr>
      <w:rPr>
        <w:rFonts w:cs="Times New Roman" w:hint="default"/>
      </w:rPr>
    </w:lvl>
    <w:lvl w:ilvl="6">
      <w:start w:val="1"/>
      <w:numFmt w:val="decimal"/>
      <w:isLgl/>
      <w:lvlText w:val="%1.%2.%3.%4.%5.%6.%7"/>
      <w:lvlJc w:val="left"/>
      <w:pPr>
        <w:tabs>
          <w:tab w:val="num" w:pos="2289"/>
        </w:tabs>
        <w:ind w:left="2289" w:hanging="1440"/>
      </w:pPr>
      <w:rPr>
        <w:rFonts w:cs="Times New Roman" w:hint="default"/>
      </w:rPr>
    </w:lvl>
    <w:lvl w:ilvl="7">
      <w:start w:val="1"/>
      <w:numFmt w:val="decimal"/>
      <w:isLgl/>
      <w:lvlText w:val="%1.%2.%3.%4.%5.%6.%7.%8"/>
      <w:lvlJc w:val="left"/>
      <w:pPr>
        <w:tabs>
          <w:tab w:val="num" w:pos="2649"/>
        </w:tabs>
        <w:ind w:left="2649" w:hanging="1800"/>
      </w:pPr>
      <w:rPr>
        <w:rFonts w:cs="Times New Roman" w:hint="default"/>
      </w:rPr>
    </w:lvl>
    <w:lvl w:ilvl="8">
      <w:start w:val="1"/>
      <w:numFmt w:val="decimal"/>
      <w:isLgl/>
      <w:lvlText w:val="%1.%2.%3.%4.%5.%6.%7.%8.%9"/>
      <w:lvlJc w:val="left"/>
      <w:pPr>
        <w:tabs>
          <w:tab w:val="num" w:pos="2649"/>
        </w:tabs>
        <w:ind w:left="2649" w:hanging="1800"/>
      </w:pPr>
      <w:rPr>
        <w:rFonts w:cs="Times New Roman" w:hint="default"/>
      </w:rPr>
    </w:lvl>
  </w:abstractNum>
  <w:abstractNum w:abstractNumId="1" w15:restartNumberingAfterBreak="0">
    <w:nsid w:val="FFFFFFFB"/>
    <w:multiLevelType w:val="multilevel"/>
    <w:tmpl w:val="FFFFFFFF"/>
    <w:lvl w:ilvl="0">
      <w:start w:val="1"/>
      <w:numFmt w:val="none"/>
      <w:suff w:val="nothing"/>
      <w:lvlText w:val=""/>
      <w:lvlJc w:val="left"/>
      <w:rPr>
        <w:rFonts w:cs="Times New Roman"/>
      </w:rPr>
    </w:lvl>
    <w:lvl w:ilvl="1">
      <w:start w:val="1"/>
      <w:numFmt w:val="decimal"/>
      <w:pStyle w:val="20"/>
      <w:lvlText w:val="%2."/>
      <w:legacy w:legacy="1" w:legacySpace="144" w:legacyIndent="0"/>
      <w:lvlJc w:val="left"/>
      <w:rPr>
        <w:rFonts w:cs="Times New Roman"/>
      </w:rPr>
    </w:lvl>
    <w:lvl w:ilvl="2">
      <w:start w:val="1"/>
      <w:numFmt w:val="decimal"/>
      <w:pStyle w:val="3"/>
      <w:lvlText w:val="%2.%3"/>
      <w:legacy w:legacy="1" w:legacySpace="144" w:legacyIndent="0"/>
      <w:lvlJc w:val="left"/>
      <w:rPr>
        <w:rFonts w:cs="Times New Roman"/>
      </w:rPr>
    </w:lvl>
    <w:lvl w:ilvl="3">
      <w:start w:val="1"/>
      <w:numFmt w:val="decimal"/>
      <w:pStyle w:val="4"/>
      <w:lvlText w:val="%2.%3.%4"/>
      <w:legacy w:legacy="1" w:legacySpace="144" w:legacyIndent="0"/>
      <w:lvlJc w:val="left"/>
      <w:rPr>
        <w:rFonts w:cs="Times New Roman"/>
      </w:rPr>
    </w:lvl>
    <w:lvl w:ilvl="4">
      <w:start w:val="1"/>
      <w:numFmt w:val="decimal"/>
      <w:pStyle w:val="5"/>
      <w:lvlText w:val="%2.%3.%4.%5"/>
      <w:legacy w:legacy="1" w:legacySpace="144" w:legacyIndent="0"/>
      <w:lvlJc w:val="left"/>
      <w:rPr>
        <w:rFonts w:cs="Times New Roman"/>
      </w:rPr>
    </w:lvl>
    <w:lvl w:ilvl="5">
      <w:start w:val="1"/>
      <w:numFmt w:val="decimal"/>
      <w:pStyle w:val="6"/>
      <w:lvlText w:val="%2.%3.%4.%5.%6"/>
      <w:legacy w:legacy="1" w:legacySpace="144" w:legacyIndent="0"/>
      <w:lvlJc w:val="left"/>
      <w:rPr>
        <w:rFonts w:cs="Times New Roman"/>
      </w:rPr>
    </w:lvl>
    <w:lvl w:ilvl="6">
      <w:start w:val="1"/>
      <w:numFmt w:val="decimal"/>
      <w:pStyle w:val="7"/>
      <w:lvlText w:val="%2.%3.%4.%5.%6.%7"/>
      <w:legacy w:legacy="1" w:legacySpace="144" w:legacyIndent="0"/>
      <w:lvlJc w:val="left"/>
      <w:rPr>
        <w:rFonts w:cs="Times New Roman"/>
      </w:rPr>
    </w:lvl>
    <w:lvl w:ilvl="7">
      <w:start w:val="1"/>
      <w:numFmt w:val="decimal"/>
      <w:pStyle w:val="8"/>
      <w:lvlText w:val="%2.%3.%4.%5.%6.%7.%8"/>
      <w:legacy w:legacy="1" w:legacySpace="144" w:legacyIndent="0"/>
      <w:lvlJc w:val="left"/>
      <w:rPr>
        <w:rFonts w:cs="Times New Roman"/>
      </w:rPr>
    </w:lvl>
    <w:lvl w:ilvl="8">
      <w:start w:val="1"/>
      <w:numFmt w:val="decimal"/>
      <w:pStyle w:val="9"/>
      <w:lvlText w:val="%2.%3.%4.%5.%6.%7.%8.%9"/>
      <w:legacy w:legacy="1" w:legacySpace="144" w:legacyIndent="0"/>
      <w:lvlJc w:val="left"/>
      <w:rPr>
        <w:rFonts w:cs="Times New Roman"/>
      </w:rPr>
    </w:lvl>
  </w:abstractNum>
  <w:abstractNum w:abstractNumId="2" w15:restartNumberingAfterBreak="0">
    <w:nsid w:val="04E169AC"/>
    <w:multiLevelType w:val="hybridMultilevel"/>
    <w:tmpl w:val="C32AD9C6"/>
    <w:lvl w:ilvl="0" w:tplc="2C6223B8">
      <w:start w:val="1"/>
      <w:numFmt w:val="decimal"/>
      <w:lvlText w:val="%1)"/>
      <w:lvlJc w:val="left"/>
      <w:pPr>
        <w:tabs>
          <w:tab w:val="num" w:pos="0"/>
        </w:tabs>
        <w:ind w:left="720" w:hanging="360"/>
      </w:pPr>
      <w:rPr>
        <w:rFonts w:ascii="Garamond" w:hAnsi="Garamond"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659433B"/>
    <w:multiLevelType w:val="hybridMultilevel"/>
    <w:tmpl w:val="D6728702"/>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4" w15:restartNumberingAfterBreak="0">
    <w:nsid w:val="080133AA"/>
    <w:multiLevelType w:val="hybridMultilevel"/>
    <w:tmpl w:val="086A35AE"/>
    <w:lvl w:ilvl="0" w:tplc="7ABE6AC0">
      <w:start w:val="1"/>
      <w:numFmt w:val="bullet"/>
      <w:lvlText w:val=""/>
      <w:lvlJc w:val="left"/>
      <w:pPr>
        <w:ind w:left="1287" w:hanging="360"/>
      </w:pPr>
      <w:rPr>
        <w:rFonts w:ascii="Symbol" w:hAnsi="Symbol" w:hint="default"/>
        <w:b/>
        <w:i w:val="0"/>
        <w:color w:val="auto"/>
        <w:sz w:val="28"/>
        <w:szCs w:val="28"/>
        <w:u w:val="none"/>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A4E0BAC"/>
    <w:multiLevelType w:val="hybridMultilevel"/>
    <w:tmpl w:val="AC4205BE"/>
    <w:lvl w:ilvl="0" w:tplc="9D4E66C0">
      <w:start w:val="1"/>
      <w:numFmt w:val="decimal"/>
      <w:lvlText w:val="%1)"/>
      <w:lvlJc w:val="left"/>
      <w:pPr>
        <w:tabs>
          <w:tab w:val="num" w:pos="0"/>
        </w:tabs>
        <w:ind w:left="720" w:hanging="360"/>
      </w:pPr>
      <w:rPr>
        <w:rFonts w:ascii="Garamond" w:hAnsi="Garamond"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0136312"/>
    <w:multiLevelType w:val="hybridMultilevel"/>
    <w:tmpl w:val="DD245CA6"/>
    <w:lvl w:ilvl="0" w:tplc="14BA9D00">
      <w:start w:val="1"/>
      <w:numFmt w:val="bullet"/>
      <w:pStyle w:val="a"/>
      <w:lvlText w:val=""/>
      <w:lvlJc w:val="left"/>
      <w:pPr>
        <w:tabs>
          <w:tab w:val="num" w:pos="1552"/>
        </w:tabs>
        <w:ind w:left="1203" w:hanging="11"/>
      </w:pPr>
      <w:rPr>
        <w:rFonts w:ascii="Wingdings" w:hAnsi="Wingdings" w:hint="default"/>
      </w:rPr>
    </w:lvl>
    <w:lvl w:ilvl="1" w:tplc="9520601A">
      <w:start w:val="1"/>
      <w:numFmt w:val="bullet"/>
      <w:lvlText w:val="o"/>
      <w:lvlJc w:val="left"/>
      <w:pPr>
        <w:tabs>
          <w:tab w:val="num" w:pos="1912"/>
        </w:tabs>
        <w:ind w:left="1912" w:hanging="360"/>
      </w:pPr>
      <w:rPr>
        <w:rFonts w:ascii="Courier New" w:hAnsi="Courier New" w:cs="Times New Roman" w:hint="default"/>
      </w:rPr>
    </w:lvl>
    <w:lvl w:ilvl="2" w:tplc="2F28707E">
      <w:start w:val="1"/>
      <w:numFmt w:val="bullet"/>
      <w:lvlText w:val=""/>
      <w:lvlJc w:val="left"/>
      <w:pPr>
        <w:tabs>
          <w:tab w:val="num" w:pos="2632"/>
        </w:tabs>
        <w:ind w:left="2632" w:hanging="360"/>
      </w:pPr>
      <w:rPr>
        <w:rFonts w:ascii="Wingdings" w:hAnsi="Wingdings" w:hint="default"/>
      </w:rPr>
    </w:lvl>
    <w:lvl w:ilvl="3" w:tplc="0C6E2A14">
      <w:start w:val="1"/>
      <w:numFmt w:val="bullet"/>
      <w:lvlText w:val=""/>
      <w:lvlJc w:val="left"/>
      <w:pPr>
        <w:tabs>
          <w:tab w:val="num" w:pos="3352"/>
        </w:tabs>
        <w:ind w:left="3352" w:hanging="360"/>
      </w:pPr>
      <w:rPr>
        <w:rFonts w:ascii="Symbol" w:hAnsi="Symbol" w:hint="default"/>
      </w:rPr>
    </w:lvl>
    <w:lvl w:ilvl="4" w:tplc="8A72A828">
      <w:start w:val="1"/>
      <w:numFmt w:val="bullet"/>
      <w:lvlText w:val="o"/>
      <w:lvlJc w:val="left"/>
      <w:pPr>
        <w:tabs>
          <w:tab w:val="num" w:pos="4072"/>
        </w:tabs>
        <w:ind w:left="4072" w:hanging="360"/>
      </w:pPr>
      <w:rPr>
        <w:rFonts w:ascii="Courier New" w:hAnsi="Courier New" w:cs="Times New Roman" w:hint="default"/>
      </w:rPr>
    </w:lvl>
    <w:lvl w:ilvl="5" w:tplc="8C44A2BE">
      <w:start w:val="1"/>
      <w:numFmt w:val="bullet"/>
      <w:lvlText w:val=""/>
      <w:lvlJc w:val="left"/>
      <w:pPr>
        <w:tabs>
          <w:tab w:val="num" w:pos="4792"/>
        </w:tabs>
        <w:ind w:left="4792" w:hanging="360"/>
      </w:pPr>
      <w:rPr>
        <w:rFonts w:ascii="Wingdings" w:hAnsi="Wingdings" w:hint="default"/>
      </w:rPr>
    </w:lvl>
    <w:lvl w:ilvl="6" w:tplc="C360E92E">
      <w:start w:val="1"/>
      <w:numFmt w:val="bullet"/>
      <w:lvlText w:val=""/>
      <w:lvlJc w:val="left"/>
      <w:pPr>
        <w:tabs>
          <w:tab w:val="num" w:pos="5512"/>
        </w:tabs>
        <w:ind w:left="5512" w:hanging="360"/>
      </w:pPr>
      <w:rPr>
        <w:rFonts w:ascii="Symbol" w:hAnsi="Symbol" w:hint="default"/>
      </w:rPr>
    </w:lvl>
    <w:lvl w:ilvl="7" w:tplc="0BC8328E">
      <w:start w:val="1"/>
      <w:numFmt w:val="bullet"/>
      <w:lvlText w:val="o"/>
      <w:lvlJc w:val="left"/>
      <w:pPr>
        <w:tabs>
          <w:tab w:val="num" w:pos="6232"/>
        </w:tabs>
        <w:ind w:left="6232" w:hanging="360"/>
      </w:pPr>
      <w:rPr>
        <w:rFonts w:ascii="Courier New" w:hAnsi="Courier New" w:cs="Times New Roman" w:hint="default"/>
      </w:rPr>
    </w:lvl>
    <w:lvl w:ilvl="8" w:tplc="E52A2308">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22A09FF"/>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8" w15:restartNumberingAfterBreak="0">
    <w:nsid w:val="15A5222A"/>
    <w:multiLevelType w:val="hybridMultilevel"/>
    <w:tmpl w:val="DD44FA7E"/>
    <w:lvl w:ilvl="0" w:tplc="4AA4D9B2">
      <w:start w:val="2"/>
      <w:numFmt w:val="lowerLetter"/>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F51BD7"/>
    <w:multiLevelType w:val="hybridMultilevel"/>
    <w:tmpl w:val="822AE9B8"/>
    <w:lvl w:ilvl="0" w:tplc="47F2909E">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67C2F"/>
    <w:multiLevelType w:val="hybridMultilevel"/>
    <w:tmpl w:val="B5FC1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B3C70C7"/>
    <w:multiLevelType w:val="hybridMultilevel"/>
    <w:tmpl w:val="DD44FA7E"/>
    <w:lvl w:ilvl="0" w:tplc="4AA4D9B2">
      <w:start w:val="2"/>
      <w:numFmt w:val="lowerLetter"/>
      <w:lvlText w:val="%1."/>
      <w:lvlJc w:val="left"/>
      <w:pPr>
        <w:tabs>
          <w:tab w:val="num" w:pos="1211"/>
        </w:tabs>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71078F"/>
    <w:multiLevelType w:val="hybridMultilevel"/>
    <w:tmpl w:val="766C6804"/>
    <w:lvl w:ilvl="0" w:tplc="D730ECA8">
      <w:start w:val="1"/>
      <w:numFmt w:val="lowerLetter"/>
      <w:lvlText w:val="%1."/>
      <w:lvlJc w:val="left"/>
      <w:pPr>
        <w:tabs>
          <w:tab w:val="num" w:pos="1211"/>
        </w:tabs>
        <w:ind w:left="1211" w:hanging="360"/>
      </w:pPr>
      <w:rPr>
        <w:lang w:val="ru-RU"/>
      </w:rPr>
    </w:lvl>
    <w:lvl w:ilvl="1" w:tplc="B9C2D1F6">
      <w:start w:val="1"/>
      <w:numFmt w:val="decimal"/>
      <w:lvlText w:val="%2."/>
      <w:lvlJc w:val="left"/>
      <w:pPr>
        <w:tabs>
          <w:tab w:val="num" w:pos="1440"/>
        </w:tabs>
        <w:ind w:left="1440" w:hanging="360"/>
      </w:pPr>
    </w:lvl>
    <w:lvl w:ilvl="2" w:tplc="6DA253D6">
      <w:start w:val="1"/>
      <w:numFmt w:val="decimal"/>
      <w:lvlText w:val="%3."/>
      <w:lvlJc w:val="left"/>
      <w:pPr>
        <w:tabs>
          <w:tab w:val="num" w:pos="2160"/>
        </w:tabs>
        <w:ind w:left="2160" w:hanging="360"/>
      </w:pPr>
    </w:lvl>
    <w:lvl w:ilvl="3" w:tplc="C62868CE">
      <w:start w:val="1"/>
      <w:numFmt w:val="decimal"/>
      <w:lvlText w:val="%4."/>
      <w:lvlJc w:val="left"/>
      <w:pPr>
        <w:tabs>
          <w:tab w:val="num" w:pos="2880"/>
        </w:tabs>
        <w:ind w:left="2880" w:hanging="360"/>
      </w:pPr>
    </w:lvl>
    <w:lvl w:ilvl="4" w:tplc="417A6EC0">
      <w:start w:val="1"/>
      <w:numFmt w:val="decimal"/>
      <w:lvlText w:val="%5."/>
      <w:lvlJc w:val="left"/>
      <w:pPr>
        <w:tabs>
          <w:tab w:val="num" w:pos="3600"/>
        </w:tabs>
        <w:ind w:left="3600" w:hanging="360"/>
      </w:pPr>
    </w:lvl>
    <w:lvl w:ilvl="5" w:tplc="24121AB8">
      <w:start w:val="1"/>
      <w:numFmt w:val="decimal"/>
      <w:lvlText w:val="%6."/>
      <w:lvlJc w:val="left"/>
      <w:pPr>
        <w:tabs>
          <w:tab w:val="num" w:pos="4320"/>
        </w:tabs>
        <w:ind w:left="4320" w:hanging="360"/>
      </w:pPr>
    </w:lvl>
    <w:lvl w:ilvl="6" w:tplc="739494E0">
      <w:start w:val="1"/>
      <w:numFmt w:val="decimal"/>
      <w:lvlText w:val="%7."/>
      <w:lvlJc w:val="left"/>
      <w:pPr>
        <w:tabs>
          <w:tab w:val="num" w:pos="5040"/>
        </w:tabs>
        <w:ind w:left="5040" w:hanging="360"/>
      </w:pPr>
    </w:lvl>
    <w:lvl w:ilvl="7" w:tplc="C4185DA0">
      <w:start w:val="1"/>
      <w:numFmt w:val="decimal"/>
      <w:lvlText w:val="%8."/>
      <w:lvlJc w:val="left"/>
      <w:pPr>
        <w:tabs>
          <w:tab w:val="num" w:pos="5760"/>
        </w:tabs>
        <w:ind w:left="5760" w:hanging="360"/>
      </w:pPr>
    </w:lvl>
    <w:lvl w:ilvl="8" w:tplc="5B94AED6">
      <w:start w:val="1"/>
      <w:numFmt w:val="decimal"/>
      <w:lvlText w:val="%9."/>
      <w:lvlJc w:val="left"/>
      <w:pPr>
        <w:tabs>
          <w:tab w:val="num" w:pos="6480"/>
        </w:tabs>
        <w:ind w:left="6480" w:hanging="360"/>
      </w:pPr>
    </w:lvl>
  </w:abstractNum>
  <w:abstractNum w:abstractNumId="13" w15:restartNumberingAfterBreak="0">
    <w:nsid w:val="264D1390"/>
    <w:multiLevelType w:val="multilevel"/>
    <w:tmpl w:val="D9821288"/>
    <w:lvl w:ilvl="0">
      <w:start w:val="2"/>
      <w:numFmt w:val="decimal"/>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D4914C3"/>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5" w15:restartNumberingAfterBreak="0">
    <w:nsid w:val="300C0A98"/>
    <w:multiLevelType w:val="hybridMultilevel"/>
    <w:tmpl w:val="CC300B72"/>
    <w:lvl w:ilvl="0" w:tplc="7C125B30">
      <w:start w:val="9"/>
      <w:numFmt w:val="decimal"/>
      <w:lvlText w:val="%1."/>
      <w:lvlJc w:val="left"/>
      <w:pPr>
        <w:tabs>
          <w:tab w:val="num" w:pos="1146"/>
        </w:tabs>
        <w:ind w:left="1146" w:hanging="360"/>
      </w:pPr>
      <w:rPr>
        <w:rFonts w:ascii="Garamond" w:hAnsi="Garamond" w:hint="default"/>
      </w:rPr>
    </w:lvl>
    <w:lvl w:ilvl="1" w:tplc="FFFFFFFF">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16" w15:restartNumberingAfterBreak="0">
    <w:nsid w:val="35B35622"/>
    <w:multiLevelType w:val="multilevel"/>
    <w:tmpl w:val="43489F78"/>
    <w:styleLink w:val="List25"/>
    <w:lvl w:ilvl="0">
      <w:start w:val="1"/>
      <w:numFmt w:val="decimal"/>
      <w:lvlText w:val="%1."/>
      <w:lvlJc w:val="left"/>
      <w:pPr>
        <w:tabs>
          <w:tab w:val="num" w:pos="317"/>
        </w:tabs>
        <w:ind w:left="317" w:hanging="31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1">
      <w:start w:val="1"/>
      <w:numFmt w:val="lowerLetter"/>
      <w:lvlText w:val="%2."/>
      <w:lvlJc w:val="left"/>
      <w:pPr>
        <w:tabs>
          <w:tab w:val="num" w:pos="1380"/>
        </w:tabs>
        <w:ind w:left="13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2">
      <w:start w:val="1"/>
      <w:numFmt w:val="lowerRoman"/>
      <w:lvlText w:val="%3."/>
      <w:lvlJc w:val="left"/>
      <w:pPr>
        <w:tabs>
          <w:tab w:val="num" w:pos="2111"/>
        </w:tabs>
        <w:ind w:left="211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3">
      <w:start w:val="1"/>
      <w:numFmt w:val="decimal"/>
      <w:lvlText w:val="%4."/>
      <w:lvlJc w:val="left"/>
      <w:pPr>
        <w:tabs>
          <w:tab w:val="num" w:pos="2820"/>
        </w:tabs>
        <w:ind w:left="282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4">
      <w:start w:val="1"/>
      <w:numFmt w:val="lowerLetter"/>
      <w:lvlText w:val="%5."/>
      <w:lvlJc w:val="left"/>
      <w:pPr>
        <w:tabs>
          <w:tab w:val="num" w:pos="3540"/>
        </w:tabs>
        <w:ind w:left="354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5">
      <w:start w:val="1"/>
      <w:numFmt w:val="lowerRoman"/>
      <w:lvlText w:val="%6."/>
      <w:lvlJc w:val="left"/>
      <w:pPr>
        <w:tabs>
          <w:tab w:val="num" w:pos="4271"/>
        </w:tabs>
        <w:ind w:left="427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6">
      <w:start w:val="1"/>
      <w:numFmt w:val="decimal"/>
      <w:lvlText w:val="%7."/>
      <w:lvlJc w:val="left"/>
      <w:pPr>
        <w:tabs>
          <w:tab w:val="num" w:pos="4980"/>
        </w:tabs>
        <w:ind w:left="498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7">
      <w:start w:val="1"/>
      <w:numFmt w:val="lowerLetter"/>
      <w:lvlText w:val="%8."/>
      <w:lvlJc w:val="left"/>
      <w:pPr>
        <w:tabs>
          <w:tab w:val="num" w:pos="5700"/>
        </w:tabs>
        <w:ind w:left="5700" w:hanging="300"/>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lvl w:ilvl="8">
      <w:start w:val="1"/>
      <w:numFmt w:val="lowerRoman"/>
      <w:lvlText w:val="%9."/>
      <w:lvlJc w:val="left"/>
      <w:pPr>
        <w:tabs>
          <w:tab w:val="num" w:pos="6431"/>
        </w:tabs>
        <w:ind w:left="6431" w:hanging="247"/>
      </w:pPr>
      <w:rPr>
        <w:rFonts w:ascii="Garamond" w:eastAsia="Garamond" w:hAnsi="Garamond" w:cs="Garamond"/>
        <w:caps w:val="0"/>
        <w:smallCaps w:val="0"/>
        <w:strike w:val="0"/>
        <w:dstrike w:val="0"/>
        <w:color w:val="000000"/>
        <w:spacing w:val="0"/>
        <w:kern w:val="0"/>
        <w:position w:val="0"/>
        <w:sz w:val="20"/>
        <w:szCs w:val="20"/>
        <w:u w:val="none" w:color="000000"/>
        <w:vertAlign w:val="baseline"/>
        <w:lang w:val="ru-RU"/>
      </w:rPr>
    </w:lvl>
  </w:abstractNum>
  <w:abstractNum w:abstractNumId="17" w15:restartNumberingAfterBreak="0">
    <w:nsid w:val="39104CFC"/>
    <w:multiLevelType w:val="hybridMultilevel"/>
    <w:tmpl w:val="5D54C762"/>
    <w:lvl w:ilvl="0" w:tplc="9C2002D2">
      <w:start w:val="13"/>
      <w:numFmt w:val="decimal"/>
      <w:lvlText w:val="%1."/>
      <w:lvlJc w:val="left"/>
      <w:pPr>
        <w:tabs>
          <w:tab w:val="num" w:pos="1146"/>
        </w:tabs>
        <w:ind w:left="1146" w:hanging="360"/>
      </w:pPr>
      <w:rPr>
        <w:rFonts w:ascii="Garamond" w:hAnsi="Garamond"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8327FC"/>
    <w:multiLevelType w:val="hybridMultilevel"/>
    <w:tmpl w:val="66C86050"/>
    <w:lvl w:ilvl="0" w:tplc="C7DE261C">
      <w:start w:val="2"/>
      <w:numFmt w:val="decimal"/>
      <w:lvlText w:val="%1)"/>
      <w:lvlJc w:val="left"/>
      <w:pPr>
        <w:ind w:left="351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11F010A"/>
    <w:multiLevelType w:val="multilevel"/>
    <w:tmpl w:val="D9821288"/>
    <w:lvl w:ilvl="0">
      <w:start w:val="2"/>
      <w:numFmt w:val="decimal"/>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4CB736D"/>
    <w:multiLevelType w:val="multilevel"/>
    <w:tmpl w:val="A9A4A352"/>
    <w:lvl w:ilvl="0">
      <w:start w:val="1"/>
      <w:numFmt w:val="decimal"/>
      <w:pStyle w:val="1"/>
      <w:lvlText w:val="%1."/>
      <w:lvlJc w:val="left"/>
      <w:pPr>
        <w:tabs>
          <w:tab w:val="num" w:pos="360"/>
        </w:tabs>
        <w:ind w:left="360" w:hanging="360"/>
      </w:pPr>
      <w:rPr>
        <w:rFonts w:cs="Times New Roman" w:hint="default"/>
      </w:rPr>
    </w:lvl>
    <w:lvl w:ilvl="1">
      <w:start w:val="1"/>
      <w:numFmt w:val="decimal"/>
      <w:pStyle w:val="a0"/>
      <w:lvlText w:val="%1.%2."/>
      <w:lvlJc w:val="left"/>
      <w:pPr>
        <w:tabs>
          <w:tab w:val="num" w:pos="1332"/>
        </w:tabs>
        <w:ind w:left="133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4A0B521C"/>
    <w:multiLevelType w:val="multilevel"/>
    <w:tmpl w:val="9F10C6CE"/>
    <w:styleLink w:val="List0"/>
    <w:lvl w:ilvl="0">
      <w:start w:val="1"/>
      <w:numFmt w:val="decimal"/>
      <w:lvlText w:val="%1."/>
      <w:lvlJc w:val="left"/>
      <w:rPr>
        <w:rFonts w:ascii="Garamond" w:eastAsia="Garamond" w:hAnsi="Garamond" w:cs="Garamond"/>
        <w:position w:val="0"/>
        <w:lang w:val="ru-RU"/>
      </w:rPr>
    </w:lvl>
    <w:lvl w:ilvl="1">
      <w:start w:val="1"/>
      <w:numFmt w:val="decimal"/>
      <w:lvlText w:val="%2."/>
      <w:lvlJc w:val="left"/>
      <w:rPr>
        <w:position w:val="0"/>
        <w:lang w:val="ru-RU"/>
      </w:rPr>
    </w:lvl>
    <w:lvl w:ilvl="2">
      <w:start w:val="1"/>
      <w:numFmt w:val="lowerRoman"/>
      <w:lvlText w:val="%3."/>
      <w:lvlJc w:val="left"/>
      <w:rPr>
        <w:rFonts w:ascii="Garamond" w:eastAsia="Garamond" w:hAnsi="Garamond" w:cs="Garamond"/>
        <w:position w:val="0"/>
        <w:lang w:val="ru-RU"/>
      </w:rPr>
    </w:lvl>
    <w:lvl w:ilvl="3">
      <w:start w:val="1"/>
      <w:numFmt w:val="decimal"/>
      <w:lvlText w:val="%4."/>
      <w:lvlJc w:val="left"/>
      <w:rPr>
        <w:rFonts w:ascii="Garamond" w:eastAsia="Garamond" w:hAnsi="Garamond" w:cs="Garamond"/>
        <w:position w:val="0"/>
        <w:lang w:val="ru-RU"/>
      </w:rPr>
    </w:lvl>
    <w:lvl w:ilvl="4">
      <w:start w:val="1"/>
      <w:numFmt w:val="lowerLetter"/>
      <w:lvlText w:val="%5."/>
      <w:lvlJc w:val="left"/>
      <w:rPr>
        <w:rFonts w:ascii="Garamond" w:eastAsia="Garamond" w:hAnsi="Garamond" w:cs="Garamond"/>
        <w:position w:val="0"/>
        <w:lang w:val="ru-RU"/>
      </w:rPr>
    </w:lvl>
    <w:lvl w:ilvl="5">
      <w:start w:val="1"/>
      <w:numFmt w:val="lowerRoman"/>
      <w:lvlText w:val="%6."/>
      <w:lvlJc w:val="left"/>
      <w:rPr>
        <w:rFonts w:ascii="Garamond" w:eastAsia="Garamond" w:hAnsi="Garamond" w:cs="Garamond"/>
        <w:position w:val="0"/>
        <w:lang w:val="ru-RU"/>
      </w:rPr>
    </w:lvl>
    <w:lvl w:ilvl="6">
      <w:start w:val="1"/>
      <w:numFmt w:val="decimal"/>
      <w:lvlText w:val="%7."/>
      <w:lvlJc w:val="left"/>
      <w:rPr>
        <w:rFonts w:ascii="Garamond" w:eastAsia="Garamond" w:hAnsi="Garamond" w:cs="Garamond"/>
        <w:position w:val="0"/>
        <w:lang w:val="ru-RU"/>
      </w:rPr>
    </w:lvl>
    <w:lvl w:ilvl="7">
      <w:start w:val="1"/>
      <w:numFmt w:val="lowerLetter"/>
      <w:lvlText w:val="%8."/>
      <w:lvlJc w:val="left"/>
      <w:rPr>
        <w:rFonts w:ascii="Garamond" w:eastAsia="Garamond" w:hAnsi="Garamond" w:cs="Garamond"/>
        <w:position w:val="0"/>
        <w:lang w:val="ru-RU"/>
      </w:rPr>
    </w:lvl>
    <w:lvl w:ilvl="8">
      <w:start w:val="1"/>
      <w:numFmt w:val="lowerRoman"/>
      <w:lvlText w:val="%9."/>
      <w:lvlJc w:val="left"/>
      <w:rPr>
        <w:rFonts w:ascii="Garamond" w:eastAsia="Garamond" w:hAnsi="Garamond" w:cs="Garamond"/>
        <w:position w:val="0"/>
        <w:lang w:val="ru-RU"/>
      </w:rPr>
    </w:lvl>
  </w:abstractNum>
  <w:abstractNum w:abstractNumId="22" w15:restartNumberingAfterBreak="0">
    <w:nsid w:val="4C494050"/>
    <w:multiLevelType w:val="hybridMultilevel"/>
    <w:tmpl w:val="F404D418"/>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23" w15:restartNumberingAfterBreak="0">
    <w:nsid w:val="4D9470B1"/>
    <w:multiLevelType w:val="hybridMultilevel"/>
    <w:tmpl w:val="A34E61BE"/>
    <w:lvl w:ilvl="0" w:tplc="2FF89756">
      <w:start w:val="1"/>
      <w:numFmt w:val="bullet"/>
      <w:lvlText w:val=""/>
      <w:lvlJc w:val="left"/>
      <w:pPr>
        <w:ind w:left="720" w:hanging="360"/>
      </w:pPr>
      <w:rPr>
        <w:rFonts w:ascii="Symbol" w:hAnsi="Symbol" w:hint="default"/>
      </w:rPr>
    </w:lvl>
    <w:lvl w:ilvl="1" w:tplc="54B6390A" w:tentative="1">
      <w:start w:val="1"/>
      <w:numFmt w:val="bullet"/>
      <w:lvlText w:val="o"/>
      <w:lvlJc w:val="left"/>
      <w:pPr>
        <w:ind w:left="1440" w:hanging="360"/>
      </w:pPr>
      <w:rPr>
        <w:rFonts w:ascii="Courier New" w:hAnsi="Courier New" w:cs="Courier New" w:hint="default"/>
      </w:rPr>
    </w:lvl>
    <w:lvl w:ilvl="2" w:tplc="957E8498" w:tentative="1">
      <w:start w:val="1"/>
      <w:numFmt w:val="bullet"/>
      <w:lvlText w:val=""/>
      <w:lvlJc w:val="left"/>
      <w:pPr>
        <w:ind w:left="2160" w:hanging="360"/>
      </w:pPr>
      <w:rPr>
        <w:rFonts w:ascii="Wingdings" w:hAnsi="Wingdings" w:hint="default"/>
      </w:rPr>
    </w:lvl>
    <w:lvl w:ilvl="3" w:tplc="241EE5A6" w:tentative="1">
      <w:start w:val="1"/>
      <w:numFmt w:val="bullet"/>
      <w:lvlText w:val=""/>
      <w:lvlJc w:val="left"/>
      <w:pPr>
        <w:ind w:left="2880" w:hanging="360"/>
      </w:pPr>
      <w:rPr>
        <w:rFonts w:ascii="Symbol" w:hAnsi="Symbol" w:hint="default"/>
      </w:rPr>
    </w:lvl>
    <w:lvl w:ilvl="4" w:tplc="B47A2A1A" w:tentative="1">
      <w:start w:val="1"/>
      <w:numFmt w:val="bullet"/>
      <w:lvlText w:val="o"/>
      <w:lvlJc w:val="left"/>
      <w:pPr>
        <w:ind w:left="3600" w:hanging="360"/>
      </w:pPr>
      <w:rPr>
        <w:rFonts w:ascii="Courier New" w:hAnsi="Courier New" w:cs="Courier New" w:hint="default"/>
      </w:rPr>
    </w:lvl>
    <w:lvl w:ilvl="5" w:tplc="AAAADB08" w:tentative="1">
      <w:start w:val="1"/>
      <w:numFmt w:val="bullet"/>
      <w:lvlText w:val=""/>
      <w:lvlJc w:val="left"/>
      <w:pPr>
        <w:ind w:left="4320" w:hanging="360"/>
      </w:pPr>
      <w:rPr>
        <w:rFonts w:ascii="Wingdings" w:hAnsi="Wingdings" w:hint="default"/>
      </w:rPr>
    </w:lvl>
    <w:lvl w:ilvl="6" w:tplc="4A422EFC" w:tentative="1">
      <w:start w:val="1"/>
      <w:numFmt w:val="bullet"/>
      <w:lvlText w:val=""/>
      <w:lvlJc w:val="left"/>
      <w:pPr>
        <w:ind w:left="5040" w:hanging="360"/>
      </w:pPr>
      <w:rPr>
        <w:rFonts w:ascii="Symbol" w:hAnsi="Symbol" w:hint="default"/>
      </w:rPr>
    </w:lvl>
    <w:lvl w:ilvl="7" w:tplc="01461F32" w:tentative="1">
      <w:start w:val="1"/>
      <w:numFmt w:val="bullet"/>
      <w:lvlText w:val="o"/>
      <w:lvlJc w:val="left"/>
      <w:pPr>
        <w:ind w:left="5760" w:hanging="360"/>
      </w:pPr>
      <w:rPr>
        <w:rFonts w:ascii="Courier New" w:hAnsi="Courier New" w:cs="Courier New" w:hint="default"/>
      </w:rPr>
    </w:lvl>
    <w:lvl w:ilvl="8" w:tplc="2DA691A4" w:tentative="1">
      <w:start w:val="1"/>
      <w:numFmt w:val="bullet"/>
      <w:lvlText w:val=""/>
      <w:lvlJc w:val="left"/>
      <w:pPr>
        <w:ind w:left="6480" w:hanging="360"/>
      </w:pPr>
      <w:rPr>
        <w:rFonts w:ascii="Wingdings" w:hAnsi="Wingdings" w:hint="default"/>
      </w:rPr>
    </w:lvl>
  </w:abstractNum>
  <w:abstractNum w:abstractNumId="24" w15:restartNumberingAfterBreak="0">
    <w:nsid w:val="4EDF1887"/>
    <w:multiLevelType w:val="multilevel"/>
    <w:tmpl w:val="67687994"/>
    <w:name w:val="WW8Num772"/>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5AD1B50"/>
    <w:multiLevelType w:val="hybridMultilevel"/>
    <w:tmpl w:val="7A56ADC2"/>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6" w15:restartNumberingAfterBreak="0">
    <w:nsid w:val="5A1D66BC"/>
    <w:multiLevelType w:val="hybridMultilevel"/>
    <w:tmpl w:val="28BAC80E"/>
    <w:lvl w:ilvl="0" w:tplc="04190001">
      <w:start w:val="2"/>
      <w:numFmt w:val="decimal"/>
      <w:lvlText w:val="%1)"/>
      <w:lvlJc w:val="left"/>
      <w:pPr>
        <w:tabs>
          <w:tab w:val="num" w:pos="1353"/>
        </w:tabs>
        <w:ind w:left="1353" w:hanging="360"/>
      </w:pPr>
      <w:rPr>
        <w:rFonts w:cs="Times New Roman" w:hint="default"/>
      </w:rPr>
    </w:lvl>
    <w:lvl w:ilvl="1" w:tplc="04190003">
      <w:start w:val="1"/>
      <w:numFmt w:val="bullet"/>
      <w:lvlText w:val=""/>
      <w:lvlJc w:val="left"/>
      <w:pPr>
        <w:tabs>
          <w:tab w:val="num" w:pos="2073"/>
        </w:tabs>
        <w:ind w:left="2073" w:hanging="360"/>
      </w:pPr>
      <w:rPr>
        <w:rFonts w:ascii="Symbol" w:hAnsi="Symbol" w:hint="default"/>
      </w:rPr>
    </w:lvl>
    <w:lvl w:ilvl="2" w:tplc="04190005">
      <w:start w:val="1"/>
      <w:numFmt w:val="lowerLetter"/>
      <w:lvlText w:val="%3)"/>
      <w:lvlJc w:val="right"/>
      <w:pPr>
        <w:tabs>
          <w:tab w:val="num" w:pos="2793"/>
        </w:tabs>
        <w:ind w:left="2793" w:hanging="180"/>
      </w:pPr>
      <w:rPr>
        <w:rFonts w:ascii="Garamond" w:eastAsia="Times New Roman" w:hAnsi="Garamond" w:cs="Times New Roman" w:hint="default"/>
      </w:rPr>
    </w:lvl>
    <w:lvl w:ilvl="3" w:tplc="3426F94E">
      <w:start w:val="1"/>
      <w:numFmt w:val="decimal"/>
      <w:lvlText w:val="%4)"/>
      <w:lvlJc w:val="left"/>
      <w:pPr>
        <w:tabs>
          <w:tab w:val="num" w:pos="3513"/>
        </w:tabs>
        <w:ind w:left="3513" w:hanging="360"/>
      </w:pPr>
      <w:rPr>
        <w:rFonts w:ascii="Garamond" w:eastAsia="Times New Roman" w:hAnsi="Garamond" w:cs="Times New Roman"/>
        <w:b w:val="0"/>
      </w:rPr>
    </w:lvl>
    <w:lvl w:ilvl="4" w:tplc="04190003" w:tentative="1">
      <w:start w:val="1"/>
      <w:numFmt w:val="lowerLetter"/>
      <w:lvlText w:val="%5."/>
      <w:lvlJc w:val="left"/>
      <w:pPr>
        <w:tabs>
          <w:tab w:val="num" w:pos="4233"/>
        </w:tabs>
        <w:ind w:left="4233" w:hanging="360"/>
      </w:pPr>
      <w:rPr>
        <w:rFonts w:cs="Times New Roman"/>
      </w:rPr>
    </w:lvl>
    <w:lvl w:ilvl="5" w:tplc="04190005" w:tentative="1">
      <w:start w:val="1"/>
      <w:numFmt w:val="lowerRoman"/>
      <w:lvlText w:val="%6."/>
      <w:lvlJc w:val="right"/>
      <w:pPr>
        <w:tabs>
          <w:tab w:val="num" w:pos="4953"/>
        </w:tabs>
        <w:ind w:left="4953" w:hanging="180"/>
      </w:pPr>
      <w:rPr>
        <w:rFonts w:cs="Times New Roman"/>
      </w:rPr>
    </w:lvl>
    <w:lvl w:ilvl="6" w:tplc="04190001" w:tentative="1">
      <w:start w:val="1"/>
      <w:numFmt w:val="decimal"/>
      <w:lvlText w:val="%7."/>
      <w:lvlJc w:val="left"/>
      <w:pPr>
        <w:tabs>
          <w:tab w:val="num" w:pos="5673"/>
        </w:tabs>
        <w:ind w:left="5673" w:hanging="360"/>
      </w:pPr>
      <w:rPr>
        <w:rFonts w:cs="Times New Roman"/>
      </w:rPr>
    </w:lvl>
    <w:lvl w:ilvl="7" w:tplc="04190003" w:tentative="1">
      <w:start w:val="1"/>
      <w:numFmt w:val="lowerLetter"/>
      <w:lvlText w:val="%8."/>
      <w:lvlJc w:val="left"/>
      <w:pPr>
        <w:tabs>
          <w:tab w:val="num" w:pos="6393"/>
        </w:tabs>
        <w:ind w:left="6393" w:hanging="360"/>
      </w:pPr>
      <w:rPr>
        <w:rFonts w:cs="Times New Roman"/>
      </w:rPr>
    </w:lvl>
    <w:lvl w:ilvl="8" w:tplc="04190005" w:tentative="1">
      <w:start w:val="1"/>
      <w:numFmt w:val="lowerRoman"/>
      <w:lvlText w:val="%9."/>
      <w:lvlJc w:val="right"/>
      <w:pPr>
        <w:tabs>
          <w:tab w:val="num" w:pos="7113"/>
        </w:tabs>
        <w:ind w:left="7113" w:hanging="180"/>
      </w:pPr>
      <w:rPr>
        <w:rFonts w:cs="Times New Roman"/>
      </w:rPr>
    </w:lvl>
  </w:abstractNum>
  <w:abstractNum w:abstractNumId="27" w15:restartNumberingAfterBreak="0">
    <w:nsid w:val="5B047245"/>
    <w:multiLevelType w:val="hybridMultilevel"/>
    <w:tmpl w:val="0890FA82"/>
    <w:lvl w:ilvl="0" w:tplc="7ABE6AC0">
      <w:start w:val="1"/>
      <w:numFmt w:val="bullet"/>
      <w:lvlText w:val=""/>
      <w:lvlJc w:val="left"/>
      <w:pPr>
        <w:ind w:left="720" w:hanging="360"/>
      </w:pPr>
      <w:rPr>
        <w:rFonts w:ascii="Symbol" w:hAnsi="Symbol" w:hint="default"/>
        <w:b/>
        <w:i w:val="0"/>
        <w:color w:val="auto"/>
        <w:sz w:val="28"/>
        <w:szCs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CD46B9C"/>
    <w:multiLevelType w:val="hybridMultilevel"/>
    <w:tmpl w:val="2718180E"/>
    <w:lvl w:ilvl="0" w:tplc="3426F94E">
      <w:start w:val="1"/>
      <w:numFmt w:val="decimal"/>
      <w:lvlText w:val="%1)"/>
      <w:lvlJc w:val="left"/>
      <w:pPr>
        <w:tabs>
          <w:tab w:val="num" w:pos="3513"/>
        </w:tabs>
        <w:ind w:left="3513" w:hanging="360"/>
      </w:pPr>
      <w:rPr>
        <w:rFonts w:ascii="Garamond" w:eastAsia="Times New Roman" w:hAnsi="Garamond"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EFE0A4B"/>
    <w:multiLevelType w:val="multilevel"/>
    <w:tmpl w:val="67687994"/>
    <w:lvl w:ilvl="0">
      <w:start w:val="4"/>
      <w:numFmt w:val="decimal"/>
      <w:lvlText w:val="%1."/>
      <w:lvlJc w:val="left"/>
      <w:pPr>
        <w:tabs>
          <w:tab w:val="num" w:pos="0"/>
        </w:tabs>
        <w:ind w:left="360" w:hanging="360"/>
      </w:pPr>
      <w:rPr>
        <w:rFonts w:hint="default"/>
        <w:b w:val="0"/>
        <w:sz w:val="22"/>
        <w:szCs w:val="24"/>
      </w:rPr>
    </w:lvl>
    <w:lvl w:ilvl="1">
      <w:start w:val="2"/>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68765460"/>
    <w:multiLevelType w:val="multilevel"/>
    <w:tmpl w:val="169E1FD8"/>
    <w:lvl w:ilvl="0">
      <w:start w:val="1"/>
      <w:numFmt w:val="bullet"/>
      <w:lvlText w:val=""/>
      <w:lvlJc w:val="left"/>
      <w:pPr>
        <w:tabs>
          <w:tab w:val="num" w:pos="1211"/>
        </w:tabs>
        <w:ind w:left="1211" w:hanging="360"/>
      </w:pPr>
      <w:rPr>
        <w:rFonts w:ascii="Symbol" w:hAnsi="Symbol" w:hint="default"/>
      </w:rPr>
    </w:lvl>
    <w:lvl w:ilvl="1">
      <w:start w:val="1"/>
      <w:numFmt w:val="decimal"/>
      <w:lvlText w:val="%2."/>
      <w:legacy w:legacy="1" w:legacySpace="120" w:legacyIndent="360"/>
      <w:lvlJc w:val="left"/>
    </w:lvl>
    <w:lvl w:ilvl="2">
      <w:start w:val="1"/>
      <w:numFmt w:val="decimal"/>
      <w:lvlText w:val="%2.%3"/>
      <w:legacy w:legacy="1" w:legacySpace="120" w:legacyIndent="360"/>
      <w:lvlJc w:val="left"/>
    </w:lvl>
    <w:lvl w:ilvl="3">
      <w:start w:val="1"/>
      <w:numFmt w:val="decimal"/>
      <w:lvlText w:val="%2.%3.%4"/>
      <w:legacy w:legacy="1" w:legacySpace="120" w:legacyIndent="360"/>
      <w:lvlJc w:val="left"/>
    </w:lvl>
    <w:lvl w:ilvl="4">
      <w:start w:val="1"/>
      <w:numFmt w:val="decimal"/>
      <w:lvlText w:val="%5)"/>
      <w:legacy w:legacy="1" w:legacySpace="120" w:legacyIndent="360"/>
      <w:lvlJc w:val="left"/>
    </w:lvl>
    <w:lvl w:ilvl="5">
      <w:start w:val="1"/>
      <w:numFmt w:val="lowerRoman"/>
      <w:lvlText w:val="%6)"/>
      <w:legacy w:legacy="1" w:legacySpace="120" w:legacyIndent="360"/>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1" w15:restartNumberingAfterBreak="0">
    <w:nsid w:val="6D523B67"/>
    <w:multiLevelType w:val="singleLevel"/>
    <w:tmpl w:val="CDF4BB94"/>
    <w:lvl w:ilvl="0">
      <w:start w:val="1"/>
      <w:numFmt w:val="bullet"/>
      <w:pStyle w:val="30"/>
      <w:lvlText w:val=""/>
      <w:lvlJc w:val="left"/>
      <w:pPr>
        <w:tabs>
          <w:tab w:val="num" w:pos="1040"/>
        </w:tabs>
        <w:ind w:left="1021" w:hanging="341"/>
      </w:pPr>
      <w:rPr>
        <w:rFonts w:ascii="Symbol" w:hAnsi="Symbol" w:hint="default"/>
      </w:rPr>
    </w:lvl>
  </w:abstractNum>
  <w:abstractNum w:abstractNumId="32" w15:restartNumberingAfterBreak="0">
    <w:nsid w:val="70BB7BB8"/>
    <w:multiLevelType w:val="hybridMultilevel"/>
    <w:tmpl w:val="46626D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26E3A"/>
    <w:multiLevelType w:val="hybridMultilevel"/>
    <w:tmpl w:val="D9CC0D74"/>
    <w:lvl w:ilvl="0" w:tplc="FFFFFFFF">
      <w:numFmt w:val="bullet"/>
      <w:lvlText w:val="–"/>
      <w:lvlJc w:val="left"/>
      <w:pPr>
        <w:ind w:left="1287" w:hanging="360"/>
      </w:pPr>
      <w:rPr>
        <w:rFonts w:ascii="Garamond" w:eastAsia="Times New Roman" w:hAnsi="Garamond"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EC767BB"/>
    <w:multiLevelType w:val="hybridMultilevel"/>
    <w:tmpl w:val="5BA2DA06"/>
    <w:lvl w:ilvl="0" w:tplc="04190001">
      <w:start w:val="1"/>
      <w:numFmt w:val="bullet"/>
      <w:lvlText w:val=""/>
      <w:lvlJc w:val="left"/>
      <w:pPr>
        <w:ind w:left="1866" w:hanging="360"/>
      </w:pPr>
      <w:rPr>
        <w:rFonts w:ascii="Symbol" w:hAnsi="Symbol" w:hint="default"/>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num w:numId="1">
    <w:abstractNumId w:val="20"/>
  </w:num>
  <w:num w:numId="2">
    <w:abstractNumId w:val="1"/>
  </w:num>
  <w:num w:numId="3">
    <w:abstractNumId w:val="0"/>
  </w:num>
  <w:num w:numId="4">
    <w:abstractNumId w:val="16"/>
  </w:num>
  <w:num w:numId="5">
    <w:abstractNumId w:val="21"/>
  </w:num>
  <w:num w:numId="6">
    <w:abstractNumId w:val="31"/>
  </w:num>
  <w:num w:numId="7">
    <w:abstractNumId w:val="6"/>
  </w:num>
  <w:num w:numId="8">
    <w:abstractNumId w:val="26"/>
  </w:num>
  <w:num w:numId="9">
    <w:abstractNumId w:val="28"/>
  </w:num>
  <w:num w:numId="10">
    <w:abstractNumId w:val="33"/>
  </w:num>
  <w:num w:numId="11">
    <w:abstractNumId w:val="4"/>
  </w:num>
  <w:num w:numId="12">
    <w:abstractNumId w:val="27"/>
  </w:num>
  <w:num w:numId="13">
    <w:abstractNumId w:val="18"/>
  </w:num>
  <w:num w:numId="14">
    <w:abstractNumId w:val="30"/>
  </w:num>
  <w:num w:numId="15">
    <w:abstractNumId w:val="10"/>
  </w:num>
  <w:num w:numId="16">
    <w:abstractNumId w:val="23"/>
  </w:num>
  <w:num w:numId="17">
    <w:abstractNumId w:val="7"/>
  </w:num>
  <w:num w:numId="18">
    <w:abstractNumId w:val="3"/>
  </w:num>
  <w:num w:numId="19">
    <w:abstractNumId w:val="34"/>
  </w:num>
  <w:num w:numId="20">
    <w:abstractNumId w:val="13"/>
  </w:num>
  <w:num w:numId="21">
    <w:abstractNumId w:val="22"/>
  </w:num>
  <w:num w:numId="22">
    <w:abstractNumId w:val="32"/>
  </w:num>
  <w:num w:numId="23">
    <w:abstractNumId w:val="25"/>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4"/>
  </w:num>
  <w:num w:numId="27">
    <w:abstractNumId w:val="1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8"/>
  </w:num>
  <w:num w:numId="31">
    <w:abstractNumId w:val="15"/>
  </w:num>
  <w:num w:numId="32">
    <w:abstractNumId w:val="19"/>
  </w:num>
  <w:num w:numId="33">
    <w:abstractNumId w:val="11"/>
  </w:num>
  <w:num w:numId="34">
    <w:abstractNumId w:val="2"/>
  </w:num>
  <w:num w:numId="35">
    <w:abstractNumId w:val="24"/>
  </w:num>
  <w:num w:numId="36">
    <w:abstractNumId w:val="5"/>
  </w:num>
  <w:num w:numId="37">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E5D"/>
    <w:rsid w:val="000933D0"/>
    <w:rsid w:val="00226FF5"/>
    <w:rsid w:val="00354C98"/>
    <w:rsid w:val="00417274"/>
    <w:rsid w:val="0044747F"/>
    <w:rsid w:val="0051274B"/>
    <w:rsid w:val="005B0E5D"/>
    <w:rsid w:val="006F4B7F"/>
    <w:rsid w:val="00775C3E"/>
    <w:rsid w:val="00813BFF"/>
    <w:rsid w:val="00861BDF"/>
    <w:rsid w:val="008928D7"/>
    <w:rsid w:val="00947DC3"/>
    <w:rsid w:val="00A052DE"/>
    <w:rsid w:val="00A661E2"/>
    <w:rsid w:val="00A70AB4"/>
    <w:rsid w:val="00AD70DD"/>
    <w:rsid w:val="00CC6592"/>
    <w:rsid w:val="00D5560F"/>
    <w:rsid w:val="00E14421"/>
    <w:rsid w:val="00E533F7"/>
    <w:rsid w:val="00F35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F20F20D-4B8F-4D6B-AF64-6D242532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параграфа (1.),Section,level2 hdg,111,Section Heading"/>
    <w:basedOn w:val="a1"/>
    <w:next w:val="a1"/>
    <w:link w:val="10"/>
    <w:qFormat/>
    <w:pPr>
      <w:keepNext/>
      <w:keepLines/>
      <w:numPr>
        <w:numId w:val="1"/>
      </w:numPr>
      <w:tabs>
        <w:tab w:val="clear" w:pos="360"/>
      </w:tabs>
      <w:spacing w:before="240"/>
      <w:ind w:left="0" w:firstLine="0"/>
      <w:outlineLvl w:val="0"/>
    </w:pPr>
    <w:rPr>
      <w:rFonts w:asciiTheme="majorHAnsi" w:eastAsiaTheme="majorEastAsia" w:hAnsiTheme="majorHAnsi" w:cstheme="majorBidi"/>
      <w:color w:val="2E74B5" w:themeColor="accent1" w:themeShade="BF"/>
      <w:sz w:val="32"/>
      <w:szCs w:val="32"/>
    </w:rPr>
  </w:style>
  <w:style w:type="paragraph" w:styleId="21">
    <w:name w:val="heading 2"/>
    <w:aliases w:val="Заголовок пункта (1.1),h2,h21,5,Reset numbering,222"/>
    <w:basedOn w:val="a1"/>
    <w:link w:val="22"/>
    <w:qFormat/>
    <w:pPr>
      <w:spacing w:before="100" w:beforeAutospacing="1" w:after="100" w:afterAutospacing="1"/>
      <w:outlineLvl w:val="1"/>
    </w:pPr>
    <w:rPr>
      <w:b/>
      <w:bCs/>
      <w:sz w:val="36"/>
      <w:szCs w:val="36"/>
    </w:rPr>
  </w:style>
  <w:style w:type="paragraph" w:styleId="31">
    <w:name w:val="heading 3"/>
    <w:aliases w:val="Заголовок подпукта (1.1.1),H3,Level 1 - 1,o"/>
    <w:basedOn w:val="a1"/>
    <w:next w:val="a1"/>
    <w:link w:val="32"/>
    <w:unhideWhenUsed/>
    <w:qFormat/>
    <w:pPr>
      <w:keepNext/>
      <w:keepLines/>
      <w:spacing w:before="40"/>
      <w:outlineLvl w:val="2"/>
    </w:pPr>
    <w:rPr>
      <w:rFonts w:asciiTheme="majorHAnsi" w:eastAsiaTheme="majorEastAsia" w:hAnsiTheme="majorHAnsi" w:cstheme="majorBidi"/>
      <w:color w:val="1F4D78" w:themeColor="accent1" w:themeShade="7F"/>
    </w:rPr>
  </w:style>
  <w:style w:type="paragraph" w:styleId="40">
    <w:name w:val="heading 4"/>
    <w:aliases w:val="H4,H41,Sub-Minor,Level 2 - a"/>
    <w:basedOn w:val="a1"/>
    <w:next w:val="a1"/>
    <w:link w:val="41"/>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0">
    <w:name w:val="heading 5"/>
    <w:aliases w:val="h5,h51,H5,H51,h52,test,Block Label,Level 3 - i"/>
    <w:basedOn w:val="a1"/>
    <w:next w:val="a1"/>
    <w:link w:val="51"/>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0">
    <w:name w:val="heading 6"/>
    <w:aliases w:val="Legal Level 1."/>
    <w:basedOn w:val="a1"/>
    <w:next w:val="a1"/>
    <w:link w:val="61"/>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70">
    <w:name w:val="heading 7"/>
    <w:aliases w:val="Appendix Header,Legal Level 1.1."/>
    <w:basedOn w:val="a1"/>
    <w:next w:val="a1"/>
    <w:link w:val="71"/>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80">
    <w:name w:val="heading 8"/>
    <w:aliases w:val="Legal Level 1.1.1."/>
    <w:basedOn w:val="a1"/>
    <w:next w:val="a1"/>
    <w:link w:val="81"/>
    <w:unhideWhenUsed/>
    <w:qFormat/>
    <w:pPr>
      <w:spacing w:before="240" w:after="60"/>
      <w:outlineLvl w:val="7"/>
    </w:pPr>
    <w:rPr>
      <w:rFonts w:ascii="Arial" w:hAnsi="Arial"/>
      <w:i/>
      <w:sz w:val="20"/>
      <w:szCs w:val="20"/>
      <w:lang w:eastAsia="en-US"/>
    </w:rPr>
  </w:style>
  <w:style w:type="paragraph" w:styleId="90">
    <w:name w:val="heading 9"/>
    <w:aliases w:val="Legal Level 1.1.1.1."/>
    <w:basedOn w:val="a1"/>
    <w:next w:val="a1"/>
    <w:link w:val="91"/>
    <w:unhideWhenUsed/>
    <w:qFormat/>
    <w:pPr>
      <w:spacing w:before="240" w:after="60"/>
      <w:outlineLvl w:val="8"/>
    </w:pPr>
    <w:rPr>
      <w:rFonts w:ascii="Arial" w:hAnsi="Arial"/>
      <w:i/>
      <w:sz w:val="18"/>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Заголовок параграфа (1.) Знак,Section Знак,level2 hdg Знак,111 Знак,Section Heading Знак"/>
    <w:basedOn w:val="a2"/>
    <w:link w:val="1"/>
    <w:uiPriority w:val="9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aliases w:val="Заголовок пункта (1.1) Знак,h2 Знак,h21 Знак,5 Знак,Reset numbering Знак,222 Знак"/>
    <w:basedOn w:val="a2"/>
    <w:link w:val="21"/>
    <w:uiPriority w:val="9"/>
    <w:rPr>
      <w:rFonts w:ascii="Times New Roman" w:eastAsia="Times New Roman" w:hAnsi="Times New Roman" w:cs="Times New Roman"/>
      <w:b/>
      <w:bCs/>
      <w:sz w:val="36"/>
      <w:szCs w:val="36"/>
      <w:lang w:eastAsia="ru-RU"/>
    </w:rPr>
  </w:style>
  <w:style w:type="paragraph" w:styleId="a0">
    <w:name w:val="Revision"/>
    <w:hidden/>
    <w:uiPriority w:val="99"/>
    <w:semiHidden/>
    <w:pPr>
      <w:numPr>
        <w:ilvl w:val="1"/>
        <w:numId w:val="1"/>
      </w:numPr>
      <w:tabs>
        <w:tab w:val="clear" w:pos="1332"/>
      </w:tabs>
      <w:spacing w:after="0" w:line="240" w:lineRule="auto"/>
      <w:ind w:left="0" w:firstLine="0"/>
    </w:pPr>
    <w:rPr>
      <w:rFonts w:ascii="Times New Roman" w:eastAsia="Times New Roman" w:hAnsi="Times New Roman" w:cs="Times New Roman"/>
      <w:sz w:val="24"/>
      <w:szCs w:val="24"/>
      <w:lang w:eastAsia="ru-RU"/>
    </w:rPr>
  </w:style>
  <w:style w:type="paragraph" w:customStyle="1" w:styleId="20">
    <w:name w:val="заголовок 2"/>
    <w:basedOn w:val="a1"/>
    <w:next w:val="a1"/>
    <w:pPr>
      <w:keepNext/>
      <w:keepLines/>
      <w:numPr>
        <w:ilvl w:val="1"/>
        <w:numId w:val="2"/>
      </w:numPr>
      <w:spacing w:before="120" w:after="60" w:line="220" w:lineRule="exact"/>
      <w:jc w:val="both"/>
    </w:pPr>
    <w:rPr>
      <w:rFonts w:ascii="TimesDL" w:hAnsi="TimesDL"/>
      <w:b/>
      <w:bCs/>
      <w:sz w:val="20"/>
      <w:szCs w:val="20"/>
      <w:lang w:val="en-US"/>
    </w:rPr>
  </w:style>
  <w:style w:type="paragraph" w:customStyle="1" w:styleId="3">
    <w:name w:val="заголовок 3"/>
    <w:basedOn w:val="a1"/>
    <w:next w:val="a1"/>
    <w:pPr>
      <w:numPr>
        <w:ilvl w:val="2"/>
        <w:numId w:val="2"/>
      </w:numPr>
      <w:spacing w:before="60" w:line="220" w:lineRule="exact"/>
      <w:jc w:val="both"/>
    </w:pPr>
    <w:rPr>
      <w:rFonts w:ascii="TimesDL" w:hAnsi="TimesDL"/>
      <w:sz w:val="20"/>
      <w:szCs w:val="20"/>
      <w:lang w:val="en-US"/>
    </w:rPr>
  </w:style>
  <w:style w:type="paragraph" w:customStyle="1" w:styleId="4">
    <w:name w:val="заголовок 4"/>
    <w:basedOn w:val="a1"/>
    <w:next w:val="a1"/>
    <w:pPr>
      <w:keepNext/>
      <w:numPr>
        <w:ilvl w:val="3"/>
        <w:numId w:val="2"/>
      </w:numPr>
      <w:spacing w:before="240" w:after="60" w:line="220" w:lineRule="exact"/>
      <w:jc w:val="both"/>
    </w:pPr>
    <w:rPr>
      <w:rFonts w:ascii="TimesDL" w:hAnsi="TimesDL"/>
      <w:b/>
      <w:bCs/>
      <w:i/>
      <w:iCs/>
      <w:sz w:val="20"/>
      <w:szCs w:val="20"/>
      <w:lang w:val="en-US"/>
    </w:rPr>
  </w:style>
  <w:style w:type="paragraph" w:customStyle="1" w:styleId="5">
    <w:name w:val="заголовок 5"/>
    <w:basedOn w:val="a1"/>
    <w:next w:val="a1"/>
    <w:pPr>
      <w:numPr>
        <w:ilvl w:val="4"/>
        <w:numId w:val="2"/>
      </w:numPr>
      <w:spacing w:before="240" w:after="60" w:line="220" w:lineRule="exact"/>
      <w:jc w:val="both"/>
    </w:pPr>
    <w:rPr>
      <w:rFonts w:ascii="Arial" w:hAnsi="Arial" w:cs="Arial"/>
      <w:sz w:val="22"/>
      <w:szCs w:val="22"/>
      <w:lang w:val="en-US"/>
    </w:rPr>
  </w:style>
  <w:style w:type="paragraph" w:customStyle="1" w:styleId="6">
    <w:name w:val="заголовок 6"/>
    <w:basedOn w:val="a1"/>
    <w:next w:val="a1"/>
    <w:pPr>
      <w:numPr>
        <w:ilvl w:val="5"/>
        <w:numId w:val="2"/>
      </w:numPr>
      <w:spacing w:before="240" w:after="60" w:line="220" w:lineRule="exact"/>
      <w:jc w:val="both"/>
    </w:pPr>
    <w:rPr>
      <w:rFonts w:ascii="Arial" w:hAnsi="Arial" w:cs="Arial"/>
      <w:i/>
      <w:iCs/>
      <w:sz w:val="22"/>
      <w:szCs w:val="22"/>
      <w:lang w:val="en-US"/>
    </w:rPr>
  </w:style>
  <w:style w:type="paragraph" w:customStyle="1" w:styleId="7">
    <w:name w:val="заголовок 7"/>
    <w:basedOn w:val="a1"/>
    <w:next w:val="a1"/>
    <w:pPr>
      <w:numPr>
        <w:ilvl w:val="6"/>
        <w:numId w:val="2"/>
      </w:numPr>
      <w:spacing w:before="240" w:after="60" w:line="220" w:lineRule="exact"/>
      <w:jc w:val="both"/>
    </w:pPr>
    <w:rPr>
      <w:rFonts w:ascii="Arial" w:hAnsi="Arial" w:cs="Arial"/>
      <w:sz w:val="20"/>
      <w:szCs w:val="20"/>
      <w:lang w:val="en-US"/>
    </w:rPr>
  </w:style>
  <w:style w:type="paragraph" w:customStyle="1" w:styleId="8">
    <w:name w:val="заголовок 8"/>
    <w:basedOn w:val="a1"/>
    <w:next w:val="a1"/>
    <w:pPr>
      <w:numPr>
        <w:ilvl w:val="7"/>
        <w:numId w:val="2"/>
      </w:numPr>
      <w:spacing w:before="240" w:after="60" w:line="220" w:lineRule="exact"/>
      <w:jc w:val="both"/>
    </w:pPr>
    <w:rPr>
      <w:rFonts w:ascii="Arial" w:hAnsi="Arial" w:cs="Arial"/>
      <w:i/>
      <w:iCs/>
      <w:sz w:val="20"/>
      <w:szCs w:val="20"/>
      <w:lang w:val="en-US"/>
    </w:rPr>
  </w:style>
  <w:style w:type="paragraph" w:customStyle="1" w:styleId="9">
    <w:name w:val="заголовок 9"/>
    <w:basedOn w:val="a1"/>
    <w:next w:val="a1"/>
    <w:pPr>
      <w:numPr>
        <w:ilvl w:val="8"/>
        <w:numId w:val="2"/>
      </w:numPr>
      <w:spacing w:before="240" w:after="60" w:line="220" w:lineRule="exact"/>
      <w:jc w:val="both"/>
    </w:pPr>
    <w:rPr>
      <w:rFonts w:ascii="Arial" w:hAnsi="Arial" w:cs="Arial"/>
      <w:i/>
      <w:iCs/>
      <w:sz w:val="18"/>
      <w:szCs w:val="18"/>
      <w:lang w:val="en-US"/>
    </w:rPr>
  </w:style>
  <w:style w:type="paragraph" w:styleId="a5">
    <w:name w:val="Normal (Web)"/>
    <w:basedOn w:val="a1"/>
    <w:uiPriority w:val="99"/>
    <w:pPr>
      <w:spacing w:before="100" w:beforeAutospacing="1" w:after="100" w:afterAutospacing="1"/>
      <w:jc w:val="both"/>
    </w:pPr>
    <w:rPr>
      <w:rFonts w:ascii="Garamond" w:hAnsi="Garamond"/>
      <w:sz w:val="22"/>
    </w:rPr>
  </w:style>
  <w:style w:type="paragraph" w:styleId="a6">
    <w:name w:val="Body Text"/>
    <w:aliases w:val="body text"/>
    <w:basedOn w:val="a1"/>
    <w:link w:val="11"/>
    <w:pPr>
      <w:spacing w:before="120" w:after="120"/>
      <w:jc w:val="both"/>
    </w:pPr>
    <w:rPr>
      <w:sz w:val="22"/>
      <w:szCs w:val="20"/>
      <w:lang w:val="en-GB" w:eastAsia="en-US"/>
    </w:rPr>
  </w:style>
  <w:style w:type="character" w:customStyle="1" w:styleId="a7">
    <w:name w:val="Основной текст Знак"/>
    <w:basedOn w:val="a2"/>
    <w:uiPriority w:val="99"/>
    <w:semiHidden/>
    <w:rPr>
      <w:rFonts w:ascii="Times New Roman" w:eastAsia="Times New Roman" w:hAnsi="Times New Roman" w:cs="Times New Roman"/>
      <w:sz w:val="24"/>
      <w:szCs w:val="24"/>
      <w:lang w:eastAsia="ru-RU"/>
    </w:rPr>
  </w:style>
  <w:style w:type="character" w:customStyle="1" w:styleId="11">
    <w:name w:val="Основной текст Знак1"/>
    <w:aliases w:val="body text Знак"/>
    <w:link w:val="a6"/>
    <w:rPr>
      <w:rFonts w:ascii="Times New Roman" w:eastAsia="Times New Roman" w:hAnsi="Times New Roman" w:cs="Times New Roman"/>
      <w:szCs w:val="20"/>
      <w:lang w:val="en-GB"/>
    </w:rPr>
  </w:style>
  <w:style w:type="paragraph" w:styleId="a8">
    <w:name w:val="caption"/>
    <w:basedOn w:val="a1"/>
    <w:qFormat/>
    <w:pPr>
      <w:widowControl w:val="0"/>
      <w:jc w:val="center"/>
    </w:pPr>
    <w:rPr>
      <w:rFonts w:ascii="Garamond" w:hAnsi="Garamond"/>
      <w:sz w:val="22"/>
      <w:szCs w:val="20"/>
    </w:rPr>
  </w:style>
  <w:style w:type="paragraph" w:styleId="2">
    <w:name w:val="List Number 2"/>
    <w:basedOn w:val="a1"/>
    <w:uiPriority w:val="99"/>
    <w:pPr>
      <w:keepNext/>
      <w:keepLines/>
      <w:numPr>
        <w:numId w:val="3"/>
      </w:numPr>
      <w:tabs>
        <w:tab w:val="left" w:pos="1260"/>
      </w:tabs>
      <w:spacing w:before="120"/>
      <w:jc w:val="both"/>
    </w:pPr>
    <w:rPr>
      <w:rFonts w:ascii="Garamond" w:hAnsi="Garamond"/>
      <w:sz w:val="22"/>
      <w:szCs w:val="20"/>
      <w:lang w:eastAsia="en-US"/>
    </w:rPr>
  </w:style>
  <w:style w:type="paragraph" w:styleId="a9">
    <w:name w:val="List Paragraph"/>
    <w:basedOn w:val="a1"/>
    <w:link w:val="aa"/>
    <w:uiPriority w:val="99"/>
    <w:qFormat/>
    <w:pPr>
      <w:ind w:left="708"/>
    </w:pPr>
  </w:style>
  <w:style w:type="paragraph" w:customStyle="1" w:styleId="12">
    <w:name w:val="Абзац списка1"/>
    <w:basedOn w:val="a1"/>
    <w:pPr>
      <w:suppressAutoHyphens/>
      <w:spacing w:after="200" w:line="276" w:lineRule="auto"/>
      <w:ind w:left="720"/>
    </w:pPr>
    <w:rPr>
      <w:rFonts w:ascii="Calibri" w:hAnsi="Calibri"/>
      <w:sz w:val="22"/>
      <w:szCs w:val="22"/>
      <w:lang w:eastAsia="ar-SA"/>
    </w:rPr>
  </w:style>
  <w:style w:type="numbering" w:customStyle="1" w:styleId="List0">
    <w:name w:val="List 0"/>
    <w:basedOn w:val="a4"/>
    <w:pPr>
      <w:numPr>
        <w:numId w:val="5"/>
      </w:numPr>
    </w:pPr>
  </w:style>
  <w:style w:type="numbering" w:customStyle="1" w:styleId="List25">
    <w:name w:val="List 25"/>
    <w:basedOn w:val="a4"/>
    <w:pPr>
      <w:numPr>
        <w:numId w:val="4"/>
      </w:numPr>
    </w:pPr>
  </w:style>
  <w:style w:type="character" w:customStyle="1" w:styleId="41">
    <w:name w:val="Заголовок 4 Знак"/>
    <w:aliases w:val="H4 Знак,H41 Знак,Sub-Minor Знак,Level 2 - a Знак"/>
    <w:basedOn w:val="a2"/>
    <w:link w:val="40"/>
    <w:uiPriority w:val="9"/>
    <w:rPr>
      <w:rFonts w:asciiTheme="majorHAnsi" w:eastAsiaTheme="majorEastAsia" w:hAnsiTheme="majorHAnsi" w:cstheme="majorBidi"/>
      <w:i/>
      <w:iCs/>
      <w:color w:val="2E74B5" w:themeColor="accent1" w:themeShade="BF"/>
      <w:sz w:val="24"/>
      <w:szCs w:val="24"/>
      <w:lang w:eastAsia="ru-RU"/>
    </w:rPr>
  </w:style>
  <w:style w:type="character" w:customStyle="1" w:styleId="51">
    <w:name w:val="Заголовок 5 Знак"/>
    <w:aliases w:val="h5 Знак,h51 Знак,H5 Знак,H51 Знак,h52 Знак,test Знак,Block Label Знак,Level 3 - i Знак"/>
    <w:basedOn w:val="a2"/>
    <w:link w:val="50"/>
    <w:uiPriority w:val="9"/>
    <w:rPr>
      <w:rFonts w:asciiTheme="majorHAnsi" w:eastAsiaTheme="majorEastAsia" w:hAnsiTheme="majorHAnsi" w:cstheme="majorBidi"/>
      <w:color w:val="2E74B5" w:themeColor="accent1" w:themeShade="BF"/>
      <w:sz w:val="24"/>
      <w:szCs w:val="24"/>
      <w:lang w:eastAsia="ru-RU"/>
    </w:rPr>
  </w:style>
  <w:style w:type="character" w:customStyle="1" w:styleId="32">
    <w:name w:val="Заголовок 3 Знак"/>
    <w:aliases w:val="Заголовок подпукта (1.1.1) Знак,H3 Знак,Level 1 - 1 Знак,o Знак"/>
    <w:basedOn w:val="a2"/>
    <w:link w:val="31"/>
    <w:uiPriority w:val="99"/>
    <w:rPr>
      <w:rFonts w:asciiTheme="majorHAnsi" w:eastAsiaTheme="majorEastAsia" w:hAnsiTheme="majorHAnsi" w:cstheme="majorBidi"/>
      <w:color w:val="1F4D78" w:themeColor="accent1" w:themeShade="7F"/>
      <w:sz w:val="24"/>
      <w:szCs w:val="24"/>
      <w:lang w:eastAsia="ru-RU"/>
    </w:rPr>
  </w:style>
  <w:style w:type="character" w:customStyle="1" w:styleId="71">
    <w:name w:val="Заголовок 7 Знак"/>
    <w:aliases w:val="Appendix Header Знак,Legal Level 1.1. Знак"/>
    <w:basedOn w:val="a2"/>
    <w:link w:val="70"/>
    <w:uiPriority w:val="9"/>
    <w:semiHidden/>
    <w:rPr>
      <w:rFonts w:asciiTheme="majorHAnsi" w:eastAsiaTheme="majorEastAsia" w:hAnsiTheme="majorHAnsi" w:cstheme="majorBidi"/>
      <w:i/>
      <w:iCs/>
      <w:color w:val="1F4D78" w:themeColor="accent1" w:themeShade="7F"/>
      <w:sz w:val="24"/>
      <w:szCs w:val="24"/>
      <w:lang w:eastAsia="ru-RU"/>
    </w:rPr>
  </w:style>
  <w:style w:type="paragraph" w:styleId="33">
    <w:name w:val="Body Text Indent 3"/>
    <w:basedOn w:val="a1"/>
    <w:link w:val="34"/>
    <w:uiPriority w:val="99"/>
    <w:unhideWhenUsed/>
    <w:pPr>
      <w:spacing w:after="120"/>
      <w:ind w:left="283"/>
    </w:pPr>
    <w:rPr>
      <w:sz w:val="16"/>
      <w:szCs w:val="16"/>
    </w:rPr>
  </w:style>
  <w:style w:type="character" w:customStyle="1" w:styleId="34">
    <w:name w:val="Основной текст с отступом 3 Знак"/>
    <w:basedOn w:val="a2"/>
    <w:link w:val="33"/>
    <w:uiPriority w:val="99"/>
    <w:rPr>
      <w:rFonts w:ascii="Times New Roman" w:eastAsia="Times New Roman" w:hAnsi="Times New Roman" w:cs="Times New Roman"/>
      <w:sz w:val="16"/>
      <w:szCs w:val="16"/>
      <w:lang w:eastAsia="ru-RU"/>
    </w:rPr>
  </w:style>
  <w:style w:type="paragraph" w:customStyle="1" w:styleId="subclauseindent">
    <w:name w:val="subclauseindent"/>
    <w:basedOn w:val="a1"/>
    <w:uiPriority w:val="99"/>
    <w:pPr>
      <w:spacing w:before="120" w:after="120"/>
      <w:ind w:left="1701"/>
      <w:jc w:val="both"/>
    </w:pPr>
    <w:rPr>
      <w:sz w:val="22"/>
      <w:szCs w:val="20"/>
      <w:lang w:val="en-GB" w:eastAsia="en-US"/>
    </w:rPr>
  </w:style>
  <w:style w:type="character" w:styleId="ab">
    <w:name w:val="annotation reference"/>
    <w:uiPriority w:val="99"/>
    <w:rPr>
      <w:sz w:val="16"/>
      <w:szCs w:val="16"/>
    </w:rPr>
  </w:style>
  <w:style w:type="paragraph" w:styleId="ac">
    <w:name w:val="annotation text"/>
    <w:basedOn w:val="a1"/>
    <w:link w:val="ad"/>
    <w:uiPriority w:val="99"/>
    <w:rPr>
      <w:sz w:val="20"/>
      <w:szCs w:val="20"/>
    </w:rPr>
  </w:style>
  <w:style w:type="character" w:customStyle="1" w:styleId="ad">
    <w:name w:val="Текст примечания Знак"/>
    <w:basedOn w:val="a2"/>
    <w:link w:val="ac"/>
    <w:uiPriority w:val="99"/>
    <w:rPr>
      <w:rFonts w:ascii="Times New Roman" w:eastAsia="Times New Roman" w:hAnsi="Times New Roman" w:cs="Times New Roman"/>
      <w:sz w:val="20"/>
      <w:szCs w:val="20"/>
      <w:lang w:eastAsia="ru-RU"/>
    </w:rPr>
  </w:style>
  <w:style w:type="paragraph" w:customStyle="1" w:styleId="ae">
    <w:name w:val="Знак"/>
    <w:basedOn w:val="a1"/>
    <w:pPr>
      <w:spacing w:after="160" w:line="240" w:lineRule="exact"/>
    </w:pPr>
    <w:rPr>
      <w:rFonts w:ascii="Verdana" w:hAnsi="Verdana" w:cs="Verdana"/>
      <w:sz w:val="20"/>
      <w:szCs w:val="20"/>
      <w:lang w:val="en-US" w:eastAsia="en-US"/>
    </w:rPr>
  </w:style>
  <w:style w:type="paragraph" w:styleId="30">
    <w:name w:val="List Bullet 3"/>
    <w:basedOn w:val="a1"/>
    <w:autoRedefine/>
    <w:pPr>
      <w:numPr>
        <w:numId w:val="6"/>
      </w:numPr>
      <w:tabs>
        <w:tab w:val="clear" w:pos="1040"/>
        <w:tab w:val="num" w:pos="2913"/>
      </w:tabs>
      <w:spacing w:before="180" w:after="60"/>
      <w:ind w:left="2894"/>
    </w:pPr>
    <w:rPr>
      <w:sz w:val="22"/>
      <w:szCs w:val="20"/>
      <w:lang w:eastAsia="en-US"/>
    </w:rPr>
  </w:style>
  <w:style w:type="paragraph" w:customStyle="1" w:styleId="clauseindent">
    <w:name w:val="clauseindent"/>
    <w:basedOn w:val="a1"/>
    <w:pPr>
      <w:spacing w:before="120" w:after="120"/>
      <w:ind w:left="426"/>
      <w:jc w:val="both"/>
    </w:pPr>
    <w:rPr>
      <w:i/>
      <w:sz w:val="22"/>
      <w:szCs w:val="20"/>
      <w:lang w:eastAsia="en-US"/>
    </w:rPr>
  </w:style>
  <w:style w:type="paragraph" w:styleId="af">
    <w:name w:val="Balloon Text"/>
    <w:basedOn w:val="a1"/>
    <w:link w:val="af0"/>
    <w:uiPriority w:val="99"/>
    <w:semiHidden/>
    <w:unhideWhenUsed/>
    <w:rPr>
      <w:rFonts w:ascii="Segoe UI" w:hAnsi="Segoe UI" w:cs="Segoe UI"/>
      <w:sz w:val="18"/>
      <w:szCs w:val="18"/>
    </w:rPr>
  </w:style>
  <w:style w:type="character" w:customStyle="1" w:styleId="af0">
    <w:name w:val="Текст выноски Знак"/>
    <w:basedOn w:val="a2"/>
    <w:link w:val="af"/>
    <w:uiPriority w:val="99"/>
    <w:semiHidden/>
    <w:rPr>
      <w:rFonts w:ascii="Segoe UI" w:eastAsia="Times New Roman" w:hAnsi="Segoe UI" w:cs="Segoe UI"/>
      <w:sz w:val="18"/>
      <w:szCs w:val="18"/>
      <w:lang w:eastAsia="ru-RU"/>
    </w:rPr>
  </w:style>
  <w:style w:type="paragraph" w:customStyle="1" w:styleId="a">
    <w:name w:val="Список с точкой"/>
    <w:basedOn w:val="a1"/>
    <w:uiPriority w:val="99"/>
    <w:pPr>
      <w:numPr>
        <w:numId w:val="7"/>
      </w:numPr>
      <w:spacing w:before="180" w:after="60"/>
    </w:pPr>
    <w:rPr>
      <w:rFonts w:ascii="Garamond" w:hAnsi="Garamond"/>
      <w:sz w:val="22"/>
      <w:szCs w:val="20"/>
      <w:lang w:eastAsia="en-US"/>
    </w:rPr>
  </w:style>
  <w:style w:type="character" w:customStyle="1" w:styleId="81">
    <w:name w:val="Заголовок 8 Знак"/>
    <w:aliases w:val="Legal Level 1.1.1. Знак"/>
    <w:basedOn w:val="a2"/>
    <w:link w:val="80"/>
    <w:uiPriority w:val="99"/>
    <w:semiHidden/>
    <w:rPr>
      <w:rFonts w:ascii="Arial" w:eastAsia="Times New Roman" w:hAnsi="Arial" w:cs="Times New Roman"/>
      <w:i/>
      <w:sz w:val="20"/>
      <w:szCs w:val="20"/>
    </w:rPr>
  </w:style>
  <w:style w:type="character" w:customStyle="1" w:styleId="91">
    <w:name w:val="Заголовок 9 Знак"/>
    <w:aliases w:val="Legal Level 1.1.1.1. Знак"/>
    <w:basedOn w:val="a2"/>
    <w:link w:val="90"/>
    <w:uiPriority w:val="99"/>
    <w:semiHidden/>
    <w:rPr>
      <w:rFonts w:ascii="Arial" w:eastAsia="Times New Roman" w:hAnsi="Arial" w:cs="Times New Roman"/>
      <w:i/>
      <w:sz w:val="18"/>
      <w:szCs w:val="20"/>
    </w:rPr>
  </w:style>
  <w:style w:type="paragraph" w:styleId="23">
    <w:name w:val="Body Text 2"/>
    <w:basedOn w:val="a1"/>
    <w:link w:val="24"/>
    <w:uiPriority w:val="99"/>
    <w:unhideWhenUsed/>
    <w:pPr>
      <w:spacing w:after="120" w:line="480" w:lineRule="auto"/>
    </w:pPr>
  </w:style>
  <w:style w:type="character" w:customStyle="1" w:styleId="24">
    <w:name w:val="Основной текст 2 Знак"/>
    <w:basedOn w:val="a2"/>
    <w:link w:val="23"/>
    <w:uiPriority w:val="99"/>
    <w:rPr>
      <w:rFonts w:ascii="Times New Roman" w:eastAsia="Times New Roman" w:hAnsi="Times New Roman" w:cs="Times New Roman"/>
      <w:sz w:val="24"/>
      <w:szCs w:val="24"/>
      <w:lang w:eastAsia="ru-RU"/>
    </w:rPr>
  </w:style>
  <w:style w:type="character" w:customStyle="1" w:styleId="61">
    <w:name w:val="Заголовок 6 Знак"/>
    <w:aliases w:val="Legal Level 1. Знак"/>
    <w:basedOn w:val="a2"/>
    <w:link w:val="60"/>
    <w:uiPriority w:val="9"/>
    <w:rPr>
      <w:rFonts w:asciiTheme="majorHAnsi" w:eastAsiaTheme="majorEastAsia" w:hAnsiTheme="majorHAnsi" w:cstheme="majorBidi"/>
      <w:color w:val="1F4D78" w:themeColor="accent1" w:themeShade="7F"/>
      <w:sz w:val="24"/>
      <w:szCs w:val="24"/>
      <w:lang w:eastAsia="ru-RU"/>
    </w:rPr>
  </w:style>
  <w:style w:type="paragraph" w:customStyle="1" w:styleId="af1">
    <w:name w:val="Название таблицы"/>
    <w:basedOn w:val="a1"/>
    <w:next w:val="a1"/>
    <w:pPr>
      <w:spacing w:line="360" w:lineRule="auto"/>
      <w:jc w:val="center"/>
    </w:pPr>
    <w:rPr>
      <w:sz w:val="28"/>
      <w:szCs w:val="20"/>
    </w:rPr>
  </w:style>
  <w:style w:type="paragraph" w:styleId="af2">
    <w:name w:val="header"/>
    <w:basedOn w:val="a1"/>
    <w:link w:val="af3"/>
    <w:uiPriority w:val="99"/>
    <w:unhideWhenUsed/>
    <w:pPr>
      <w:tabs>
        <w:tab w:val="center" w:pos="4677"/>
        <w:tab w:val="right" w:pos="9355"/>
      </w:tabs>
    </w:pPr>
  </w:style>
  <w:style w:type="character" w:customStyle="1" w:styleId="af3">
    <w:name w:val="Верхний колонтитул Знак"/>
    <w:basedOn w:val="a2"/>
    <w:link w:val="af2"/>
    <w:uiPriority w:val="99"/>
    <w:rPr>
      <w:rFonts w:ascii="Times New Roman" w:eastAsia="Times New Roman" w:hAnsi="Times New Roman" w:cs="Times New Roman"/>
      <w:sz w:val="24"/>
      <w:szCs w:val="24"/>
      <w:lang w:eastAsia="ru-RU"/>
    </w:rPr>
  </w:style>
  <w:style w:type="paragraph" w:styleId="af4">
    <w:name w:val="footer"/>
    <w:basedOn w:val="a1"/>
    <w:link w:val="af5"/>
    <w:uiPriority w:val="99"/>
    <w:unhideWhenUsed/>
    <w:pPr>
      <w:tabs>
        <w:tab w:val="center" w:pos="4677"/>
        <w:tab w:val="right" w:pos="9355"/>
      </w:tabs>
    </w:pPr>
  </w:style>
  <w:style w:type="character" w:customStyle="1" w:styleId="af5">
    <w:name w:val="Нижний колонтитул Знак"/>
    <w:basedOn w:val="a2"/>
    <w:link w:val="af4"/>
    <w:uiPriority w:val="99"/>
    <w:rPr>
      <w:rFonts w:ascii="Times New Roman" w:eastAsia="Times New Roman" w:hAnsi="Times New Roman" w:cs="Times New Roman"/>
      <w:sz w:val="24"/>
      <w:szCs w:val="24"/>
      <w:lang w:eastAsia="ru-RU"/>
    </w:rPr>
  </w:style>
  <w:style w:type="paragraph" w:styleId="af6">
    <w:name w:val="annotation subject"/>
    <w:basedOn w:val="ac"/>
    <w:next w:val="ac"/>
    <w:link w:val="af7"/>
    <w:uiPriority w:val="99"/>
    <w:semiHidden/>
    <w:unhideWhenUsed/>
    <w:rPr>
      <w:b/>
      <w:bCs/>
    </w:rPr>
  </w:style>
  <w:style w:type="character" w:customStyle="1" w:styleId="af7">
    <w:name w:val="Тема примечания Знак"/>
    <w:basedOn w:val="ad"/>
    <w:link w:val="af6"/>
    <w:uiPriority w:val="99"/>
    <w:semiHidden/>
    <w:rPr>
      <w:rFonts w:ascii="Times New Roman" w:eastAsia="Times New Roman" w:hAnsi="Times New Roman" w:cs="Times New Roman"/>
      <w:b/>
      <w:bCs/>
      <w:sz w:val="20"/>
      <w:szCs w:val="20"/>
      <w:lang w:eastAsia="ru-RU"/>
    </w:rPr>
  </w:style>
  <w:style w:type="character" w:customStyle="1" w:styleId="aa">
    <w:name w:val="Абзац списка Знак"/>
    <w:link w:val="a9"/>
    <w:uiPriority w:val="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96936">
      <w:bodyDiv w:val="1"/>
      <w:marLeft w:val="0"/>
      <w:marRight w:val="0"/>
      <w:marTop w:val="0"/>
      <w:marBottom w:val="0"/>
      <w:divBdr>
        <w:top w:val="none" w:sz="0" w:space="0" w:color="auto"/>
        <w:left w:val="none" w:sz="0" w:space="0" w:color="auto"/>
        <w:bottom w:val="none" w:sz="0" w:space="0" w:color="auto"/>
        <w:right w:val="none" w:sz="0" w:space="0" w:color="auto"/>
      </w:divBdr>
    </w:div>
    <w:div w:id="176434434">
      <w:bodyDiv w:val="1"/>
      <w:marLeft w:val="0"/>
      <w:marRight w:val="0"/>
      <w:marTop w:val="0"/>
      <w:marBottom w:val="0"/>
      <w:divBdr>
        <w:top w:val="none" w:sz="0" w:space="0" w:color="auto"/>
        <w:left w:val="none" w:sz="0" w:space="0" w:color="auto"/>
        <w:bottom w:val="none" w:sz="0" w:space="0" w:color="auto"/>
        <w:right w:val="none" w:sz="0" w:space="0" w:color="auto"/>
      </w:divBdr>
    </w:div>
    <w:div w:id="206458487">
      <w:bodyDiv w:val="1"/>
      <w:marLeft w:val="0"/>
      <w:marRight w:val="0"/>
      <w:marTop w:val="0"/>
      <w:marBottom w:val="0"/>
      <w:divBdr>
        <w:top w:val="none" w:sz="0" w:space="0" w:color="auto"/>
        <w:left w:val="none" w:sz="0" w:space="0" w:color="auto"/>
        <w:bottom w:val="none" w:sz="0" w:space="0" w:color="auto"/>
        <w:right w:val="none" w:sz="0" w:space="0" w:color="auto"/>
      </w:divBdr>
    </w:div>
    <w:div w:id="290748126">
      <w:bodyDiv w:val="1"/>
      <w:marLeft w:val="0"/>
      <w:marRight w:val="0"/>
      <w:marTop w:val="0"/>
      <w:marBottom w:val="0"/>
      <w:divBdr>
        <w:top w:val="none" w:sz="0" w:space="0" w:color="auto"/>
        <w:left w:val="none" w:sz="0" w:space="0" w:color="auto"/>
        <w:bottom w:val="none" w:sz="0" w:space="0" w:color="auto"/>
        <w:right w:val="none" w:sz="0" w:space="0" w:color="auto"/>
      </w:divBdr>
    </w:div>
    <w:div w:id="346368742">
      <w:bodyDiv w:val="1"/>
      <w:marLeft w:val="0"/>
      <w:marRight w:val="0"/>
      <w:marTop w:val="0"/>
      <w:marBottom w:val="0"/>
      <w:divBdr>
        <w:top w:val="none" w:sz="0" w:space="0" w:color="auto"/>
        <w:left w:val="none" w:sz="0" w:space="0" w:color="auto"/>
        <w:bottom w:val="none" w:sz="0" w:space="0" w:color="auto"/>
        <w:right w:val="none" w:sz="0" w:space="0" w:color="auto"/>
      </w:divBdr>
    </w:div>
    <w:div w:id="580675170">
      <w:bodyDiv w:val="1"/>
      <w:marLeft w:val="0"/>
      <w:marRight w:val="0"/>
      <w:marTop w:val="0"/>
      <w:marBottom w:val="0"/>
      <w:divBdr>
        <w:top w:val="none" w:sz="0" w:space="0" w:color="auto"/>
        <w:left w:val="none" w:sz="0" w:space="0" w:color="auto"/>
        <w:bottom w:val="none" w:sz="0" w:space="0" w:color="auto"/>
        <w:right w:val="none" w:sz="0" w:space="0" w:color="auto"/>
      </w:divBdr>
    </w:div>
    <w:div w:id="660351124">
      <w:bodyDiv w:val="1"/>
      <w:marLeft w:val="0"/>
      <w:marRight w:val="0"/>
      <w:marTop w:val="0"/>
      <w:marBottom w:val="0"/>
      <w:divBdr>
        <w:top w:val="none" w:sz="0" w:space="0" w:color="auto"/>
        <w:left w:val="none" w:sz="0" w:space="0" w:color="auto"/>
        <w:bottom w:val="none" w:sz="0" w:space="0" w:color="auto"/>
        <w:right w:val="none" w:sz="0" w:space="0" w:color="auto"/>
      </w:divBdr>
    </w:div>
    <w:div w:id="748771750">
      <w:bodyDiv w:val="1"/>
      <w:marLeft w:val="0"/>
      <w:marRight w:val="0"/>
      <w:marTop w:val="0"/>
      <w:marBottom w:val="0"/>
      <w:divBdr>
        <w:top w:val="none" w:sz="0" w:space="0" w:color="auto"/>
        <w:left w:val="none" w:sz="0" w:space="0" w:color="auto"/>
        <w:bottom w:val="none" w:sz="0" w:space="0" w:color="auto"/>
        <w:right w:val="none" w:sz="0" w:space="0" w:color="auto"/>
      </w:divBdr>
    </w:div>
    <w:div w:id="923104676">
      <w:bodyDiv w:val="1"/>
      <w:marLeft w:val="0"/>
      <w:marRight w:val="0"/>
      <w:marTop w:val="0"/>
      <w:marBottom w:val="0"/>
      <w:divBdr>
        <w:top w:val="none" w:sz="0" w:space="0" w:color="auto"/>
        <w:left w:val="none" w:sz="0" w:space="0" w:color="auto"/>
        <w:bottom w:val="none" w:sz="0" w:space="0" w:color="auto"/>
        <w:right w:val="none" w:sz="0" w:space="0" w:color="auto"/>
      </w:divBdr>
    </w:div>
    <w:div w:id="970399453">
      <w:bodyDiv w:val="1"/>
      <w:marLeft w:val="0"/>
      <w:marRight w:val="0"/>
      <w:marTop w:val="0"/>
      <w:marBottom w:val="0"/>
      <w:divBdr>
        <w:top w:val="none" w:sz="0" w:space="0" w:color="auto"/>
        <w:left w:val="none" w:sz="0" w:space="0" w:color="auto"/>
        <w:bottom w:val="none" w:sz="0" w:space="0" w:color="auto"/>
        <w:right w:val="none" w:sz="0" w:space="0" w:color="auto"/>
      </w:divBdr>
    </w:div>
    <w:div w:id="1005864733">
      <w:bodyDiv w:val="1"/>
      <w:marLeft w:val="0"/>
      <w:marRight w:val="0"/>
      <w:marTop w:val="0"/>
      <w:marBottom w:val="0"/>
      <w:divBdr>
        <w:top w:val="none" w:sz="0" w:space="0" w:color="auto"/>
        <w:left w:val="none" w:sz="0" w:space="0" w:color="auto"/>
        <w:bottom w:val="none" w:sz="0" w:space="0" w:color="auto"/>
        <w:right w:val="none" w:sz="0" w:space="0" w:color="auto"/>
      </w:divBdr>
    </w:div>
    <w:div w:id="1110591176">
      <w:bodyDiv w:val="1"/>
      <w:marLeft w:val="0"/>
      <w:marRight w:val="0"/>
      <w:marTop w:val="0"/>
      <w:marBottom w:val="0"/>
      <w:divBdr>
        <w:top w:val="none" w:sz="0" w:space="0" w:color="auto"/>
        <w:left w:val="none" w:sz="0" w:space="0" w:color="auto"/>
        <w:bottom w:val="none" w:sz="0" w:space="0" w:color="auto"/>
        <w:right w:val="none" w:sz="0" w:space="0" w:color="auto"/>
      </w:divBdr>
    </w:div>
    <w:div w:id="1192299983">
      <w:bodyDiv w:val="1"/>
      <w:marLeft w:val="0"/>
      <w:marRight w:val="0"/>
      <w:marTop w:val="0"/>
      <w:marBottom w:val="0"/>
      <w:divBdr>
        <w:top w:val="none" w:sz="0" w:space="0" w:color="auto"/>
        <w:left w:val="none" w:sz="0" w:space="0" w:color="auto"/>
        <w:bottom w:val="none" w:sz="0" w:space="0" w:color="auto"/>
        <w:right w:val="none" w:sz="0" w:space="0" w:color="auto"/>
      </w:divBdr>
    </w:div>
    <w:div w:id="1206144046">
      <w:bodyDiv w:val="1"/>
      <w:marLeft w:val="0"/>
      <w:marRight w:val="0"/>
      <w:marTop w:val="0"/>
      <w:marBottom w:val="0"/>
      <w:divBdr>
        <w:top w:val="none" w:sz="0" w:space="0" w:color="auto"/>
        <w:left w:val="none" w:sz="0" w:space="0" w:color="auto"/>
        <w:bottom w:val="none" w:sz="0" w:space="0" w:color="auto"/>
        <w:right w:val="none" w:sz="0" w:space="0" w:color="auto"/>
      </w:divBdr>
    </w:div>
    <w:div w:id="1220896386">
      <w:bodyDiv w:val="1"/>
      <w:marLeft w:val="0"/>
      <w:marRight w:val="0"/>
      <w:marTop w:val="0"/>
      <w:marBottom w:val="0"/>
      <w:divBdr>
        <w:top w:val="none" w:sz="0" w:space="0" w:color="auto"/>
        <w:left w:val="none" w:sz="0" w:space="0" w:color="auto"/>
        <w:bottom w:val="none" w:sz="0" w:space="0" w:color="auto"/>
        <w:right w:val="none" w:sz="0" w:space="0" w:color="auto"/>
      </w:divBdr>
    </w:div>
    <w:div w:id="1372417811">
      <w:bodyDiv w:val="1"/>
      <w:marLeft w:val="0"/>
      <w:marRight w:val="0"/>
      <w:marTop w:val="0"/>
      <w:marBottom w:val="0"/>
      <w:divBdr>
        <w:top w:val="none" w:sz="0" w:space="0" w:color="auto"/>
        <w:left w:val="none" w:sz="0" w:space="0" w:color="auto"/>
        <w:bottom w:val="none" w:sz="0" w:space="0" w:color="auto"/>
        <w:right w:val="none" w:sz="0" w:space="0" w:color="auto"/>
      </w:divBdr>
    </w:div>
    <w:div w:id="1443450947">
      <w:bodyDiv w:val="1"/>
      <w:marLeft w:val="0"/>
      <w:marRight w:val="0"/>
      <w:marTop w:val="0"/>
      <w:marBottom w:val="0"/>
      <w:divBdr>
        <w:top w:val="none" w:sz="0" w:space="0" w:color="auto"/>
        <w:left w:val="none" w:sz="0" w:space="0" w:color="auto"/>
        <w:bottom w:val="none" w:sz="0" w:space="0" w:color="auto"/>
        <w:right w:val="none" w:sz="0" w:space="0" w:color="auto"/>
      </w:divBdr>
    </w:div>
    <w:div w:id="1571692020">
      <w:bodyDiv w:val="1"/>
      <w:marLeft w:val="0"/>
      <w:marRight w:val="0"/>
      <w:marTop w:val="0"/>
      <w:marBottom w:val="0"/>
      <w:divBdr>
        <w:top w:val="none" w:sz="0" w:space="0" w:color="auto"/>
        <w:left w:val="none" w:sz="0" w:space="0" w:color="auto"/>
        <w:bottom w:val="none" w:sz="0" w:space="0" w:color="auto"/>
        <w:right w:val="none" w:sz="0" w:space="0" w:color="auto"/>
      </w:divBdr>
    </w:div>
    <w:div w:id="183857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1132-E227-4208-9ACF-038AC91B6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6233</Words>
  <Characters>35530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41680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Медведева</dc:creator>
  <cp:keywords/>
  <dc:description/>
  <cp:lastModifiedBy>Гирина Марина Владимировна</cp:lastModifiedBy>
  <cp:revision>20</cp:revision>
  <dcterms:created xsi:type="dcterms:W3CDTF">2020-11-02T12:38:00Z</dcterms:created>
  <dcterms:modified xsi:type="dcterms:W3CDTF">2020-11-02T15:19:00Z</dcterms:modified>
</cp:coreProperties>
</file>