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DB" w:rsidRDefault="00373152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.5. Изменения, связанные c порядком предоставления документов при прекращении обязательств вне УКО</w:t>
      </w:r>
    </w:p>
    <w:p w:rsidR="00137EDB" w:rsidRDefault="00137EDB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37EDB" w:rsidRDefault="00373152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5.5</w:t>
      </w:r>
    </w:p>
    <w:p w:rsidR="00137EDB" w:rsidRDefault="00137EDB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137EDB">
        <w:tc>
          <w:tcPr>
            <w:tcW w:w="14879" w:type="dxa"/>
          </w:tcPr>
          <w:p w:rsidR="00137EDB" w:rsidRDefault="00373152">
            <w:pPr>
              <w:keepNext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bCs/>
                <w:sz w:val="24"/>
                <w:szCs w:val="24"/>
              </w:rPr>
              <w:t>АО «ЦФР».</w:t>
            </w:r>
          </w:p>
          <w:p w:rsidR="00137EDB" w:rsidRDefault="003731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DDB">
              <w:rPr>
                <w:rFonts w:ascii="Garamond" w:hAnsi="Garamond"/>
                <w:sz w:val="24"/>
                <w:szCs w:val="24"/>
              </w:rPr>
              <w:t>у</w:t>
            </w:r>
            <w:r>
              <w:rPr>
                <w:rFonts w:ascii="Garamond" w:hAnsi="Garamond"/>
                <w:sz w:val="24"/>
                <w:szCs w:val="24"/>
              </w:rPr>
              <w:t>точнение перечня и форматов документов, предоставляемых участниками оптового рынка, на основании которых ЦФР учитывает прекращение обязательств по оплате вне уполномоченной кредитной организации.</w:t>
            </w:r>
          </w:p>
          <w:p w:rsidR="00137EDB" w:rsidRDefault="003731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  <w:sz w:val="24"/>
                <w:szCs w:val="24"/>
              </w:rPr>
              <w:t>1 апреля 2021 года.</w:t>
            </w:r>
          </w:p>
        </w:tc>
      </w:tr>
    </w:tbl>
    <w:p w:rsidR="00137EDB" w:rsidRDefault="00137EDB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137EDB" w:rsidRDefault="00373152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137EDB" w:rsidRDefault="00137EDB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6521"/>
        <w:gridCol w:w="7229"/>
      </w:tblGrid>
      <w:tr w:rsidR="00137EDB">
        <w:tc>
          <w:tcPr>
            <w:tcW w:w="1021" w:type="dxa"/>
            <w:vAlign w:val="center"/>
          </w:tcPr>
          <w:p w:rsidR="00137EDB" w:rsidRDefault="0037315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137EDB" w:rsidRDefault="0037315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137EDB" w:rsidRDefault="00373152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137EDB" w:rsidRDefault="00373152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7EDB" w:rsidRDefault="0037315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137EDB" w:rsidRDefault="00373152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137EDB">
        <w:trPr>
          <w:trHeight w:val="561"/>
        </w:trPr>
        <w:tc>
          <w:tcPr>
            <w:tcW w:w="1021" w:type="dxa"/>
          </w:tcPr>
          <w:p w:rsidR="00137EDB" w:rsidRPr="00C54DDB" w:rsidRDefault="0037315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54DDB">
              <w:rPr>
                <w:rFonts w:ascii="Garamond" w:hAnsi="Garamond"/>
                <w:b/>
              </w:rPr>
              <w:t>14.7</w:t>
            </w:r>
          </w:p>
        </w:tc>
        <w:tc>
          <w:tcPr>
            <w:tcW w:w="6521" w:type="dxa"/>
            <w:shd w:val="clear" w:color="auto" w:fill="auto"/>
          </w:tcPr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целях повторной передачи прав комитенту по неисполненному (ненадлежащим образом исполненному) договору купли-продажи, заключенному с ЦФР, дата, на которую в целях заключения договоров уступки прав (цессии) фиксируется образовавшаяся по договору купли-продажи задолженность покупателя – организации, утратившей статус гарантирующего поставщика, за указанные в требовании комитента периоды, определяется следующим образом: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– при оплате победителем конкурса обязательств по договору уступки </w:t>
            </w:r>
            <w:r w:rsidRPr="00C54DDB">
              <w:rPr>
                <w:rFonts w:ascii="Garamond" w:eastAsia="Times New Roman" w:hAnsi="Garamond" w:cs="Times New Roman"/>
                <w:highlight w:val="yellow"/>
              </w:rPr>
              <w:t>прав</w:t>
            </w:r>
            <w:r>
              <w:rPr>
                <w:rFonts w:ascii="Garamond" w:eastAsia="Times New Roman" w:hAnsi="Garamond" w:cs="Times New Roman"/>
              </w:rPr>
              <w:t xml:space="preserve">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такой датой является первое число календарного месяца, следующего за месяцем, в котором ЦФР получена информация об оплате в полном объеме в соответствии с разделом 23 настоящего Регламента; 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– при отсутствии оплаты победителем конкурса обязательств по договору уступки </w:t>
            </w:r>
            <w:r w:rsidRPr="00C54DDB">
              <w:rPr>
                <w:rFonts w:ascii="Garamond" w:eastAsia="Times New Roman" w:hAnsi="Garamond" w:cs="Times New Roman"/>
                <w:highlight w:val="yellow"/>
              </w:rPr>
              <w:t>прав</w:t>
            </w:r>
            <w:r>
              <w:rPr>
                <w:rFonts w:ascii="Garamond" w:eastAsia="Times New Roman" w:hAnsi="Garamond" w:cs="Times New Roman"/>
              </w:rPr>
              <w:t xml:space="preserve"> требования (цессии), заключенному </w:t>
            </w:r>
            <w:r>
              <w:rPr>
                <w:rFonts w:ascii="Garamond" w:eastAsia="Times New Roman" w:hAnsi="Garamond" w:cs="Times New Roman"/>
              </w:rPr>
              <w:lastRenderedPageBreak/>
              <w:t xml:space="preserve">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такой датой является первое число календарного месяца, следующего за месяцем, в котором истекает срок для перечисления денежных средств, установленный договором уступки </w:t>
            </w:r>
            <w:r w:rsidRPr="00C54DDB">
              <w:rPr>
                <w:rFonts w:ascii="Garamond" w:eastAsia="Times New Roman" w:hAnsi="Garamond" w:cs="Times New Roman"/>
                <w:highlight w:val="yellow"/>
              </w:rPr>
              <w:t>прав</w:t>
            </w:r>
            <w:r>
              <w:rPr>
                <w:rFonts w:ascii="Garamond" w:eastAsia="Times New Roman" w:hAnsi="Garamond" w:cs="Times New Roman"/>
              </w:rPr>
              <w:t xml:space="preserve"> требования (цессии), заключенным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комитентом.</w:t>
            </w:r>
          </w:p>
        </w:tc>
        <w:tc>
          <w:tcPr>
            <w:tcW w:w="7229" w:type="dxa"/>
            <w:shd w:val="clear" w:color="auto" w:fill="auto"/>
          </w:tcPr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>В целях повторной передачи прав комитенту по неисполненному (ненадлежащим образом исполненному) договору купли-продажи, заключенному с ЦФР, дата, на которую в целях заключения договоров уступки прав (цессии) фиксируется образовавшаяся по договору купли-продажи задолженность покупателя – организации, утратившей статус гарантирующего поставщика, за указанные в требовании комитента периоды, определяется следующим образом: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– при оплате победителем конкурса обязательств по договору уступки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такой датой является первое число календарного месяца, следующего за месяцем, в котором ЦФР получена информация об оплате в полном объеме в соответствии с разделом 23 настоящего Регламента; 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– при отсутствии оплаты победителем конкурса обязательств по договору уступки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</w:t>
            </w:r>
            <w:r>
              <w:rPr>
                <w:rFonts w:ascii="Garamond" w:eastAsia="Times New Roman" w:hAnsi="Garamond" w:cs="Times New Roman"/>
              </w:rPr>
              <w:lastRenderedPageBreak/>
              <w:t>рынка – комитентом, такой датой является первое число календарного месяца, следующего за месяцем, в котором истекает срок для перечисления денежных средств, установленный договором уступки требования (цессии), заключенным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комитентом.</w:t>
            </w:r>
          </w:p>
        </w:tc>
      </w:tr>
      <w:tr w:rsidR="00137EDB">
        <w:trPr>
          <w:trHeight w:val="561"/>
        </w:trPr>
        <w:tc>
          <w:tcPr>
            <w:tcW w:w="1021" w:type="dxa"/>
          </w:tcPr>
          <w:p w:rsidR="00137EDB" w:rsidRPr="00C54DDB" w:rsidRDefault="0037315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54DDB">
              <w:rPr>
                <w:rFonts w:ascii="Garamond" w:hAnsi="Garamond"/>
                <w:b/>
              </w:rPr>
              <w:lastRenderedPageBreak/>
              <w:t>19.2.4</w:t>
            </w:r>
          </w:p>
        </w:tc>
        <w:tc>
          <w:tcPr>
            <w:tcW w:w="6521" w:type="dxa"/>
            <w:shd w:val="clear" w:color="auto" w:fill="auto"/>
          </w:tcPr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признания участника оптового рынка банкротом ЦФР учитывает прекращение обязательств по оплате на основании одного из следующих документов: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– отчета об исполнении обязательств по оплате по форме, установленной приложением 19.3 к настоящему Регламенту;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– копии платежного поручения с назначением платежа во исполнение обязательств/требований по договорам, заключенным с участником оптового рынка, признанным несостоятельным (банкротом);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– иных документов, подтверждающих исполнение обязательств/требований по договорам, заключенным с участником оптового рынка, признанным несостоятельным (банкротом)</w:t>
            </w:r>
            <w:r w:rsidRPr="00C54DDB"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137E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Указанные документы должны быть представлены в ЦФР кредитором или должником в рабочие дни месяца, не позднее 12 (двенадцати) рабочих дней с даты, следующей за датой платежа.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(банкротом), ЦФР учитывает прекращение обязательств по оплате на основании отчета об исполнении обязательств по оплате по форме, установленной приложением 19.3 к настоящему Регламенту.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(банкротом), ЦФР не позднее следующего рабочего дня после получения документов от кредитора или должника учитывает прекращение обязательств/требований по договорам, заключенным с участником оптового рынка, признанным несостоятельным (банкротом), с даты исполнения обязательств по оплате, указанной в документах.</w:t>
            </w:r>
          </w:p>
          <w:p w:rsidR="00137EDB" w:rsidRDefault="00137EDB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</w:p>
          <w:p w:rsidR="00137EDB" w:rsidRDefault="00137EDB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</w:p>
          <w:p w:rsidR="00137EDB" w:rsidRDefault="00137EDB">
            <w:pPr>
              <w:pStyle w:val="a3"/>
              <w:ind w:firstLine="598"/>
              <w:rPr>
                <w:rFonts w:ascii="Garamond" w:hAnsi="Garamond"/>
                <w:szCs w:val="22"/>
                <w:lang w:val="ru-RU"/>
              </w:rPr>
            </w:pPr>
          </w:p>
          <w:p w:rsidR="00137EDB" w:rsidRDefault="00137EDB" w:rsidP="00C54DDB">
            <w:pPr>
              <w:pStyle w:val="a3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 xml:space="preserve">В случае признания участника оптового рынка </w:t>
            </w:r>
            <w:r>
              <w:rPr>
                <w:rFonts w:ascii="Garamond" w:eastAsia="Times New Roman" w:hAnsi="Garamond" w:cs="Times New Roman"/>
                <w:highlight w:val="yellow"/>
              </w:rPr>
              <w:t>несостоятельным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  <w:highlight w:val="yellow"/>
              </w:rPr>
              <w:t>(</w:t>
            </w:r>
            <w:r>
              <w:rPr>
                <w:rFonts w:ascii="Garamond" w:eastAsia="Times New Roman" w:hAnsi="Garamond" w:cs="Times New Roman"/>
              </w:rPr>
              <w:t>банкротом</w:t>
            </w:r>
            <w:r>
              <w:rPr>
                <w:rFonts w:ascii="Garamond" w:eastAsia="Times New Roman" w:hAnsi="Garamond" w:cs="Times New Roman"/>
                <w:highlight w:val="yellow"/>
              </w:rPr>
              <w:t>)</w:t>
            </w:r>
            <w:r>
              <w:rPr>
                <w:rFonts w:ascii="Garamond" w:eastAsia="Times New Roman" w:hAnsi="Garamond" w:cs="Times New Roman"/>
              </w:rPr>
              <w:t xml:space="preserve"> ЦФР учитывает прекращение </w:t>
            </w:r>
            <w:r>
              <w:rPr>
                <w:rFonts w:ascii="Garamond" w:eastAsia="Times New Roman" w:hAnsi="Garamond" w:cs="Times New Roman"/>
                <w:highlight w:val="yellow"/>
              </w:rPr>
              <w:t>текущих</w:t>
            </w:r>
            <w:r>
              <w:rPr>
                <w:rFonts w:ascii="Garamond" w:eastAsia="Times New Roman" w:hAnsi="Garamond" w:cs="Times New Roman"/>
              </w:rPr>
              <w:t xml:space="preserve"> обязательств по оплате на основании одного из следующих документов: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– отчета об исполнении обязательств по оплате по форме, установленной приложением 19.3 к настоящему Регламенту;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– копии платежного поручения с назначением платежа во исполнение обязательств/требований по договорам, заключенным с участником оптового рынка, признанным несостоятельным (банкротом);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– иных документов, подтверждающих исполнение обязательств/требований по договорам, заключенным с участником оптового рынка, признанным несостоятельным (банкротом)</w:t>
            </w:r>
            <w:r>
              <w:rPr>
                <w:rFonts w:ascii="Garamond" w:eastAsia="Times New Roman" w:hAnsi="Garamond" w:cs="Times New Roman"/>
                <w:highlight w:val="yellow"/>
              </w:rPr>
              <w:t>;</w:t>
            </w:r>
          </w:p>
          <w:p w:rsidR="00137EDB" w:rsidRDefault="00373152">
            <w:pPr>
              <w:pStyle w:val="ac"/>
              <w:numPr>
                <w:ilvl w:val="0"/>
                <w:numId w:val="36"/>
              </w:numPr>
              <w:tabs>
                <w:tab w:val="left" w:pos="524"/>
              </w:tabs>
              <w:spacing w:before="120" w:after="120"/>
              <w:ind w:left="0" w:firstLine="459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>
              <w:rPr>
                <w:rFonts w:ascii="Garamond" w:eastAsia="Times New Roman" w:hAnsi="Garamond" w:cs="Times New Roman"/>
                <w:highlight w:val="yellow"/>
              </w:rPr>
              <w:t xml:space="preserve">уведомления об одностороннем проведении зачета встречных однородных требований от участника, признанного судом несостоятельным (банкротом), подписанного конкурсным управляющим или уполномоченным конкурсным управляющим лицом с приложением к уведомлению оригинала или нотариально заверенной копии доверенности; </w:t>
            </w:r>
          </w:p>
          <w:p w:rsidR="00137EDB" w:rsidRDefault="00373152">
            <w:pPr>
              <w:widowControl w:val="0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>
              <w:rPr>
                <w:rFonts w:ascii="Garamond" w:eastAsia="Times New Roman" w:hAnsi="Garamond" w:cs="Times New Roman"/>
                <w:highlight w:val="yellow"/>
              </w:rPr>
              <w:t>– копии судебного акта, предусматривающего зачет встречных однородных требований между кредитором и должником;</w:t>
            </w:r>
          </w:p>
          <w:p w:rsidR="00137EDB" w:rsidRDefault="00373152">
            <w:pPr>
              <w:widowControl w:val="0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>
              <w:rPr>
                <w:rFonts w:ascii="Garamond" w:eastAsia="Times New Roman" w:hAnsi="Garamond" w:cs="Times New Roman"/>
                <w:highlight w:val="yellow"/>
              </w:rPr>
              <w:t>– копии акта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eastAsia="Times New Roman" w:hAnsi="Garamond" w:cs="Times New Roman"/>
                <w:highlight w:val="yellow"/>
              </w:rPr>
              <w:t xml:space="preserve">о зачете встречных однородных требований, подписанного </w:t>
            </w:r>
            <w:r w:rsidRPr="00C54DDB">
              <w:rPr>
                <w:rFonts w:ascii="Garamond" w:eastAsia="Times New Roman" w:hAnsi="Garamond" w:cs="Times New Roman"/>
                <w:highlight w:val="yellow"/>
              </w:rPr>
              <w:t xml:space="preserve">уполномоченными (надлежащим образом) лицами </w:t>
            </w:r>
            <w:r>
              <w:rPr>
                <w:rFonts w:ascii="Garamond" w:eastAsia="Times New Roman" w:hAnsi="Garamond" w:cs="Times New Roman"/>
                <w:highlight w:val="yellow"/>
              </w:rPr>
              <w:t xml:space="preserve">должника и кредитора (от участника, признанного судом несостоятельным (банкротом) – конкурсным управляющим или уполномоченным им лицом) с </w:t>
            </w:r>
            <w:r>
              <w:rPr>
                <w:rFonts w:ascii="Garamond" w:eastAsia="Times New Roman" w:hAnsi="Garamond" w:cs="Times New Roman"/>
                <w:highlight w:val="yellow"/>
              </w:rPr>
              <w:lastRenderedPageBreak/>
              <w:t>приложением оригинала или нотариально заверенной копии доверенности (в случае если лицо, подписавшее акт, действует на основании доверенности).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Указанные документы должны быть представлены в ЦФР кредитором или должником в рабочие дни месяца, не позднее 12 (двенадцати) рабочих дней с даты, следующей за датой платежа.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(банкротом), ЦФР учитывает прекращение обязательств по оплате на основании отчета об исполнении обязательств по оплате по форме, установленной приложением 19.3 к настоящему Регламенту.</w:t>
            </w:r>
          </w:p>
          <w:p w:rsidR="00137EDB" w:rsidRDefault="00373152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исполнения обязательств по оплате покупателем, заключившим Соглашение о реструктуризации задолженности по форме приложения 114.3 к настоящему Регламенту, перед участником оптового рынка, признанным несостоятельным (банкротом), ЦФР не позднее следующего рабочего дня после получения документов от кредитора или должника учитывает прекращение обязательств/требований по договорам, заключенным с участником оптового рынка, признанным несостоятельным (банкротом), с даты исполнения обязательств по оплате, указанной в документах.</w:t>
            </w:r>
          </w:p>
          <w:p w:rsidR="00137EDB" w:rsidRPr="00C54DDB" w:rsidRDefault="00373152" w:rsidP="00C54DDB">
            <w:pPr>
              <w:tabs>
                <w:tab w:val="left" w:pos="1003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>
              <w:rPr>
                <w:rFonts w:ascii="Garamond" w:eastAsia="Times New Roman" w:hAnsi="Garamond" w:cs="Times New Roman"/>
                <w:highlight w:val="yellow"/>
              </w:rPr>
              <w:t xml:space="preserve">В случае направления документов в электронном виде с использованием ЭП с помощью ПО «АРМ участника» или личного кабинета «Формы ЦФР» кредитором или должником формируется </w:t>
            </w:r>
            <w:proofErr w:type="spellStart"/>
            <w:r>
              <w:rPr>
                <w:rFonts w:ascii="Garamond" w:eastAsia="Times New Roman" w:hAnsi="Garamond" w:cs="Times New Roman"/>
                <w:highlight w:val="yellow"/>
              </w:rPr>
              <w:t>zip</w:t>
            </w:r>
            <w:proofErr w:type="spellEnd"/>
            <w:r>
              <w:rPr>
                <w:rFonts w:ascii="Garamond" w:eastAsia="Times New Roman" w:hAnsi="Garamond" w:cs="Times New Roman"/>
                <w:highlight w:val="yellow"/>
              </w:rPr>
              <w:t xml:space="preserve">-архив, содержащий документы, указанные в настоящем пункте, при этом отчет об исполнении обязательств по оплате по форме, установленной приложением 19.3 к настоящему Регламенту, направляется в формате </w:t>
            </w:r>
            <w:proofErr w:type="spellStart"/>
            <w:r>
              <w:rPr>
                <w:rFonts w:ascii="Garamond" w:eastAsia="Times New Roman" w:hAnsi="Garamond" w:cs="Times New Roman"/>
                <w:highlight w:val="yellow"/>
              </w:rPr>
              <w:t>xlsx</w:t>
            </w:r>
            <w:proofErr w:type="spellEnd"/>
            <w:r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</w:tc>
      </w:tr>
      <w:tr w:rsidR="00137EDB">
        <w:trPr>
          <w:trHeight w:val="561"/>
        </w:trPr>
        <w:tc>
          <w:tcPr>
            <w:tcW w:w="1021" w:type="dxa"/>
          </w:tcPr>
          <w:p w:rsidR="00137EDB" w:rsidRPr="00C54DDB" w:rsidRDefault="0037315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54DDB">
              <w:rPr>
                <w:rFonts w:ascii="Garamond" w:hAnsi="Garamond"/>
                <w:b/>
              </w:rPr>
              <w:lastRenderedPageBreak/>
              <w:t>19.3.1</w:t>
            </w:r>
          </w:p>
        </w:tc>
        <w:tc>
          <w:tcPr>
            <w:tcW w:w="6521" w:type="dxa"/>
            <w:shd w:val="clear" w:color="auto" w:fill="auto"/>
          </w:tcPr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Порядок предоставления документов, указанных в пункте 19.2 настоящего Регламента</w:t>
            </w:r>
          </w:p>
          <w:p w:rsidR="00137EDB" w:rsidRDefault="00373152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</w:t>
            </w:r>
            <w:r>
              <w:rPr>
                <w:rFonts w:ascii="Garamond" w:eastAsia="Times New Roman" w:hAnsi="Garamond" w:cs="Times New Roman"/>
              </w:rPr>
              <w:lastRenderedPageBreak/>
              <w:t>обязательства по оплате, за исключением случаев, указанных в п. 18'.9 и п. 19.2.4 настоящего Регламента.</w:t>
            </w:r>
          </w:p>
          <w:p w:rsidR="00137EDB" w:rsidRDefault="00373152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Документы направляются кредитором или должником в адрес ЦФР на бумажном носителе (с сопроводительным письмом за подписью уполномоченного лица) либо в электронном виде с использованием ЭП с помощью ПО «АРМ участника» или личного кабинета «Формы ЦФР». В случае направления документов в электронном виде с использованием ЭП, кредитором или должником формируется </w:t>
            </w:r>
            <w:proofErr w:type="spellStart"/>
            <w:r>
              <w:rPr>
                <w:rFonts w:ascii="Garamond" w:eastAsia="Times New Roman" w:hAnsi="Garamond" w:cs="Times New Roman"/>
              </w:rPr>
              <w:t>zip</w:t>
            </w:r>
            <w:proofErr w:type="spellEnd"/>
            <w:r>
              <w:rPr>
                <w:rFonts w:ascii="Garamond" w:eastAsia="Times New Roman" w:hAnsi="Garamond" w:cs="Times New Roman"/>
              </w:rPr>
              <w:t>-архив, содержащий документы, указанные п. 19.2 настоящего Регламента.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направления в ЦФР кредитором или должником уведомления по форме приложения 19.4 к настоящему Регламенту за подписью уполномоченного лица о согласованном одностороннем предоставлении документов, указанных в п. 19.2 настоящего Регламента, предоставление аналогичной учетной информации со стороны контрагента не требуется.</w:t>
            </w:r>
          </w:p>
          <w:p w:rsidR="00137EDB" w:rsidRDefault="00373152" w:rsidP="00C54DDB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наличия в Отчете о состоянии обязательств (приложение 16 к настоящему Регламенту) или в Отчете об учтенных платежах и о состоянии задолженности по договорам уступки прав (цессии) (приложение 13 к настоящему Регламенту) информации об учете обязательств по оплате или о прекращении учета обязательств предоставление в ЦФР документов, указанных в п. 19.2 настоящего Регламента, в отношении учтенных обязательств не требуется.</w:t>
            </w:r>
          </w:p>
        </w:tc>
        <w:tc>
          <w:tcPr>
            <w:tcW w:w="7229" w:type="dxa"/>
            <w:shd w:val="clear" w:color="auto" w:fill="auto"/>
          </w:tcPr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>Порядок предоставления документов, указанных в пункте 19.2 настоящего Регламента</w:t>
            </w:r>
          </w:p>
          <w:p w:rsidR="00137EDB" w:rsidRDefault="00373152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оплате, </w:t>
            </w:r>
            <w:r>
              <w:rPr>
                <w:rFonts w:ascii="Garamond" w:eastAsia="Times New Roman" w:hAnsi="Garamond" w:cs="Times New Roman"/>
              </w:rPr>
              <w:lastRenderedPageBreak/>
              <w:t>за исключением случаев, указанных в п. 18'.9 и п. 19.2.4 настоящего Регламента.</w:t>
            </w:r>
          </w:p>
          <w:p w:rsidR="00137EDB" w:rsidRDefault="00373152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Документы направляются кредитором или должником в адрес ЦФР на бумажном носителе (с сопроводительным письмом за подписью уполномоченного лица) либо в электронном виде с использованием ЭП с помощью ПО «АРМ участника» или личного кабинета «Формы ЦФР». В случае направления документов в электронном виде с использованием ЭП, кредитором или должником формируется </w:t>
            </w:r>
            <w:proofErr w:type="spellStart"/>
            <w:r>
              <w:rPr>
                <w:rFonts w:ascii="Garamond" w:eastAsia="Times New Roman" w:hAnsi="Garamond" w:cs="Times New Roman"/>
              </w:rPr>
              <w:t>zip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-архив, содержащий документы, указанные </w:t>
            </w:r>
            <w:r w:rsidR="001B6CE6" w:rsidRPr="001B6CE6">
              <w:rPr>
                <w:rFonts w:ascii="Garamond" w:eastAsia="Times New Roman" w:hAnsi="Garamond" w:cs="Times New Roman"/>
                <w:highlight w:val="yellow"/>
              </w:rPr>
              <w:t>в</w:t>
            </w:r>
            <w:r w:rsidR="001B6CE6"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</w:rPr>
              <w:t>п. 19.2 настоящего Регламента</w:t>
            </w:r>
            <w:r>
              <w:rPr>
                <w:rFonts w:ascii="Garamond" w:eastAsia="Times New Roman" w:hAnsi="Garamond" w:cs="Times New Roman"/>
                <w:highlight w:val="yellow"/>
              </w:rPr>
              <w:t>,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  <w:highlight w:val="yellow"/>
              </w:rPr>
              <w:t>при этом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  <w:highlight w:val="yellow"/>
              </w:rPr>
              <w:t xml:space="preserve">отчет об исполнении обязательств по оплате по форме, установленной приложением 19.1 к настоящему Регламенту, направляется в формате </w:t>
            </w:r>
            <w:proofErr w:type="spellStart"/>
            <w:r>
              <w:rPr>
                <w:rFonts w:ascii="Garamond" w:eastAsia="Times New Roman" w:hAnsi="Garamond" w:cs="Times New Roman"/>
                <w:highlight w:val="yellow"/>
              </w:rPr>
              <w:t>xlsx</w:t>
            </w:r>
            <w:proofErr w:type="spellEnd"/>
            <w:r>
              <w:rPr>
                <w:rFonts w:ascii="Garamond" w:eastAsia="Times New Roman" w:hAnsi="Garamond" w:cs="Times New Roman"/>
              </w:rPr>
              <w:t>.</w:t>
            </w:r>
          </w:p>
          <w:p w:rsidR="00137EDB" w:rsidRDefault="00373152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направления в ЦФР кредитором или должником уведомления по форме приложения 19.4 к настоящему Регламенту за подписью уполномоченного лица о согласованном одностороннем предоставлении документов, указанных в п. 19.2 настоящего Регламента, предоставление аналогичной учетной информации со стороны контрагента не требуется.</w:t>
            </w:r>
          </w:p>
          <w:p w:rsidR="00137EDB" w:rsidRDefault="00373152" w:rsidP="00C54DDB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В случае наличия в Отчете о состоянии обязательств (приложение 16 к настоящему Регламенту) или в Отчете об учтенных платежах и о состоянии задолженности по договорам уступки прав (цессии) (приложение 13 к настоящему Регламенту) информации об учете обязательств по оплате или о прекращении учета обязательств предоставление в ЦФР документов, указанных в п. 19.2 настоящего Регламента, в отношении учтенных обязательств не требуется.</w:t>
            </w:r>
          </w:p>
        </w:tc>
      </w:tr>
    </w:tbl>
    <w:p w:rsidR="00137EDB" w:rsidRDefault="00137EDB">
      <w:pPr>
        <w:rPr>
          <w:rFonts w:ascii="Garamond" w:hAnsi="Garamond"/>
        </w:rPr>
      </w:pPr>
    </w:p>
    <w:p w:rsidR="00137EDB" w:rsidRDefault="00373152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137EDB" w:rsidRDefault="00373152">
      <w:pPr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>Действующая редакция приложения 2 к Правилам ЭДО СЭД КО:</w:t>
      </w:r>
    </w:p>
    <w:p w:rsidR="00137EDB" w:rsidRDefault="00137EDB">
      <w:pPr>
        <w:rPr>
          <w:rFonts w:ascii="Garamond" w:hAnsi="Garamond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993"/>
        <w:gridCol w:w="850"/>
        <w:gridCol w:w="850"/>
        <w:gridCol w:w="993"/>
        <w:gridCol w:w="992"/>
        <w:gridCol w:w="851"/>
        <w:gridCol w:w="992"/>
        <w:gridCol w:w="1596"/>
        <w:gridCol w:w="1091"/>
        <w:gridCol w:w="999"/>
      </w:tblGrid>
      <w:tr w:rsidR="00137EDB" w:rsidRPr="00C54DDB" w:rsidTr="008729F2">
        <w:trPr>
          <w:trHeight w:val="837"/>
        </w:trPr>
        <w:tc>
          <w:tcPr>
            <w:tcW w:w="127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формы</w:t>
            </w:r>
          </w:p>
        </w:tc>
        <w:tc>
          <w:tcPr>
            <w:tcW w:w="255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596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109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999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137EDB" w:rsidRPr="00C54DDB" w:rsidTr="008729F2">
        <w:trPr>
          <w:trHeight w:val="1290"/>
        </w:trPr>
        <w:tc>
          <w:tcPr>
            <w:tcW w:w="127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PART_CFR_RESTRUCT_PAID_BANKRUPT_REP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Отчет об исполнении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Регламент № 16, п. 19.2.4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xlsx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1.3.6.1.4.1.18545.1.2.1.8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Adobe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Reader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90"/>
        </w:trPr>
        <w:tc>
          <w:tcPr>
            <w:tcW w:w="127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PART_CFR_RESTRUCT_PAID_BANKRUPT_REP_WEB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Отчет об исполнении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Регламент № 16, п. 19.2.4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xlsx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1.3.6.1.4.1.18545.1.2.1.8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Adobe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Reader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RECEIPT= RESTRUCT_PAID_BANKRUPT_REP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Уведомление об обработке 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Отчета об исполнении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19.2.4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xml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Блокнот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1B6CE6">
        <w:trPr>
          <w:trHeight w:val="1535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CFR_ATS_NEWGP_PAYMENT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Сведения о проведенных платежах по заключенным договорам уступки </w:t>
            </w:r>
            <w:r w:rsidRPr="008729F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прав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требования (цессии) победителем конкурса на присвоение статуса гарантирующего поставщика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23.5.1.6, приложение 109в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персональный раздел участника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8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ATS_NEWGP_REESTR_SIGN_DOG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 w:rsidP="008729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Реестр договоров уступки </w:t>
            </w:r>
            <w:r w:rsidRPr="008729F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прав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(цессии) по результатам конкурса на присвоение статуса 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гарантирующего поставщика на ОРЭ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Регламент № 16, п. 23.4.5, приложение 109б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ASPMailer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CFR_NEWGP_ALL_PRIL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 w:rsidP="008729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Приложение к Реестру договоров уступки </w:t>
            </w:r>
            <w:r w:rsidRPr="008729F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прав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(цессии) по результатам конкурса на присвоение статуса гарантирующего поставщика на ОРЭ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23.4.4, приложение 109б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ZIP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ASPMailer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CFR_NEWGP_REESTR_DOG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 w:rsidP="008729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Реестр договоров уступки </w:t>
            </w:r>
            <w:r w:rsidRPr="008729F2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прав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(цессии) по результатам конкурса на присвоение статуса гарантирующего поставщика на ОРЭ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23.4.4, приложение 109б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ASPMailer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7EDB" w:rsidRDefault="00137EDB">
      <w:pPr>
        <w:rPr>
          <w:rFonts w:ascii="Garamond" w:hAnsi="Garamond"/>
        </w:rPr>
      </w:pPr>
    </w:p>
    <w:p w:rsidR="00137EDB" w:rsidRDefault="0037315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Предлагаемая редакция приложения 2 к Правилам ЭДО СЭД КО: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993"/>
        <w:gridCol w:w="850"/>
        <w:gridCol w:w="850"/>
        <w:gridCol w:w="851"/>
        <w:gridCol w:w="992"/>
        <w:gridCol w:w="851"/>
        <w:gridCol w:w="1239"/>
        <w:gridCol w:w="1595"/>
        <w:gridCol w:w="1091"/>
        <w:gridCol w:w="1036"/>
      </w:tblGrid>
      <w:tr w:rsidR="00137EDB" w:rsidRPr="00C54DDB" w:rsidTr="008729F2">
        <w:trPr>
          <w:trHeight w:val="801"/>
        </w:trPr>
        <w:tc>
          <w:tcPr>
            <w:tcW w:w="127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255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1239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595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1091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1036" w:type="dxa"/>
            <w:shd w:val="clear" w:color="000000" w:fill="C0C0C0"/>
            <w:vAlign w:val="center"/>
            <w:hideMark/>
          </w:tcPr>
          <w:p w:rsidR="00137EDB" w:rsidRPr="00C54DDB" w:rsidRDefault="00373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137EDB" w:rsidRPr="00C54DDB" w:rsidTr="008729F2">
        <w:trPr>
          <w:trHeight w:val="1290"/>
        </w:trPr>
        <w:tc>
          <w:tcPr>
            <w:tcW w:w="127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PART_CFR_RESTRUCT_PAID_BANKRUPT_REP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Документы, на основании которых ЦФР учитывает прекращение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Регламент № 16, п. 19.2.4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xlsx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1.3.6.1.4.1.18545.1.2.1.8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Adobe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Reader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270"/>
        </w:trPr>
        <w:tc>
          <w:tcPr>
            <w:tcW w:w="127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PART_CFR_RESTRUCT_PAID_BANKRUPT_REP_WEB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Документы, на основании которых ЦФР учитывает прекращение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обязательств/требований по договорам, заключенным с участником оптового рынка, признанным 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несостоятельным (банкротом)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Регламент № 16, п. 19.2.4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xlsx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1.3.6.1.4.1.18545.1.2.1.8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Adobe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Reader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RECEIPT= RESTRUCT_PAID_BANKRUPT_REP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Уведомление об обработке 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документов, на основании которых ЦФР учитывает прекращение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19.2.4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xml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Блокнот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EDB" w:rsidRPr="00C54DDB" w:rsidRDefault="00373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8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CFR_ATS_NEWGP_PAYMENT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Сведения о проведенных платежах по заключенным договорам уступки </w:t>
            </w:r>
            <w:r w:rsidRPr="00872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требования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(цессии) победителем конкурса на присвоение статуса гарантирующего поставщика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23.5.1.6, приложение 109в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персональный раздел участника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ATS_NEWGP_REESTR_SIGN_DOG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 w:rsidP="008729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Реестр договоров уступки </w:t>
            </w:r>
            <w:r w:rsidRPr="008729F2">
              <w:rPr>
                <w:rFonts w:ascii="Arial" w:hAnsi="Arial" w:cs="Arial"/>
                <w:sz w:val="18"/>
                <w:szCs w:val="18"/>
                <w:highlight w:val="yellow"/>
              </w:rPr>
              <w:t>требования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(цессии) по результатам конкурса на присвоение статуса гарантирующего поставщика на ОРЭ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23.4.5, приложение 109б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ASPMailer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CFR_NEWGP_ALL_PRIL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 w:rsidP="008729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Приложение к Реестру договоров уступки </w:t>
            </w:r>
            <w:r w:rsidRPr="008729F2">
              <w:rPr>
                <w:rFonts w:ascii="Arial" w:hAnsi="Arial" w:cs="Arial"/>
                <w:sz w:val="18"/>
                <w:szCs w:val="18"/>
                <w:highlight w:val="yellow"/>
              </w:rPr>
              <w:t>требования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(цессии) по результатам конкурса на присвоение статуса гарантирующего поставщика на ОРЭ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23.4.4, приложение 109б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ZIP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ASPMailer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EDB" w:rsidRPr="00C54DDB" w:rsidTr="008729F2">
        <w:trPr>
          <w:trHeight w:val="1230"/>
        </w:trPr>
        <w:tc>
          <w:tcPr>
            <w:tcW w:w="127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CFR_NEWGP_REESTR_DOG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7EDB" w:rsidRPr="00C54DDB" w:rsidRDefault="00373152" w:rsidP="008729F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Реестр договоров уступки </w:t>
            </w:r>
            <w:r w:rsidRPr="008729F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требования </w:t>
            </w: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(цессии) по результатам конкурса на присвоение статуса гарантирующего поставщика на ОРЭ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23.4.4, приложение 109б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</w:t>
            </w: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ASPMailer</w:t>
            </w:r>
            <w:proofErr w:type="spellEnd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1091" w:type="dxa"/>
            <w:shd w:val="clear" w:color="auto" w:fill="auto"/>
            <w:vAlign w:val="center"/>
          </w:tcPr>
          <w:p w:rsidR="00137EDB" w:rsidRPr="00C54DDB" w:rsidRDefault="0037315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4D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37EDB" w:rsidRPr="00C54DDB" w:rsidRDefault="00137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7EDB" w:rsidRDefault="00373152" w:rsidP="008729F2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8729F2">
        <w:rPr>
          <w:rFonts w:ascii="Garamond" w:hAnsi="Garamond"/>
          <w:b/>
          <w:sz w:val="26"/>
          <w:szCs w:val="26"/>
        </w:rPr>
        <w:t>приложения к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caps/>
          <w:sz w:val="26"/>
          <w:szCs w:val="26"/>
        </w:rPr>
        <w:t>Ре</w:t>
      </w:r>
      <w:r w:rsidR="008729F2">
        <w:rPr>
          <w:rFonts w:ascii="Garamond" w:hAnsi="Garamond"/>
          <w:b/>
          <w:caps/>
          <w:sz w:val="26"/>
          <w:szCs w:val="26"/>
        </w:rPr>
        <w:t>гламентУ финансовых расчетов на </w:t>
      </w:r>
      <w:r>
        <w:rPr>
          <w:rFonts w:ascii="Garamond" w:hAnsi="Garamond"/>
          <w:b/>
          <w:caps/>
          <w:sz w:val="26"/>
          <w:szCs w:val="26"/>
        </w:rPr>
        <w:t>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137EDB" w:rsidRDefault="00137EDB" w:rsidP="008729F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37EDB" w:rsidRDefault="00373152" w:rsidP="008729F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 редакция</w:t>
      </w:r>
    </w:p>
    <w:p w:rsidR="00137EDB" w:rsidRPr="00C54DDB" w:rsidRDefault="00373152">
      <w:pPr>
        <w:jc w:val="right"/>
        <w:rPr>
          <w:rFonts w:ascii="Garamond" w:hAnsi="Garamond"/>
          <w:b/>
        </w:rPr>
      </w:pPr>
      <w:r w:rsidRPr="00C54DDB">
        <w:rPr>
          <w:rFonts w:ascii="Garamond" w:hAnsi="Garamond"/>
          <w:b/>
        </w:rPr>
        <w:t>Приложение 46.1</w:t>
      </w:r>
    </w:p>
    <w:p w:rsidR="00137EDB" w:rsidRPr="00C54DDB" w:rsidRDefault="00373152" w:rsidP="00373152">
      <w:pPr>
        <w:pStyle w:val="7"/>
        <w:spacing w:before="120" w:after="120"/>
        <w:ind w:firstLine="360"/>
        <w:jc w:val="center"/>
        <w:rPr>
          <w:rFonts w:ascii="Garamond" w:eastAsiaTheme="minorHAnsi" w:hAnsi="Garamond" w:cstheme="minorBidi"/>
          <w:b/>
          <w:i w:val="0"/>
          <w:iCs w:val="0"/>
          <w:color w:val="auto"/>
        </w:rPr>
      </w:pPr>
      <w:r w:rsidRPr="00C54DDB">
        <w:rPr>
          <w:rFonts w:ascii="Garamond" w:eastAsiaTheme="minorHAnsi" w:hAnsi="Garamond" w:cstheme="minorBidi"/>
          <w:b/>
          <w:i w:val="0"/>
          <w:iCs w:val="0"/>
          <w:color w:val="auto"/>
        </w:rPr>
        <w:t>Порядок формирования Реестра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используемого в целях формирования матрицы прикреплений за расчетный период</w:t>
      </w:r>
    </w:p>
    <w:p w:rsidR="00137EDB" w:rsidRPr="00C54DDB" w:rsidRDefault="00373152" w:rsidP="00373152">
      <w:pPr>
        <w:pStyle w:val="7"/>
        <w:spacing w:before="120" w:after="120"/>
        <w:ind w:left="709" w:firstLine="707"/>
        <w:rPr>
          <w:rFonts w:ascii="Garamond" w:eastAsiaTheme="minorHAnsi" w:hAnsi="Garamond" w:cstheme="minorBidi"/>
          <w:i w:val="0"/>
          <w:iCs w:val="0"/>
          <w:color w:val="auto"/>
        </w:rPr>
      </w:pPr>
      <w:r w:rsidRPr="00C54DDB">
        <w:rPr>
          <w:rFonts w:ascii="Garamond" w:eastAsiaTheme="minorHAnsi" w:hAnsi="Garamond" w:cstheme="minorBidi"/>
          <w:i w:val="0"/>
          <w:iCs w:val="0"/>
          <w:color w:val="auto"/>
        </w:rPr>
        <w:t>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m, включаются:</w:t>
      </w:r>
    </w:p>
    <w:p w:rsidR="00137EDB" w:rsidRPr="00C54DDB" w:rsidRDefault="00373152" w:rsidP="00373152">
      <w:pPr>
        <w:pStyle w:val="ac"/>
        <w:numPr>
          <w:ilvl w:val="0"/>
          <w:numId w:val="36"/>
        </w:numPr>
        <w:spacing w:before="120" w:after="120" w:line="240" w:lineRule="auto"/>
        <w:jc w:val="both"/>
        <w:rPr>
          <w:rFonts w:ascii="Garamond" w:hAnsi="Garamond"/>
        </w:rPr>
      </w:pPr>
      <w:r w:rsidRPr="00C54DDB">
        <w:rPr>
          <w:rFonts w:ascii="Garamond" w:hAnsi="Garamond"/>
        </w:rPr>
        <w:t>участники оптового рынка,</w:t>
      </w:r>
      <w:r w:rsidRPr="00C54DDB">
        <w:rPr>
          <w:rFonts w:ascii="Garamond" w:hAnsi="Garamond"/>
          <w:b/>
          <w:color w:val="FF0000"/>
        </w:rPr>
        <w:t xml:space="preserve"> </w:t>
      </w:r>
      <w:r w:rsidRPr="00C54DDB">
        <w:rPr>
          <w:rFonts w:ascii="Garamond" w:hAnsi="Garamond"/>
        </w:rPr>
        <w:t xml:space="preserve">имеющие по итогам последнего рабочего дня, в котором проводились торговые сессии с уполномоченной кредитной организацией, месяца </w:t>
      </w:r>
      <w:r w:rsidRPr="00C54DDB">
        <w:rPr>
          <w:rFonts w:ascii="Garamond" w:hAnsi="Garamond"/>
          <w:i/>
        </w:rPr>
        <w:t>m</w:t>
      </w:r>
      <w:r w:rsidRPr="00C54DDB">
        <w:rPr>
          <w:rFonts w:ascii="Garamond" w:hAnsi="Garamond"/>
        </w:rPr>
        <w:t>-1</w:t>
      </w:r>
      <w:r w:rsidRPr="00C54DDB">
        <w:rPr>
          <w:rFonts w:ascii="Garamond" w:hAnsi="Garamond"/>
          <w:color w:val="000000"/>
        </w:rPr>
        <w:t xml:space="preserve"> </w:t>
      </w:r>
      <w:r w:rsidRPr="00C54DDB">
        <w:rPr>
          <w:rFonts w:ascii="Garamond" w:hAnsi="Garamond"/>
        </w:rPr>
        <w:t xml:space="preserve">неисполненные (ненадлежащим образом исполненные) обязательства по оплате по договорам, указанным в пункте 2.3 </w:t>
      </w:r>
      <w:r w:rsidRPr="00C54DDB">
        <w:rPr>
          <w:rFonts w:ascii="Garamond" w:hAnsi="Garamond"/>
          <w:i/>
        </w:rPr>
        <w:t>Регламента финансовых расчетов на оптовом рынке электроэнергии</w:t>
      </w:r>
      <w:r w:rsidRPr="00C54DDB">
        <w:rPr>
          <w:rFonts w:ascii="Garamond" w:hAnsi="Garamond"/>
        </w:rPr>
        <w:t xml:space="preserve"> (Приложение № 16 к </w:t>
      </w:r>
      <w:r w:rsidRPr="00C54DDB">
        <w:rPr>
          <w:rFonts w:ascii="Garamond" w:hAnsi="Garamond"/>
          <w:i/>
        </w:rPr>
        <w:t>Договору о присоединении к торговой системе оптового рынка</w:t>
      </w:r>
      <w:r w:rsidRPr="00C54DDB">
        <w:rPr>
          <w:rFonts w:ascii="Garamond" w:hAnsi="Garamond"/>
        </w:rPr>
        <w:t xml:space="preserve">) (в том числе в отношении авансовых обязательств за месяц </w:t>
      </w:r>
      <w:r w:rsidRPr="00C54DDB">
        <w:rPr>
          <w:rFonts w:ascii="Garamond" w:hAnsi="Garamond"/>
          <w:i/>
          <w:lang w:val="en-US"/>
        </w:rPr>
        <w:t>m</w:t>
      </w:r>
      <w:r w:rsidRPr="00C54DDB">
        <w:rPr>
          <w:rFonts w:ascii="Garamond" w:hAnsi="Garamond"/>
        </w:rPr>
        <w:t>–1); и</w:t>
      </w:r>
    </w:p>
    <w:p w:rsidR="00137EDB" w:rsidRPr="00C54DDB" w:rsidRDefault="00373152" w:rsidP="00373152">
      <w:pPr>
        <w:pStyle w:val="ac"/>
        <w:numPr>
          <w:ilvl w:val="0"/>
          <w:numId w:val="36"/>
        </w:numPr>
        <w:spacing w:before="120" w:after="120" w:line="240" w:lineRule="auto"/>
        <w:jc w:val="both"/>
        <w:rPr>
          <w:rFonts w:ascii="Garamond" w:hAnsi="Garamond"/>
        </w:rPr>
      </w:pPr>
      <w:r w:rsidRPr="00C54DDB">
        <w:rPr>
          <w:rFonts w:ascii="Garamond" w:hAnsi="Garamond"/>
          <w:lang w:eastAsia="ko-KR"/>
        </w:rPr>
        <w:t xml:space="preserve">участники оптового рынка, в отношении которых по состоянию на последнее число месяца </w:t>
      </w:r>
      <w:r w:rsidRPr="00C54DDB">
        <w:rPr>
          <w:rFonts w:ascii="Garamond" w:hAnsi="Garamond"/>
          <w:i/>
          <w:lang w:val="en-US" w:eastAsia="ko-KR"/>
        </w:rPr>
        <w:t>m</w:t>
      </w:r>
      <w:r w:rsidRPr="00C54DDB">
        <w:rPr>
          <w:rFonts w:ascii="Garamond" w:hAnsi="Garamond"/>
          <w:lang w:eastAsia="ko-KR"/>
        </w:rPr>
        <w:t xml:space="preserve">–1 ЦФР получена информация о возбуждении дела о банкротстве </w:t>
      </w:r>
      <w:r w:rsidRPr="00C54DDB">
        <w:rPr>
          <w:rFonts w:ascii="Garamond" w:hAnsi="Garamond"/>
        </w:rPr>
        <w:t>и введении одной из процедур банкротства.</w:t>
      </w:r>
    </w:p>
    <w:p w:rsidR="00137EDB" w:rsidRPr="00C54DDB" w:rsidRDefault="00373152" w:rsidP="00373152">
      <w:pPr>
        <w:autoSpaceDE w:val="0"/>
        <w:autoSpaceDN w:val="0"/>
        <w:adjustRightInd w:val="0"/>
        <w:spacing w:before="120" w:after="120"/>
        <w:ind w:left="709" w:firstLine="707"/>
        <w:jc w:val="both"/>
        <w:rPr>
          <w:rFonts w:ascii="Garamond" w:hAnsi="Garamond"/>
        </w:rPr>
      </w:pPr>
      <w:r w:rsidRPr="00C54DDB">
        <w:rPr>
          <w:rFonts w:ascii="Garamond" w:hAnsi="Garamond"/>
        </w:rPr>
        <w:t>При этом не учитываются неисполненные (ненадлежащим образом исполненные) обязательства по оплате:</w:t>
      </w:r>
    </w:p>
    <w:p w:rsidR="00137EDB" w:rsidRPr="00C54DDB" w:rsidRDefault="00373152" w:rsidP="00373152">
      <w:pPr>
        <w:pStyle w:val="ac"/>
        <w:numPr>
          <w:ilvl w:val="0"/>
          <w:numId w:val="38"/>
        </w:numPr>
        <w:spacing w:before="120" w:after="120" w:line="240" w:lineRule="auto"/>
        <w:jc w:val="both"/>
        <w:rPr>
          <w:rFonts w:ascii="Garamond" w:hAnsi="Garamond"/>
        </w:rPr>
      </w:pPr>
      <w:proofErr w:type="gramStart"/>
      <w:r w:rsidRPr="00C54DDB">
        <w:rPr>
          <w:rFonts w:ascii="Garamond" w:hAnsi="Garamond"/>
          <w:lang w:eastAsia="ko-KR"/>
        </w:rPr>
        <w:t>расчеты</w:t>
      </w:r>
      <w:proofErr w:type="gramEnd"/>
      <w:r w:rsidRPr="00C54DDB">
        <w:rPr>
          <w:rFonts w:ascii="Garamond" w:hAnsi="Garamond"/>
          <w:lang w:eastAsia="ko-KR"/>
        </w:rPr>
        <w:t xml:space="preserve"> по которым осуществляются вне уполномоченной кредитной организации в соответствии с нормами </w:t>
      </w:r>
      <w:r w:rsidRPr="00C54DDB">
        <w:rPr>
          <w:rFonts w:ascii="Garamond" w:hAnsi="Garamond"/>
          <w:i/>
        </w:rPr>
        <w:t>Регламента финансовых расчетов на оптовом рынке электроэнергии</w:t>
      </w:r>
      <w:r w:rsidRPr="00C54DDB">
        <w:rPr>
          <w:rFonts w:ascii="Garamond" w:hAnsi="Garamond"/>
        </w:rPr>
        <w:t xml:space="preserve"> (Приложение № 16 к </w:t>
      </w:r>
      <w:r w:rsidRPr="00C54DDB">
        <w:rPr>
          <w:rFonts w:ascii="Garamond" w:hAnsi="Garamond"/>
          <w:i/>
        </w:rPr>
        <w:t>Договору о присоединении к торговой системе оптового рынка</w:t>
      </w:r>
      <w:r w:rsidRPr="00C54DDB">
        <w:rPr>
          <w:rFonts w:ascii="Garamond" w:hAnsi="Garamond"/>
        </w:rPr>
        <w:t>)</w:t>
      </w:r>
      <w:r w:rsidRPr="00C54DDB">
        <w:rPr>
          <w:rFonts w:ascii="Garamond" w:hAnsi="Garamond"/>
          <w:lang w:eastAsia="ko-KR"/>
        </w:rPr>
        <w:t>;</w:t>
      </w:r>
    </w:p>
    <w:p w:rsidR="00137EDB" w:rsidRPr="00C54DDB" w:rsidRDefault="00373152" w:rsidP="00373152">
      <w:pPr>
        <w:pStyle w:val="ac"/>
        <w:numPr>
          <w:ilvl w:val="0"/>
          <w:numId w:val="38"/>
        </w:numPr>
        <w:spacing w:before="120" w:after="120" w:line="240" w:lineRule="auto"/>
        <w:jc w:val="both"/>
        <w:rPr>
          <w:rFonts w:ascii="Garamond" w:hAnsi="Garamond"/>
        </w:rPr>
      </w:pPr>
      <w:r w:rsidRPr="00C54DDB">
        <w:rPr>
          <w:rFonts w:ascii="Garamond" w:hAnsi="Garamond"/>
        </w:rPr>
        <w:t xml:space="preserve">только в отношении контрагентов, по которым по состоянию на последнюю торговую сессию с уполномоченной кредитной организацией в последний рабочий день месяца в отчете, содержащем информацию об остатках на торговых счетах, направленном уполномоченной кредитной организацией в ЦФР в соответствии с приложением 54 к </w:t>
      </w:r>
      <w:r w:rsidRPr="00C54DDB">
        <w:rPr>
          <w:rFonts w:ascii="Garamond" w:hAnsi="Garamond"/>
          <w:i/>
        </w:rPr>
        <w:t>Регламенту финансовых расчетов на оптовом рынке электроэнергии</w:t>
      </w:r>
      <w:r w:rsidRPr="00C54DDB">
        <w:rPr>
          <w:rFonts w:ascii="Garamond" w:hAnsi="Garamond"/>
        </w:rPr>
        <w:t xml:space="preserve"> (Приложение № 16 к </w:t>
      </w:r>
      <w:r w:rsidRPr="00C54DDB">
        <w:rPr>
          <w:rFonts w:ascii="Garamond" w:hAnsi="Garamond"/>
          <w:i/>
        </w:rPr>
        <w:t>Договору о присоединении к торговой системе оптового рынка</w:t>
      </w:r>
      <w:r w:rsidRPr="00C54DDB">
        <w:rPr>
          <w:rFonts w:ascii="Garamond" w:hAnsi="Garamond"/>
        </w:rPr>
        <w:t>), отсутствует информация о торговом счете участника – получателя денежных средств</w:t>
      </w:r>
      <w:r w:rsidRPr="00373152">
        <w:rPr>
          <w:rFonts w:ascii="Garamond" w:hAnsi="Garamond"/>
          <w:highlight w:val="yellow"/>
        </w:rPr>
        <w:t>.</w:t>
      </w:r>
    </w:p>
    <w:p w:rsidR="00137EDB" w:rsidRPr="00C54DDB" w:rsidRDefault="00137EDB">
      <w:pPr>
        <w:rPr>
          <w:rFonts w:ascii="Garamond" w:hAnsi="Garamond"/>
          <w:b/>
        </w:rPr>
      </w:pPr>
    </w:p>
    <w:p w:rsidR="00137EDB" w:rsidRDefault="00373152" w:rsidP="0037315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Предлагаемая редакция</w:t>
      </w:r>
    </w:p>
    <w:p w:rsidR="00137EDB" w:rsidRPr="00C54DDB" w:rsidRDefault="00373152" w:rsidP="00373152">
      <w:pPr>
        <w:spacing w:after="0" w:line="240" w:lineRule="auto"/>
        <w:jc w:val="right"/>
        <w:rPr>
          <w:rFonts w:ascii="Garamond" w:hAnsi="Garamond"/>
          <w:b/>
        </w:rPr>
      </w:pPr>
      <w:r w:rsidRPr="00C54DDB">
        <w:rPr>
          <w:rFonts w:ascii="Garamond" w:hAnsi="Garamond"/>
          <w:b/>
        </w:rPr>
        <w:t>Приложение 46.1</w:t>
      </w:r>
    </w:p>
    <w:p w:rsidR="00137EDB" w:rsidRPr="00C54DDB" w:rsidRDefault="00373152" w:rsidP="00373152">
      <w:pPr>
        <w:pStyle w:val="7"/>
        <w:spacing w:before="120" w:after="120"/>
        <w:ind w:firstLine="360"/>
        <w:jc w:val="center"/>
        <w:rPr>
          <w:rFonts w:ascii="Garamond" w:eastAsiaTheme="minorHAnsi" w:hAnsi="Garamond" w:cstheme="minorBidi"/>
          <w:b/>
          <w:i w:val="0"/>
          <w:iCs w:val="0"/>
          <w:color w:val="auto"/>
        </w:rPr>
      </w:pPr>
      <w:r w:rsidRPr="00C54DDB">
        <w:rPr>
          <w:rFonts w:ascii="Garamond" w:eastAsiaTheme="minorHAnsi" w:hAnsi="Garamond" w:cstheme="minorBidi"/>
          <w:b/>
          <w:i w:val="0"/>
          <w:iCs w:val="0"/>
          <w:color w:val="auto"/>
        </w:rPr>
        <w:t>Порядок формирования Реестра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используемого в целях формирования матрицы прикреплений за расчетный период</w:t>
      </w:r>
    </w:p>
    <w:p w:rsidR="00137EDB" w:rsidRPr="00C54DDB" w:rsidRDefault="00373152" w:rsidP="00373152">
      <w:pPr>
        <w:pStyle w:val="7"/>
        <w:spacing w:before="120" w:after="120"/>
        <w:ind w:left="709" w:firstLine="707"/>
        <w:rPr>
          <w:rFonts w:ascii="Garamond" w:eastAsiaTheme="minorHAnsi" w:hAnsi="Garamond" w:cstheme="minorBidi"/>
          <w:i w:val="0"/>
          <w:iCs w:val="0"/>
          <w:color w:val="auto"/>
        </w:rPr>
      </w:pPr>
      <w:r w:rsidRPr="00C54DDB">
        <w:rPr>
          <w:rFonts w:ascii="Garamond" w:eastAsiaTheme="minorHAnsi" w:hAnsi="Garamond" w:cstheme="minorBidi"/>
          <w:i w:val="0"/>
          <w:iCs w:val="0"/>
          <w:color w:val="auto"/>
        </w:rPr>
        <w:t>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m, включаются:</w:t>
      </w:r>
    </w:p>
    <w:p w:rsidR="00137EDB" w:rsidRPr="00C54DDB" w:rsidRDefault="00373152" w:rsidP="00373152">
      <w:pPr>
        <w:pStyle w:val="ac"/>
        <w:numPr>
          <w:ilvl w:val="0"/>
          <w:numId w:val="36"/>
        </w:numPr>
        <w:spacing w:before="120" w:after="120" w:line="240" w:lineRule="auto"/>
        <w:jc w:val="both"/>
        <w:rPr>
          <w:rFonts w:ascii="Garamond" w:hAnsi="Garamond"/>
        </w:rPr>
      </w:pPr>
      <w:r w:rsidRPr="00C54DDB">
        <w:rPr>
          <w:rFonts w:ascii="Garamond" w:hAnsi="Garamond"/>
        </w:rPr>
        <w:t>участники оптового рынка,</w:t>
      </w:r>
      <w:r w:rsidRPr="00C54DDB">
        <w:rPr>
          <w:rFonts w:ascii="Garamond" w:hAnsi="Garamond"/>
          <w:b/>
          <w:color w:val="FF0000"/>
        </w:rPr>
        <w:t xml:space="preserve"> </w:t>
      </w:r>
      <w:r w:rsidRPr="00C54DDB">
        <w:rPr>
          <w:rFonts w:ascii="Garamond" w:hAnsi="Garamond"/>
        </w:rPr>
        <w:t xml:space="preserve">имеющие по итогам последнего рабочего дня, в котором проводились торговые сессии с уполномоченной кредитной организацией, месяца </w:t>
      </w:r>
      <w:r w:rsidRPr="00C54DDB">
        <w:rPr>
          <w:rFonts w:ascii="Garamond" w:hAnsi="Garamond"/>
          <w:i/>
        </w:rPr>
        <w:t>m</w:t>
      </w:r>
      <w:r w:rsidRPr="00C54DDB">
        <w:rPr>
          <w:rFonts w:ascii="Garamond" w:hAnsi="Garamond"/>
        </w:rPr>
        <w:t>-1</w:t>
      </w:r>
      <w:r w:rsidRPr="00C54DDB">
        <w:rPr>
          <w:rFonts w:ascii="Garamond" w:hAnsi="Garamond"/>
          <w:color w:val="000000"/>
        </w:rPr>
        <w:t xml:space="preserve"> </w:t>
      </w:r>
      <w:r w:rsidRPr="00C54DDB">
        <w:rPr>
          <w:rFonts w:ascii="Garamond" w:hAnsi="Garamond"/>
        </w:rPr>
        <w:t xml:space="preserve">неисполненные (ненадлежащим образом исполненные) обязательства по оплате по договорам, указанным в пункте 2.3 </w:t>
      </w:r>
      <w:r w:rsidRPr="00C54DDB">
        <w:rPr>
          <w:rFonts w:ascii="Garamond" w:hAnsi="Garamond"/>
          <w:i/>
        </w:rPr>
        <w:lastRenderedPageBreak/>
        <w:t>Регламента финансовых расчетов на оптовом рынке электроэнергии</w:t>
      </w:r>
      <w:r w:rsidRPr="00C54DDB">
        <w:rPr>
          <w:rFonts w:ascii="Garamond" w:hAnsi="Garamond"/>
        </w:rPr>
        <w:t xml:space="preserve"> (Приложение № 16 к </w:t>
      </w:r>
      <w:r w:rsidRPr="00C54DDB">
        <w:rPr>
          <w:rFonts w:ascii="Garamond" w:hAnsi="Garamond"/>
          <w:i/>
        </w:rPr>
        <w:t>Договору о присоединении к торговой системе оптового рынка</w:t>
      </w:r>
      <w:r w:rsidRPr="00C54DDB">
        <w:rPr>
          <w:rFonts w:ascii="Garamond" w:hAnsi="Garamond"/>
        </w:rPr>
        <w:t xml:space="preserve">) (в том числе в отношении авансовых обязательств за месяц </w:t>
      </w:r>
      <w:r w:rsidRPr="00C54DDB">
        <w:rPr>
          <w:rFonts w:ascii="Garamond" w:hAnsi="Garamond"/>
          <w:i/>
          <w:lang w:val="en-US"/>
        </w:rPr>
        <w:t>m</w:t>
      </w:r>
      <w:r w:rsidRPr="00C54DDB">
        <w:rPr>
          <w:rFonts w:ascii="Garamond" w:hAnsi="Garamond"/>
        </w:rPr>
        <w:t>–1); и</w:t>
      </w:r>
    </w:p>
    <w:p w:rsidR="00137EDB" w:rsidRPr="00C54DDB" w:rsidRDefault="00373152" w:rsidP="00373152">
      <w:pPr>
        <w:pStyle w:val="ac"/>
        <w:numPr>
          <w:ilvl w:val="0"/>
          <w:numId w:val="36"/>
        </w:numPr>
        <w:spacing w:before="120" w:after="120" w:line="240" w:lineRule="auto"/>
        <w:jc w:val="both"/>
        <w:rPr>
          <w:rFonts w:ascii="Garamond" w:hAnsi="Garamond"/>
        </w:rPr>
      </w:pPr>
      <w:r w:rsidRPr="00C54DDB">
        <w:rPr>
          <w:rFonts w:ascii="Garamond" w:hAnsi="Garamond"/>
          <w:lang w:eastAsia="ko-KR"/>
        </w:rPr>
        <w:t xml:space="preserve">участники оптового рынка, в отношении которых по состоянию на последнее число месяца </w:t>
      </w:r>
      <w:r w:rsidRPr="00C54DDB">
        <w:rPr>
          <w:rFonts w:ascii="Garamond" w:hAnsi="Garamond"/>
          <w:i/>
          <w:lang w:val="en-US" w:eastAsia="ko-KR"/>
        </w:rPr>
        <w:t>m</w:t>
      </w:r>
      <w:r w:rsidRPr="00C54DDB">
        <w:rPr>
          <w:rFonts w:ascii="Garamond" w:hAnsi="Garamond"/>
          <w:lang w:eastAsia="ko-KR"/>
        </w:rPr>
        <w:t xml:space="preserve">–1 ЦФР получена информация о возбуждении дела о банкротстве </w:t>
      </w:r>
      <w:r w:rsidRPr="00C54DDB">
        <w:rPr>
          <w:rFonts w:ascii="Garamond" w:hAnsi="Garamond"/>
        </w:rPr>
        <w:t>и введении одной из процедур банкротства.</w:t>
      </w:r>
    </w:p>
    <w:p w:rsidR="00137EDB" w:rsidRPr="00C54DDB" w:rsidRDefault="00373152" w:rsidP="00373152">
      <w:pPr>
        <w:autoSpaceDE w:val="0"/>
        <w:autoSpaceDN w:val="0"/>
        <w:adjustRightInd w:val="0"/>
        <w:spacing w:before="120" w:after="120"/>
        <w:ind w:left="709" w:firstLine="707"/>
        <w:jc w:val="both"/>
        <w:rPr>
          <w:rFonts w:ascii="Garamond" w:hAnsi="Garamond"/>
        </w:rPr>
      </w:pPr>
      <w:r w:rsidRPr="00C54DDB">
        <w:rPr>
          <w:rFonts w:ascii="Garamond" w:hAnsi="Garamond"/>
        </w:rPr>
        <w:t>При этом не учитываются неисполненные (ненадлежащим образом исполненные) обязательства по оплате:</w:t>
      </w:r>
    </w:p>
    <w:p w:rsidR="00137EDB" w:rsidRPr="00C54DDB" w:rsidRDefault="00373152" w:rsidP="00373152">
      <w:pPr>
        <w:pStyle w:val="ac"/>
        <w:numPr>
          <w:ilvl w:val="0"/>
          <w:numId w:val="38"/>
        </w:numPr>
        <w:spacing w:before="120" w:after="120" w:line="240" w:lineRule="auto"/>
        <w:jc w:val="both"/>
        <w:rPr>
          <w:rFonts w:ascii="Garamond" w:hAnsi="Garamond"/>
        </w:rPr>
      </w:pPr>
      <w:proofErr w:type="gramStart"/>
      <w:r w:rsidRPr="00C54DDB">
        <w:rPr>
          <w:rFonts w:ascii="Garamond" w:hAnsi="Garamond"/>
          <w:lang w:eastAsia="ko-KR"/>
        </w:rPr>
        <w:t>расчеты</w:t>
      </w:r>
      <w:proofErr w:type="gramEnd"/>
      <w:r w:rsidRPr="00C54DDB">
        <w:rPr>
          <w:rFonts w:ascii="Garamond" w:hAnsi="Garamond"/>
          <w:lang w:eastAsia="ko-KR"/>
        </w:rPr>
        <w:t xml:space="preserve"> по которым осуществляются вне уполномоченной кредитной организации в соответствии с нормами </w:t>
      </w:r>
      <w:r w:rsidRPr="00C54DDB">
        <w:rPr>
          <w:rFonts w:ascii="Garamond" w:hAnsi="Garamond"/>
          <w:i/>
        </w:rPr>
        <w:t>Регламента финансовых расчетов на оптовом рынке электроэнергии</w:t>
      </w:r>
      <w:r w:rsidRPr="00C54DDB">
        <w:rPr>
          <w:rFonts w:ascii="Garamond" w:hAnsi="Garamond"/>
        </w:rPr>
        <w:t xml:space="preserve"> (Приложение № 16 к </w:t>
      </w:r>
      <w:r w:rsidRPr="00C54DDB">
        <w:rPr>
          <w:rFonts w:ascii="Garamond" w:hAnsi="Garamond"/>
          <w:i/>
        </w:rPr>
        <w:t>Договору о присоединении к торговой системе оптового рынка</w:t>
      </w:r>
      <w:r w:rsidRPr="00C54DDB">
        <w:rPr>
          <w:rFonts w:ascii="Garamond" w:hAnsi="Garamond"/>
        </w:rPr>
        <w:t>)</w:t>
      </w:r>
      <w:r w:rsidRPr="00C54DDB">
        <w:rPr>
          <w:rFonts w:ascii="Garamond" w:hAnsi="Garamond"/>
          <w:lang w:eastAsia="ko-KR"/>
        </w:rPr>
        <w:t>;</w:t>
      </w:r>
    </w:p>
    <w:p w:rsidR="00137EDB" w:rsidRPr="00C54DDB" w:rsidRDefault="00373152" w:rsidP="00373152">
      <w:pPr>
        <w:pStyle w:val="ac"/>
        <w:numPr>
          <w:ilvl w:val="0"/>
          <w:numId w:val="38"/>
        </w:numPr>
        <w:spacing w:before="120" w:after="120" w:line="240" w:lineRule="auto"/>
        <w:jc w:val="both"/>
        <w:rPr>
          <w:rFonts w:ascii="Garamond" w:hAnsi="Garamond"/>
        </w:rPr>
      </w:pPr>
      <w:r w:rsidRPr="00C54DDB">
        <w:rPr>
          <w:rFonts w:ascii="Garamond" w:hAnsi="Garamond"/>
        </w:rPr>
        <w:t xml:space="preserve">только в отношении контрагентов, по которым по состоянию на последнюю торговую сессию с уполномоченной кредитной организацией в последний рабочий день месяца в отчете, содержащем информацию об остатках на торговых счетах, направленном уполномоченной кредитной организацией в ЦФР в соответствии с приложением 54 к </w:t>
      </w:r>
      <w:r w:rsidRPr="00C54DDB">
        <w:rPr>
          <w:rFonts w:ascii="Garamond" w:hAnsi="Garamond"/>
          <w:i/>
        </w:rPr>
        <w:t>Регламенту финансовых расчетов на оптовом рынке электроэнергии</w:t>
      </w:r>
      <w:r w:rsidRPr="00C54DDB">
        <w:rPr>
          <w:rFonts w:ascii="Garamond" w:hAnsi="Garamond"/>
        </w:rPr>
        <w:t xml:space="preserve"> (Приложение № 16 к </w:t>
      </w:r>
      <w:r w:rsidRPr="00C54DDB">
        <w:rPr>
          <w:rFonts w:ascii="Garamond" w:hAnsi="Garamond"/>
          <w:i/>
        </w:rPr>
        <w:t>Договору о присоединении к торговой системе оптового рынка</w:t>
      </w:r>
      <w:r w:rsidRPr="00C54DDB">
        <w:rPr>
          <w:rFonts w:ascii="Garamond" w:hAnsi="Garamond"/>
        </w:rPr>
        <w:t>), отсутствует информация о торговом счете участника – получателя денежных средств</w:t>
      </w:r>
      <w:r w:rsidRPr="00373152">
        <w:rPr>
          <w:rFonts w:ascii="Garamond" w:hAnsi="Garamond"/>
          <w:highlight w:val="yellow"/>
        </w:rPr>
        <w:t>;</w:t>
      </w:r>
    </w:p>
    <w:p w:rsidR="00137EDB" w:rsidRPr="00C54DDB" w:rsidRDefault="00373152" w:rsidP="00373152">
      <w:pPr>
        <w:pStyle w:val="ac"/>
        <w:numPr>
          <w:ilvl w:val="0"/>
          <w:numId w:val="38"/>
        </w:numPr>
        <w:spacing w:before="120" w:after="120" w:line="240" w:lineRule="auto"/>
        <w:jc w:val="both"/>
        <w:rPr>
          <w:rFonts w:ascii="Garamond" w:hAnsi="Garamond"/>
          <w:highlight w:val="yellow"/>
          <w:lang w:eastAsia="ko-KR"/>
        </w:rPr>
      </w:pPr>
      <w:r w:rsidRPr="00C54DDB">
        <w:rPr>
          <w:rFonts w:ascii="Garamond" w:hAnsi="Garamond"/>
          <w:highlight w:val="yellow"/>
          <w:lang w:eastAsia="ko-KR"/>
        </w:rPr>
        <w:t>участников оптового рынка, лишенных статуса субъекта оптового рынка и</w:t>
      </w:r>
      <w:r w:rsidR="001B6CE6">
        <w:rPr>
          <w:rFonts w:ascii="Garamond" w:hAnsi="Garamond"/>
          <w:highlight w:val="yellow"/>
          <w:lang w:eastAsia="ko-KR"/>
        </w:rPr>
        <w:t xml:space="preserve"> </w:t>
      </w:r>
      <w:bookmarkStart w:id="0" w:name="_GoBack"/>
      <w:bookmarkEnd w:id="0"/>
      <w:r w:rsidRPr="00C54DDB">
        <w:rPr>
          <w:rFonts w:ascii="Garamond" w:hAnsi="Garamond"/>
          <w:highlight w:val="yellow"/>
          <w:lang w:eastAsia="ko-KR"/>
        </w:rPr>
        <w:t>(или) права участия в торговле электрической энергией (мощностью) на оптовом рынке в отношении всех зарегистрированных за ними ГТП по сос</w:t>
      </w:r>
      <w:r>
        <w:rPr>
          <w:rFonts w:ascii="Garamond" w:hAnsi="Garamond"/>
          <w:highlight w:val="yellow"/>
          <w:lang w:eastAsia="ko-KR"/>
        </w:rPr>
        <w:t>тоянию на 1-е число расчетного</w:t>
      </w:r>
      <w:r w:rsidRPr="00C54DDB">
        <w:rPr>
          <w:rFonts w:ascii="Garamond" w:hAnsi="Garamond"/>
          <w:highlight w:val="yellow"/>
          <w:lang w:eastAsia="ko-KR"/>
        </w:rPr>
        <w:t xml:space="preserve"> месяца </w:t>
      </w:r>
      <w:r w:rsidRPr="00373152">
        <w:rPr>
          <w:rFonts w:ascii="Garamond" w:hAnsi="Garamond"/>
          <w:i/>
          <w:highlight w:val="yellow"/>
          <w:lang w:val="en-US" w:eastAsia="ko-KR"/>
        </w:rPr>
        <w:t>m</w:t>
      </w:r>
      <w:r w:rsidRPr="00C54DDB">
        <w:rPr>
          <w:rFonts w:ascii="Garamond" w:hAnsi="Garamond"/>
          <w:highlight w:val="yellow"/>
          <w:lang w:eastAsia="ko-KR"/>
        </w:rPr>
        <w:t>.</w:t>
      </w:r>
    </w:p>
    <w:sectPr w:rsidR="00137EDB" w:rsidRPr="00C54DDB" w:rsidSect="00C54DDB">
      <w:footerReference w:type="default" r:id="rId8"/>
      <w:footerReference w:type="first" r:id="rId9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DB" w:rsidRDefault="00373152">
      <w:pPr>
        <w:spacing w:after="0" w:line="240" w:lineRule="auto"/>
      </w:pPr>
      <w:r>
        <w:separator/>
      </w:r>
    </w:p>
  </w:endnote>
  <w:endnote w:type="continuationSeparator" w:id="0">
    <w:p w:rsidR="00137EDB" w:rsidRDefault="00373152">
      <w:pPr>
        <w:spacing w:after="0" w:line="240" w:lineRule="auto"/>
      </w:pPr>
      <w:r>
        <w:continuationSeparator/>
      </w:r>
    </w:p>
  </w:endnote>
  <w:endnote w:type="continuationNotice" w:id="1">
    <w:p w:rsidR="00137EDB" w:rsidRDefault="00137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tka Subheading"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852633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37EDB" w:rsidRDefault="00373152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1B6CE6">
          <w:rPr>
            <w:rFonts w:ascii="Garamond" w:hAnsi="Garamond"/>
            <w:noProof/>
          </w:rPr>
          <w:t>9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96328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137EDB" w:rsidRDefault="00373152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1B6CE6">
          <w:rPr>
            <w:rFonts w:ascii="Garamond" w:hAnsi="Garamond"/>
            <w:noProof/>
          </w:rPr>
          <w:t>1</w:t>
        </w:r>
        <w:r>
          <w:rPr>
            <w:rFonts w:ascii="Garamond" w:hAnsi="Garamond"/>
          </w:rPr>
          <w:fldChar w:fldCharType="end"/>
        </w:r>
      </w:p>
    </w:sdtContent>
  </w:sdt>
  <w:p w:rsidR="00137EDB" w:rsidRDefault="00137ED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DB" w:rsidRDefault="00373152">
      <w:pPr>
        <w:spacing w:after="0" w:line="240" w:lineRule="auto"/>
      </w:pPr>
      <w:r>
        <w:separator/>
      </w:r>
    </w:p>
  </w:footnote>
  <w:footnote w:type="continuationSeparator" w:id="0">
    <w:p w:rsidR="00137EDB" w:rsidRDefault="00373152">
      <w:pPr>
        <w:spacing w:after="0" w:line="240" w:lineRule="auto"/>
      </w:pPr>
      <w:r>
        <w:continuationSeparator/>
      </w:r>
    </w:p>
  </w:footnote>
  <w:footnote w:type="continuationNotice" w:id="1">
    <w:p w:rsidR="00137EDB" w:rsidRDefault="00137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32D6D"/>
    <w:multiLevelType w:val="hybridMultilevel"/>
    <w:tmpl w:val="90EC3020"/>
    <w:lvl w:ilvl="0" w:tplc="FFFFFFFF">
      <w:start w:val="1"/>
      <w:numFmt w:val="bullet"/>
      <w:lvlText w:val="–"/>
      <w:lvlJc w:val="left"/>
      <w:pPr>
        <w:ind w:left="13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138871AD"/>
    <w:multiLevelType w:val="hybridMultilevel"/>
    <w:tmpl w:val="AA249E98"/>
    <w:lvl w:ilvl="0" w:tplc="FFFFFFF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eastAsia="Helvetica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9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ABA6E96"/>
    <w:multiLevelType w:val="hybridMultilevel"/>
    <w:tmpl w:val="8E84FB3C"/>
    <w:lvl w:ilvl="0" w:tplc="FFFFFFFF">
      <w:start w:val="1"/>
      <w:numFmt w:val="bullet"/>
      <w:lvlText w:val="–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254541"/>
    <w:multiLevelType w:val="hybridMultilevel"/>
    <w:tmpl w:val="2070D76C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39D3083E"/>
    <w:multiLevelType w:val="hybridMultilevel"/>
    <w:tmpl w:val="3C3C5BBC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5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F4FAD"/>
    <w:multiLevelType w:val="hybridMultilevel"/>
    <w:tmpl w:val="759A29A0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45D1D0E"/>
    <w:multiLevelType w:val="hybridMultilevel"/>
    <w:tmpl w:val="157823B2"/>
    <w:numStyleLink w:val="2"/>
  </w:abstractNum>
  <w:abstractNum w:abstractNumId="29">
    <w:nsid w:val="712D1B2C"/>
    <w:multiLevelType w:val="hybridMultilevel"/>
    <w:tmpl w:val="596620A2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9C5"/>
    <w:multiLevelType w:val="hybridMultilevel"/>
    <w:tmpl w:val="C5F0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61C6E"/>
    <w:multiLevelType w:val="hybridMultilevel"/>
    <w:tmpl w:val="DB1A30D0"/>
    <w:lvl w:ilvl="0" w:tplc="FFFFFFFF">
      <w:start w:val="1"/>
      <w:numFmt w:val="bullet"/>
      <w:lvlText w:val="–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7"/>
  </w:num>
  <w:num w:numId="5">
    <w:abstractNumId w:val="31"/>
  </w:num>
  <w:num w:numId="6">
    <w:abstractNumId w:val="18"/>
  </w:num>
  <w:num w:numId="7">
    <w:abstractNumId w:val="15"/>
  </w:num>
  <w:num w:numId="8">
    <w:abstractNumId w:val="8"/>
  </w:num>
  <w:num w:numId="9">
    <w:abstractNumId w:val="4"/>
  </w:num>
  <w:num w:numId="10">
    <w:abstractNumId w:val="0"/>
  </w:num>
  <w:num w:numId="11">
    <w:abstractNumId w:val="20"/>
  </w:num>
  <w:num w:numId="12">
    <w:abstractNumId w:val="22"/>
  </w:num>
  <w:num w:numId="13">
    <w:abstractNumId w:val="26"/>
  </w:num>
  <w:num w:numId="14">
    <w:abstractNumId w:val="14"/>
  </w:num>
  <w:num w:numId="15">
    <w:abstractNumId w:val="25"/>
  </w:num>
  <w:num w:numId="16">
    <w:abstractNumId w:val="23"/>
  </w:num>
  <w:num w:numId="17">
    <w:abstractNumId w:val="17"/>
  </w:num>
  <w:num w:numId="18">
    <w:abstractNumId w:val="11"/>
  </w:num>
  <w:num w:numId="19">
    <w:abstractNumId w:val="1"/>
  </w:num>
  <w:num w:numId="20">
    <w:abstractNumId w:val="12"/>
  </w:num>
  <w:num w:numId="21">
    <w:abstractNumId w:val="19"/>
  </w:num>
  <w:num w:numId="22">
    <w:abstractNumId w:val="3"/>
  </w:num>
  <w:num w:numId="23">
    <w:abstractNumId w:val="33"/>
  </w:num>
  <w:num w:numId="24">
    <w:abstractNumId w:val="34"/>
  </w:num>
  <w:num w:numId="25">
    <w:abstractNumId w:val="2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28"/>
  </w:num>
  <w:num w:numId="30">
    <w:abstractNumId w:val="28"/>
    <w:lvlOverride w:ilvl="0">
      <w:lvl w:ilvl="0" w:tplc="4B6608D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FC2A5A">
        <w:start w:val="1"/>
        <w:numFmt w:val="lowerLetter"/>
        <w:lvlText w:val="%2."/>
        <w:lvlJc w:val="left"/>
        <w:pPr>
          <w:ind w:left="414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E86508">
        <w:start w:val="1"/>
        <w:numFmt w:val="lowerRoman"/>
        <w:lvlText w:val="%3."/>
        <w:lvlJc w:val="left"/>
        <w:pPr>
          <w:ind w:left="1014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CE9CDE">
        <w:start w:val="1"/>
        <w:numFmt w:val="decimal"/>
        <w:lvlText w:val="%4."/>
        <w:lvlJc w:val="left"/>
        <w:pPr>
          <w:ind w:left="173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28150E">
        <w:start w:val="1"/>
        <w:numFmt w:val="lowerLetter"/>
        <w:lvlText w:val="%5."/>
        <w:lvlJc w:val="left"/>
        <w:pPr>
          <w:ind w:left="245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E2486">
        <w:start w:val="1"/>
        <w:numFmt w:val="lowerRoman"/>
        <w:lvlText w:val="%6."/>
        <w:lvlJc w:val="left"/>
        <w:pPr>
          <w:ind w:left="317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ACE40C">
        <w:start w:val="1"/>
        <w:numFmt w:val="decimal"/>
        <w:lvlText w:val="%7."/>
        <w:lvlJc w:val="left"/>
        <w:pPr>
          <w:ind w:left="3894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A22998">
        <w:start w:val="1"/>
        <w:numFmt w:val="lowerLetter"/>
        <w:lvlText w:val="%8."/>
        <w:lvlJc w:val="left"/>
        <w:pPr>
          <w:ind w:left="4614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1C7F1C">
        <w:start w:val="1"/>
        <w:numFmt w:val="lowerRoman"/>
        <w:lvlText w:val="%9."/>
        <w:lvlJc w:val="left"/>
        <w:pPr>
          <w:ind w:left="5334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0"/>
  </w:num>
  <w:num w:numId="32">
    <w:abstractNumId w:val="13"/>
  </w:num>
  <w:num w:numId="33">
    <w:abstractNumId w:val="30"/>
  </w:num>
  <w:num w:numId="34">
    <w:abstractNumId w:val="16"/>
  </w:num>
  <w:num w:numId="35">
    <w:abstractNumId w:val="35"/>
  </w:num>
  <w:num w:numId="36">
    <w:abstractNumId w:val="2"/>
  </w:num>
  <w:num w:numId="37">
    <w:abstractNumId w:val="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DB"/>
    <w:rsid w:val="00137EDB"/>
    <w:rsid w:val="001B6CE6"/>
    <w:rsid w:val="00373152"/>
    <w:rsid w:val="008729F2"/>
    <w:rsid w:val="00C5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DA466BE-EEDA-4102-BD10-BBC4ED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120"/>
      <w:ind w:left="-79"/>
      <w:jc w:val="right"/>
      <w:outlineLvl w:val="2"/>
    </w:pPr>
    <w:rPr>
      <w:rFonts w:ascii="Garamond" w:eastAsia="Times New Roman" w:hAnsi="Garamond" w:cs="Times New Roman"/>
      <w:b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28"/>
      </w:numPr>
    </w:p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7026-4B23-4C3E-A876-0105C525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6</cp:revision>
  <cp:lastPrinted>2020-03-06T07:18:00Z</cp:lastPrinted>
  <dcterms:created xsi:type="dcterms:W3CDTF">2021-03-11T12:00:00Z</dcterms:created>
  <dcterms:modified xsi:type="dcterms:W3CDTF">2021-03-22T12:38:00Z</dcterms:modified>
</cp:coreProperties>
</file>