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70A" w:rsidRDefault="00DE2E11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>V</w:t>
      </w:r>
      <w:r>
        <w:rPr>
          <w:rFonts w:ascii="Garamond" w:hAnsi="Garamond"/>
          <w:b/>
          <w:sz w:val="28"/>
          <w:szCs w:val="28"/>
        </w:rPr>
        <w:t>.2. Изменения, связанные с уточнением порядка взаимодействия участников оптового рынка и АО «ЦФР»</w:t>
      </w:r>
    </w:p>
    <w:p w:rsidR="0011370A" w:rsidRDefault="0011370A">
      <w:pPr>
        <w:widowControl w:val="0"/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</w:p>
    <w:p w:rsidR="0011370A" w:rsidRDefault="00DE2E11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Приложение №</w:t>
      </w:r>
      <w:r>
        <w:rPr>
          <w:rFonts w:ascii="Garamond" w:hAnsi="Garamond"/>
          <w:b/>
          <w:sz w:val="28"/>
          <w:szCs w:val="28"/>
          <w:lang w:val="en-US"/>
        </w:rPr>
        <w:t xml:space="preserve"> 5.</w:t>
      </w:r>
      <w:r>
        <w:rPr>
          <w:rFonts w:ascii="Garamond" w:hAnsi="Garamond"/>
          <w:b/>
          <w:sz w:val="28"/>
          <w:szCs w:val="28"/>
        </w:rPr>
        <w:t>2</w:t>
      </w:r>
    </w:p>
    <w:p w:rsidR="0011370A" w:rsidRDefault="0011370A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2"/>
      </w:tblGrid>
      <w:tr w:rsidR="0011370A">
        <w:trPr>
          <w:trHeight w:val="386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0A" w:rsidRDefault="00DE2E11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Инициатор: </w:t>
            </w:r>
            <w:r>
              <w:rPr>
                <w:rFonts w:ascii="Garamond" w:hAnsi="Garamond"/>
                <w:sz w:val="24"/>
                <w:szCs w:val="24"/>
              </w:rPr>
              <w:t>АО «ЦФР».</w:t>
            </w:r>
          </w:p>
          <w:p w:rsidR="0011370A" w:rsidRDefault="00DE2E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>
              <w:rPr>
                <w:rFonts w:ascii="Garamond" w:hAnsi="Garamond"/>
                <w:sz w:val="24"/>
                <w:szCs w:val="24"/>
              </w:rPr>
              <w:t xml:space="preserve">внести уточнения в порядок </w:t>
            </w:r>
            <w:bookmarkStart w:id="0" w:name="_Toc14101080"/>
            <w:r>
              <w:rPr>
                <w:rFonts w:ascii="Garamond" w:hAnsi="Garamond"/>
                <w:sz w:val="24"/>
                <w:szCs w:val="24"/>
              </w:rPr>
              <w:t>исполнения обязательств по оплате участника оптового рынка третьим лицом</w:t>
            </w:r>
            <w:bookmarkEnd w:id="0"/>
            <w:r>
              <w:rPr>
                <w:rFonts w:ascii="Garamond" w:hAnsi="Garamond"/>
                <w:sz w:val="24"/>
                <w:szCs w:val="24"/>
              </w:rPr>
              <w:t xml:space="preserve">, а также скорректировать форму отчета, публикуемого участникам оптового рынка. </w:t>
            </w:r>
          </w:p>
          <w:p w:rsidR="0011370A" w:rsidRDefault="00DE2E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>
              <w:rPr>
                <w:rFonts w:ascii="Garamond" w:hAnsi="Garamond"/>
                <w:sz w:val="24"/>
                <w:szCs w:val="24"/>
              </w:rPr>
              <w:t xml:space="preserve"> 1 июля 2022 года.</w:t>
            </w:r>
          </w:p>
        </w:tc>
      </w:tr>
    </w:tbl>
    <w:p w:rsidR="0011370A" w:rsidRDefault="0011370A">
      <w:pPr>
        <w:widowControl w:val="0"/>
        <w:spacing w:after="0" w:line="240" w:lineRule="auto"/>
        <w:rPr>
          <w:rFonts w:ascii="Garamond" w:hAnsi="Garamond"/>
        </w:rPr>
      </w:pPr>
    </w:p>
    <w:p w:rsidR="0011370A" w:rsidRDefault="00DE2E11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  <w:sz w:val="26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11370A" w:rsidRDefault="0011370A">
      <w:pPr>
        <w:tabs>
          <w:tab w:val="left" w:pos="709"/>
        </w:tabs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6378"/>
        <w:gridCol w:w="7505"/>
      </w:tblGrid>
      <w:tr w:rsidR="0011370A">
        <w:trPr>
          <w:trHeight w:val="64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70A" w:rsidRDefault="00DE2E11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№</w:t>
            </w:r>
          </w:p>
          <w:p w:rsidR="0011370A" w:rsidRDefault="00DE2E11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val="en-GB"/>
              </w:rPr>
            </w:pPr>
            <w:r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0A" w:rsidRDefault="00DE2E11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 xml:space="preserve">Редакция, действующая на момент </w:t>
            </w:r>
          </w:p>
          <w:p w:rsidR="0011370A" w:rsidRDefault="00DE2E11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вступления в силу изменений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0A" w:rsidRDefault="00DE2E11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Предлагаемая редакция</w:t>
            </w:r>
          </w:p>
          <w:p w:rsidR="0011370A" w:rsidRDefault="00DE2E11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11370A">
        <w:trPr>
          <w:trHeight w:val="64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70A" w:rsidRPr="007A7F5E" w:rsidRDefault="00DE2E11">
            <w:pPr>
              <w:spacing w:after="0" w:line="240" w:lineRule="auto"/>
              <w:contextualSpacing/>
              <w:jc w:val="center"/>
              <w:rPr>
                <w:rFonts w:ascii="Garamond" w:hAnsi="Garamond" w:cs="Garamond"/>
                <w:b/>
                <w:bCs/>
              </w:rPr>
            </w:pPr>
            <w:r w:rsidRPr="007A7F5E">
              <w:rPr>
                <w:rFonts w:ascii="Garamond" w:hAnsi="Garamond" w:cs="Garamond"/>
                <w:b/>
                <w:bCs/>
              </w:rPr>
              <w:t>18</w:t>
            </w:r>
            <w:r w:rsidR="007A7F5E" w:rsidRPr="007A7F5E">
              <w:rPr>
                <w:rFonts w:ascii="Garamond" w:hAnsi="Garamond"/>
                <w:b/>
              </w:rPr>
              <w:t>´.</w:t>
            </w:r>
            <w:r w:rsidRPr="007A7F5E">
              <w:rPr>
                <w:rFonts w:ascii="Garamond" w:hAnsi="Garamond" w:cs="Garamond"/>
                <w:b/>
                <w:bCs/>
              </w:rPr>
              <w:t>24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5E" w:rsidRDefault="007A7F5E">
            <w:pPr>
              <w:pStyle w:val="110"/>
              <w:spacing w:before="120" w:after="120" w:line="252" w:lineRule="auto"/>
              <w:ind w:left="0" w:firstLine="567"/>
              <w:rPr>
                <w:rFonts w:ascii="Garamond" w:eastAsia="Calibri" w:hAnsi="Garamond"/>
                <w:lang w:eastAsia="en-US"/>
              </w:rPr>
            </w:pPr>
            <w:r>
              <w:rPr>
                <w:rFonts w:ascii="Garamond" w:eastAsia="Calibri" w:hAnsi="Garamond"/>
                <w:lang w:eastAsia="en-US"/>
              </w:rPr>
              <w:t>…</w:t>
            </w:r>
          </w:p>
          <w:p w:rsidR="0011370A" w:rsidRDefault="00DE2E11">
            <w:pPr>
              <w:pStyle w:val="110"/>
              <w:spacing w:before="120" w:after="120" w:line="252" w:lineRule="auto"/>
              <w:ind w:left="0" w:firstLine="567"/>
              <w:rPr>
                <w:rFonts w:ascii="Garamond" w:eastAsia="Calibri" w:hAnsi="Garamond"/>
                <w:lang w:eastAsia="en-US"/>
              </w:rPr>
            </w:pPr>
            <w:r>
              <w:rPr>
                <w:rFonts w:ascii="Garamond" w:eastAsia="Calibri" w:hAnsi="Garamond"/>
                <w:lang w:eastAsia="en-US"/>
              </w:rPr>
              <w:t xml:space="preserve">В случае прекращения ЦФР учета соглашений о порядке исполнения обязательств покупатель, с которым были заключены указанные соглашения, обязан исполнить обязательства по оплате электрической энергии и (или) мощности, указанные в приложениях 2 к соглашениям о порядке исполнения обязательств, по которым выбран вариант 2 исполнения обязательств (Оплата денежными средствами с отсрочкой на 13 лет), измененный срок исполнения которых не наступил на дату прекращения учета соглашений о порядке исполнения обязательств, в дату платежа – 14-е число месяца, в котором прекращается учет соглашений о </w:t>
            </w:r>
            <w:r>
              <w:rPr>
                <w:rFonts w:ascii="Garamond" w:eastAsia="Calibri" w:hAnsi="Garamond"/>
                <w:highlight w:val="yellow"/>
                <w:lang w:eastAsia="en-US"/>
              </w:rPr>
              <w:t>реструктуризации задолженности</w:t>
            </w:r>
            <w:r>
              <w:rPr>
                <w:rFonts w:ascii="Garamond" w:eastAsia="Calibri" w:hAnsi="Garamond"/>
                <w:lang w:eastAsia="en-US"/>
              </w:rPr>
              <w:t xml:space="preserve">. </w:t>
            </w:r>
          </w:p>
          <w:p w:rsidR="0011370A" w:rsidRDefault="00DE2E11">
            <w:pPr>
              <w:suppressAutoHyphens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5E" w:rsidRDefault="007A7F5E">
            <w:pPr>
              <w:suppressAutoHyphens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11370A" w:rsidRDefault="00DE2E11">
            <w:pPr>
              <w:suppressAutoHyphens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В случае прекращения ЦФР учета соглашений о порядке исполнения обязательств покупатель, с которым были заключены указанные соглашения, обязан исполнить обязательства по оплате электрической энергии и (или) мощности, указанные в приложениях 2 к соглашениям о порядке исполнения обязательств, по которым выбран вариант 2 исполнения обязательств (Оплата денежными средствами с отсрочкой на 13 лет), измененный срок исполнения которых не наступил на дату прекращения учета соглашений о порядке исполнения обязательств, в дату платежа – 14-е число месяца, в котором прекращается учет соглашений о </w:t>
            </w:r>
            <w:r>
              <w:rPr>
                <w:rFonts w:ascii="Garamond" w:hAnsi="Garamond"/>
                <w:highlight w:val="yellow"/>
              </w:rPr>
              <w:t>порядке исполнения обязательств</w:t>
            </w:r>
            <w:r>
              <w:rPr>
                <w:rFonts w:ascii="Garamond" w:hAnsi="Garamond"/>
              </w:rPr>
              <w:t>.</w:t>
            </w:r>
          </w:p>
          <w:p w:rsidR="0011370A" w:rsidRDefault="00DE2E11">
            <w:pPr>
              <w:suppressAutoHyphens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</w:tr>
      <w:tr w:rsidR="0011370A">
        <w:trPr>
          <w:trHeight w:val="64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70A" w:rsidRDefault="00DE2E11">
            <w:pPr>
              <w:spacing w:after="0" w:line="240" w:lineRule="auto"/>
              <w:contextualSpacing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25.7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0A" w:rsidRDefault="00DE2E11">
            <w:pPr>
              <w:suppressAutoHyphens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Участник-должник вправе направить в бумажном виде по форме приложения 119 к настоящему Регламенту в ЦФР уведомление о прекращении возложения исполнения обязательств по оплате на третье лицо. </w:t>
            </w:r>
          </w:p>
          <w:p w:rsidR="0011370A" w:rsidRDefault="00DE2E11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Участник-гарант вправе направить в бумажном виде по форме приложения 120 к настоящему Регламенту в ЦФР </w:t>
            </w:r>
            <w:r>
              <w:rPr>
                <w:rFonts w:ascii="Garamond" w:hAnsi="Garamond"/>
              </w:rPr>
              <w:lastRenderedPageBreak/>
              <w:t>уведомление о прекращении исполнения обязательств по оплате за участника-должника.</w:t>
            </w:r>
          </w:p>
          <w:p w:rsidR="0011370A" w:rsidRDefault="00DE2E11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В уведомлениях, направленных по форме приложений 119, 120 к настоящему Регламенту, указывается дата прекращения осуществления оплаты за участника оптового рынка третьим лицом. Указанная дата должна быть не ранее следующего рабочего дня с даты принятия к учету уведомления об осуществлении оплаты за участника оптового рынка третьим лицом. </w:t>
            </w:r>
          </w:p>
          <w:p w:rsidR="0011370A" w:rsidRDefault="00DE2E11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 xml:space="preserve">Дата поступления в </w:t>
            </w:r>
            <w:r w:rsidRPr="00236D66">
              <w:rPr>
                <w:rFonts w:ascii="Garamond" w:hAnsi="Garamond"/>
                <w:highlight w:val="yellow"/>
              </w:rPr>
              <w:t>ЦФР у</w:t>
            </w:r>
            <w:r>
              <w:rPr>
                <w:rFonts w:ascii="Garamond" w:hAnsi="Garamond"/>
              </w:rPr>
              <w:t xml:space="preserve">ведомления по форме приложений 119, 120 к настоящему Регламенту, </w:t>
            </w:r>
            <w:r>
              <w:rPr>
                <w:rFonts w:ascii="Garamond" w:hAnsi="Garamond"/>
                <w:highlight w:val="yellow"/>
              </w:rPr>
              <w:t>направленного</w:t>
            </w:r>
            <w:r>
              <w:rPr>
                <w:rFonts w:ascii="Garamond" w:hAnsi="Garamond"/>
              </w:rPr>
              <w:t xml:space="preserve"> участником-должником либо участником-гарантом,</w:t>
            </w:r>
            <w:r>
              <w:rPr>
                <w:rFonts w:ascii="Garamond" w:hAnsi="Garamond"/>
                <w:highlight w:val="yellow"/>
              </w:rPr>
              <w:t xml:space="preserve"> должна быть </w:t>
            </w:r>
            <w:r>
              <w:rPr>
                <w:rFonts w:ascii="Garamond" w:hAnsi="Garamond"/>
              </w:rPr>
              <w:t>не позднее одного рабочего дня до даты прекращения осуществления оплаты за участника оптового рынка третьим лицом</w:t>
            </w:r>
            <w:r w:rsidRPr="00236D66">
              <w:rPr>
                <w:rFonts w:ascii="Garamond" w:hAnsi="Garamond"/>
              </w:rPr>
              <w:t>.</w:t>
            </w:r>
          </w:p>
          <w:p w:rsidR="0011370A" w:rsidRDefault="00DE2E11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Не позднее второго рабочего дня после дня получения от участника-должника или участника-гаранта соответствующего уведомления ЦФР уведомляет о прекращении осуществления оплаты за участника оптового рынка третьим лицом участника-гаранта и участника-должника путем публикации для указанных участников оптового рынка информации с применением ЭП на сайте КО, в разделах с ограниченным в соответствии с Правилами ЭДО СЭД КО доступом, по форме приложения 27а к настоящему Регламенту.</w:t>
            </w:r>
          </w:p>
          <w:p w:rsidR="0011370A" w:rsidRDefault="00DE2E11">
            <w:pPr>
              <w:suppressAutoHyphens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 даты прекращения осуществления оплаты за участника оптового рынка третьим лицом, указанной в уведомлениях, направленных по форме приложений 119, 120 к настоящему Регламенту, ЦФР включает обязательства участника-должника, указанные в уведомлении, в Сводный реестр платежей участников оптового рынка, направляемый в уполномоченную кредитную организацию, для списания денежных средств с торгового счета участника-должника.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0A" w:rsidRDefault="00DE2E11">
            <w:pPr>
              <w:suppressAutoHyphens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 xml:space="preserve">Участник-должник вправе направить в бумажном виде по форме приложения 119 к настоящему Регламенту в ЦФР уведомление о прекращении возложения исполнения обязательств по оплате на третье лицо. </w:t>
            </w:r>
          </w:p>
          <w:p w:rsidR="0011370A" w:rsidRDefault="00DE2E11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Участник-гарант вправе направить в бумажном виде по форме приложения 120 к настоящему Регламенту в ЦФР уведомление о прекращении исполнения обязательств по оплате за участника-должника.</w:t>
            </w:r>
          </w:p>
          <w:p w:rsidR="0011370A" w:rsidRDefault="00DE2E11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 xml:space="preserve">В уведомлениях, направленных по форме приложений 119, 120 к настоящему Регламенту, указывается дата прекращения осуществления оплаты за участника оптового рынка третьим лицом. Указанная дата должна быть не ранее следующего рабочего дня с даты принятия к учету уведомления об осуществлении оплаты за участника оптового рынка третьим лицом. </w:t>
            </w:r>
          </w:p>
          <w:p w:rsidR="0011370A" w:rsidRDefault="00DE2E11">
            <w:pPr>
              <w:spacing w:before="120" w:after="120"/>
              <w:ind w:firstLine="600"/>
              <w:jc w:val="both"/>
              <w:rPr>
                <w:rFonts w:ascii="Garamond" w:hAnsi="Garamond"/>
                <w:spacing w:val="1"/>
                <w:highlight w:val="yellow"/>
              </w:rPr>
            </w:pPr>
            <w:r w:rsidRPr="00236D66">
              <w:rPr>
                <w:rFonts w:ascii="Garamond" w:hAnsi="Garamond"/>
                <w:spacing w:val="1"/>
                <w:highlight w:val="yellow"/>
              </w:rPr>
              <w:t>У</w:t>
            </w:r>
            <w:r>
              <w:rPr>
                <w:rFonts w:ascii="Garamond" w:hAnsi="Garamond"/>
                <w:spacing w:val="1"/>
              </w:rPr>
              <w:t>ведомления по форме приложени</w:t>
            </w:r>
            <w:r w:rsidR="00236D66">
              <w:rPr>
                <w:rFonts w:ascii="Garamond" w:hAnsi="Garamond"/>
                <w:spacing w:val="1"/>
              </w:rPr>
              <w:t>й</w:t>
            </w:r>
            <w:r>
              <w:rPr>
                <w:rFonts w:ascii="Garamond" w:hAnsi="Garamond"/>
                <w:spacing w:val="1"/>
              </w:rPr>
              <w:t xml:space="preserve"> 119, 120 к настоящему Регламенту </w:t>
            </w:r>
            <w:r>
              <w:rPr>
                <w:rFonts w:ascii="Garamond" w:hAnsi="Garamond"/>
                <w:spacing w:val="1"/>
                <w:highlight w:val="yellow"/>
              </w:rPr>
              <w:t>направляются</w:t>
            </w:r>
            <w:r>
              <w:rPr>
                <w:rFonts w:ascii="Garamond" w:hAnsi="Garamond"/>
                <w:spacing w:val="1"/>
              </w:rPr>
              <w:t xml:space="preserve"> участником-должником либо участником-гарантом не позднее одного рабочего дня до даты прекращения осуществления оплаты за участника оптового рынка третьим лицом</w:t>
            </w:r>
            <w:r>
              <w:rPr>
                <w:rFonts w:ascii="Garamond" w:hAnsi="Garamond"/>
                <w:spacing w:val="1"/>
                <w:highlight w:val="yellow"/>
              </w:rPr>
              <w:t>, указанной в перечисленных уведомлениях.</w:t>
            </w:r>
          </w:p>
          <w:p w:rsidR="0011370A" w:rsidRDefault="00DE2E11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pacing w:val="1"/>
                <w:highlight w:val="yellow"/>
              </w:rPr>
              <w:t>В случае поступления в ЦФР уведомлений по форме приложени</w:t>
            </w:r>
            <w:r w:rsidR="00236D66">
              <w:rPr>
                <w:rFonts w:ascii="Garamond" w:hAnsi="Garamond"/>
                <w:spacing w:val="1"/>
                <w:highlight w:val="yellow"/>
              </w:rPr>
              <w:t>й</w:t>
            </w:r>
            <w:r>
              <w:rPr>
                <w:rFonts w:ascii="Garamond" w:hAnsi="Garamond"/>
                <w:spacing w:val="1"/>
                <w:highlight w:val="yellow"/>
              </w:rPr>
              <w:t xml:space="preserve"> 119, 120 к настоящему Регламенту в дату прекращения</w:t>
            </w:r>
            <w:r>
              <w:t xml:space="preserve"> </w:t>
            </w:r>
            <w:r>
              <w:rPr>
                <w:rFonts w:ascii="Garamond" w:hAnsi="Garamond"/>
                <w:spacing w:val="1"/>
              </w:rPr>
              <w:t>осуществления оплаты за участника оптового рынка третьим лицом</w:t>
            </w:r>
            <w:r>
              <w:rPr>
                <w:rFonts w:ascii="Garamond" w:hAnsi="Garamond"/>
                <w:spacing w:val="1"/>
                <w:highlight w:val="yellow"/>
              </w:rPr>
              <w:t>, указанную в уведомлени</w:t>
            </w:r>
            <w:r w:rsidR="00236D66">
              <w:rPr>
                <w:rFonts w:ascii="Garamond" w:hAnsi="Garamond"/>
                <w:spacing w:val="1"/>
                <w:highlight w:val="yellow"/>
              </w:rPr>
              <w:t>ях, или позднее указанной даты,</w:t>
            </w:r>
            <w:r>
              <w:rPr>
                <w:rFonts w:ascii="Garamond" w:hAnsi="Garamond"/>
                <w:spacing w:val="1"/>
                <w:highlight w:val="yellow"/>
              </w:rPr>
              <w:t xml:space="preserve"> в целях применения положений настоящего Регламента датой </w:t>
            </w:r>
            <w:r>
              <w:rPr>
                <w:rFonts w:ascii="Garamond" w:hAnsi="Garamond"/>
                <w:highlight w:val="yellow"/>
              </w:rPr>
              <w:t>прекращения осуществления оплаты за участника оптового рынка третьим лицом будет считаться первый рабочий день, следующий за датой поступления в ЦФР уведомлений по форме приложений 119, 120 к настоящему Регламенту, направленных участником-должником либо участником-гарантом.</w:t>
            </w:r>
          </w:p>
          <w:p w:rsidR="0011370A" w:rsidRDefault="00DE2E11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Не позднее второго рабочего дня после дня получения от участника-должника или участника-гаранта соответствующего уведомления ЦФР уведомляет о прекращении осуществления оплаты за участника оптового рынка третьим лицом участника-гаранта и участника-должника путем публикации для указанных участников оптового рынка информации с применением ЭП на сайте КО, в разделах с ограниченным в соответствии с Правилами ЭДО СЭД КО доступом, по форме приложения 27а к настоящему Регламенту.</w:t>
            </w:r>
          </w:p>
          <w:p w:rsidR="0011370A" w:rsidRDefault="00DE2E11">
            <w:pPr>
              <w:suppressAutoHyphens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 даты прекращения осуществления оплаты за участника оптового рынка третьим лицом, указанной в уведомлениях, направленных по форме приложений 119, 120 к настоящему Регламенту, ЦФР включает обязательства участника-должника, указанные в уведомлении, в Сводный реестр платежей участников оптового рынка, направляемый в уполномоченную кредитную организацию, для списания денежных средств с торгового счета участника-должника.</w:t>
            </w:r>
          </w:p>
        </w:tc>
      </w:tr>
    </w:tbl>
    <w:p w:rsidR="0011370A" w:rsidRDefault="0011370A">
      <w:pPr>
        <w:spacing w:after="0" w:line="240" w:lineRule="auto"/>
        <w:jc w:val="both"/>
        <w:rPr>
          <w:rFonts w:ascii="Garamond" w:hAnsi="Garamond"/>
          <w:b/>
          <w:sz w:val="26"/>
        </w:rPr>
      </w:pPr>
    </w:p>
    <w:p w:rsidR="0011370A" w:rsidRDefault="0011370A">
      <w:pPr>
        <w:spacing w:after="0" w:line="240" w:lineRule="auto"/>
        <w:jc w:val="both"/>
        <w:rPr>
          <w:rFonts w:ascii="Garamond" w:hAnsi="Garamond"/>
          <w:b/>
          <w:sz w:val="26"/>
        </w:rPr>
      </w:pPr>
    </w:p>
    <w:p w:rsidR="0011370A" w:rsidRDefault="0011370A">
      <w:pPr>
        <w:spacing w:after="0" w:line="240" w:lineRule="auto"/>
        <w:jc w:val="both"/>
        <w:rPr>
          <w:rFonts w:ascii="Garamond" w:hAnsi="Garamond"/>
          <w:b/>
          <w:sz w:val="26"/>
        </w:rPr>
      </w:pPr>
    </w:p>
    <w:p w:rsidR="0011370A" w:rsidRPr="00236D66" w:rsidRDefault="00DE2E11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236D66">
        <w:rPr>
          <w:rFonts w:ascii="Garamond" w:hAnsi="Garamond"/>
          <w:b/>
          <w:sz w:val="24"/>
          <w:szCs w:val="24"/>
        </w:rPr>
        <w:lastRenderedPageBreak/>
        <w:t>Действующая редакция</w:t>
      </w:r>
    </w:p>
    <w:p w:rsidR="0011370A" w:rsidRDefault="00DE2E11">
      <w:pPr>
        <w:pStyle w:val="af1"/>
        <w:jc w:val="right"/>
        <w:rPr>
          <w:b/>
        </w:rPr>
      </w:pPr>
      <w:r>
        <w:rPr>
          <w:b/>
        </w:rPr>
        <w:t>Приложение 33г</w:t>
      </w:r>
    </w:p>
    <w:p w:rsidR="0011370A" w:rsidRDefault="0011370A">
      <w:pPr>
        <w:jc w:val="right"/>
        <w:rPr>
          <w:b/>
        </w:rPr>
      </w:pPr>
    </w:p>
    <w:tbl>
      <w:tblPr>
        <w:tblW w:w="5296" w:type="pct"/>
        <w:tblInd w:w="-432" w:type="dxa"/>
        <w:tblLayout w:type="fixed"/>
        <w:tblLook w:val="04A0" w:firstRow="1" w:lastRow="0" w:firstColumn="1" w:lastColumn="0" w:noHBand="0" w:noVBand="1"/>
      </w:tblPr>
      <w:tblGrid>
        <w:gridCol w:w="1463"/>
        <w:gridCol w:w="114"/>
        <w:gridCol w:w="1268"/>
        <w:gridCol w:w="1261"/>
        <w:gridCol w:w="1274"/>
        <w:gridCol w:w="25"/>
        <w:gridCol w:w="1781"/>
        <w:gridCol w:w="1233"/>
        <w:gridCol w:w="1381"/>
        <w:gridCol w:w="1554"/>
        <w:gridCol w:w="1271"/>
        <w:gridCol w:w="1340"/>
        <w:gridCol w:w="1800"/>
      </w:tblGrid>
      <w:tr w:rsidR="0011370A">
        <w:trPr>
          <w:trHeight w:val="315"/>
        </w:trPr>
        <w:tc>
          <w:tcPr>
            <w:tcW w:w="266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Отчет о состоянии матричных обязательств по оплате пени </w:t>
            </w:r>
          </w:p>
          <w:p w:rsidR="0011370A" w:rsidRDefault="00DE2E11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 &lt;месяц, год&gt;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:rsidR="0011370A" w:rsidRDefault="0011370A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  <w:tr w:rsidR="0011370A">
        <w:trPr>
          <w:trHeight w:val="255"/>
        </w:trPr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</w:tr>
      <w:tr w:rsidR="0011370A">
        <w:trPr>
          <w:trHeight w:val="255"/>
        </w:trPr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</w:tr>
      <w:tr w:rsidR="0011370A">
        <w:trPr>
          <w:trHeight w:val="255"/>
        </w:trPr>
        <w:tc>
          <w:tcPr>
            <w:tcW w:w="1301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 формирования отчета: dd.mm.yyyy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 участника: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1370A">
        <w:trPr>
          <w:trHeight w:val="255"/>
        </w:trPr>
        <w:tc>
          <w:tcPr>
            <w:tcW w:w="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</w:tcPr>
          <w:p w:rsidR="0011370A" w:rsidRDefault="0011370A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1370A">
        <w:trPr>
          <w:trHeight w:val="255"/>
        </w:trPr>
        <w:tc>
          <w:tcPr>
            <w:tcW w:w="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участника: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1370A">
        <w:trPr>
          <w:trHeight w:val="255"/>
        </w:trPr>
        <w:tc>
          <w:tcPr>
            <w:tcW w:w="1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Торговый счет: 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</w:tcPr>
          <w:p w:rsidR="0011370A" w:rsidRDefault="0011370A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1370A">
        <w:trPr>
          <w:trHeight w:val="255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Пени к уплате 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</w:tcPr>
          <w:p w:rsidR="0011370A" w:rsidRDefault="0011370A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1370A">
        <w:trPr>
          <w:trHeight w:val="255"/>
        </w:trPr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Договор купли-продажи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Получатель пени</w:t>
            </w:r>
          </w:p>
        </w:tc>
        <w:tc>
          <w:tcPr>
            <w:tcW w:w="4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 платежа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Период обязательства (месяц)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Рассчитанная сумма пени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Задолженность на начало месяца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Оплачено через УКО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FFFF"/>
          </w:tcPr>
          <w:p w:rsidR="0011370A" w:rsidRDefault="00DE2E1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Оплачено вне УКО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Передано по цессии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Задолженность на конец месяца </w:t>
            </w:r>
          </w:p>
        </w:tc>
      </w:tr>
      <w:tr w:rsidR="0011370A">
        <w:trPr>
          <w:trHeight w:val="255"/>
        </w:trPr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70A" w:rsidRDefault="0011370A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Комитент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Договор комиссии</w:t>
            </w:r>
          </w:p>
        </w:tc>
        <w:tc>
          <w:tcPr>
            <w:tcW w:w="4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70A" w:rsidRDefault="0011370A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70A" w:rsidRDefault="0011370A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70A" w:rsidRDefault="0011370A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70A" w:rsidRDefault="0011370A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70A" w:rsidRDefault="0011370A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70A" w:rsidRDefault="00113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70A" w:rsidRDefault="0011370A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70A" w:rsidRDefault="0011370A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  <w:tr w:rsidR="0011370A">
        <w:trPr>
          <w:trHeight w:val="255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3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1370A">
        <w:trPr>
          <w:trHeight w:val="255"/>
        </w:trPr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370A" w:rsidRDefault="00DE2E11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1370A">
        <w:trPr>
          <w:trHeight w:val="255"/>
        </w:trPr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</w:tr>
      <w:tr w:rsidR="0011370A">
        <w:trPr>
          <w:trHeight w:val="255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Пени к получению 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</w:tcPr>
          <w:p w:rsidR="0011370A" w:rsidRDefault="0011370A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1370A">
        <w:trPr>
          <w:trHeight w:val="255"/>
        </w:trPr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Договор комиссии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Плательщик пени</w:t>
            </w:r>
          </w:p>
        </w:tc>
        <w:tc>
          <w:tcPr>
            <w:tcW w:w="41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 платежа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Период обязательства (месяц)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Рассчитанная сумма пени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Задолженность на начало месяца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Оплачено через УКО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CFFFF"/>
          </w:tcPr>
          <w:p w:rsidR="0011370A" w:rsidRDefault="00DE2E1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Оплачено вне УКО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Передано по цессии</w:t>
            </w:r>
          </w:p>
        </w:tc>
        <w:tc>
          <w:tcPr>
            <w:tcW w:w="5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Задолженность на конец месяца </w:t>
            </w:r>
          </w:p>
        </w:tc>
      </w:tr>
      <w:tr w:rsidR="0011370A">
        <w:trPr>
          <w:trHeight w:val="510"/>
        </w:trPr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70A" w:rsidRDefault="0011370A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Покупатель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Договор купли-продажи</w:t>
            </w:r>
          </w:p>
        </w:tc>
        <w:tc>
          <w:tcPr>
            <w:tcW w:w="4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70A" w:rsidRDefault="0011370A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70A" w:rsidRDefault="0011370A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70A" w:rsidRDefault="0011370A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70A" w:rsidRDefault="0011370A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70A" w:rsidRDefault="0011370A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70A" w:rsidRDefault="0011370A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70A" w:rsidRDefault="0011370A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70A" w:rsidRDefault="0011370A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  <w:tr w:rsidR="0011370A">
        <w:trPr>
          <w:trHeight w:val="255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3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1370A">
        <w:trPr>
          <w:trHeight w:val="255"/>
        </w:trPr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370A" w:rsidRDefault="00DE2E11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70A" w:rsidRDefault="001137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11370A" w:rsidRDefault="00DE2E11">
      <w:pPr>
        <w:spacing w:after="0" w:line="240" w:lineRule="auto"/>
        <w:jc w:val="both"/>
        <w:rPr>
          <w:rFonts w:ascii="Garamond" w:hAnsi="Garamond"/>
          <w:b/>
          <w:sz w:val="26"/>
        </w:rPr>
      </w:pPr>
      <w:r>
        <w:br w:type="page"/>
      </w:r>
    </w:p>
    <w:p w:rsidR="0011370A" w:rsidRPr="00236D66" w:rsidRDefault="00DE2E11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236D66">
        <w:rPr>
          <w:rFonts w:ascii="Garamond" w:hAnsi="Garamond"/>
          <w:b/>
          <w:sz w:val="24"/>
          <w:szCs w:val="24"/>
        </w:rPr>
        <w:lastRenderedPageBreak/>
        <w:t>Предлагаемая редакция</w:t>
      </w:r>
    </w:p>
    <w:p w:rsidR="0011370A" w:rsidRDefault="00DE2E11">
      <w:pPr>
        <w:pStyle w:val="af1"/>
        <w:jc w:val="right"/>
        <w:rPr>
          <w:b/>
        </w:rPr>
      </w:pPr>
      <w:r>
        <w:rPr>
          <w:b/>
        </w:rPr>
        <w:t>Приложение 33г</w:t>
      </w:r>
    </w:p>
    <w:p w:rsidR="0011370A" w:rsidRDefault="0011370A">
      <w:pPr>
        <w:jc w:val="right"/>
        <w:rPr>
          <w:b/>
        </w:rPr>
      </w:pPr>
    </w:p>
    <w:tbl>
      <w:tblPr>
        <w:tblW w:w="5288" w:type="pct"/>
        <w:tblInd w:w="-432" w:type="dxa"/>
        <w:tblLayout w:type="fixed"/>
        <w:tblLook w:val="04A0" w:firstRow="1" w:lastRow="0" w:firstColumn="1" w:lastColumn="0" w:noHBand="0" w:noVBand="1"/>
      </w:tblPr>
      <w:tblGrid>
        <w:gridCol w:w="1847"/>
        <w:gridCol w:w="112"/>
        <w:gridCol w:w="1023"/>
        <w:gridCol w:w="142"/>
        <w:gridCol w:w="1203"/>
        <w:gridCol w:w="1067"/>
        <w:gridCol w:w="205"/>
        <w:gridCol w:w="1354"/>
        <w:gridCol w:w="1417"/>
        <w:gridCol w:w="1700"/>
        <w:gridCol w:w="1187"/>
        <w:gridCol w:w="1272"/>
        <w:gridCol w:w="1565"/>
        <w:gridCol w:w="1647"/>
      </w:tblGrid>
      <w:tr w:rsidR="0011370A">
        <w:trPr>
          <w:trHeight w:val="315"/>
        </w:trPr>
        <w:tc>
          <w:tcPr>
            <w:tcW w:w="265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Отчет о состоянии матричных обязательств по оплате пени </w:t>
            </w:r>
          </w:p>
          <w:p w:rsidR="0011370A" w:rsidRDefault="00DE2E11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за &lt;месяц, год&gt;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:rsidR="0011370A" w:rsidRDefault="0011370A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11370A">
        <w:trPr>
          <w:trHeight w:val="255"/>
        </w:trPr>
        <w:tc>
          <w:tcPr>
            <w:tcW w:w="6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11370A">
        <w:trPr>
          <w:trHeight w:val="255"/>
        </w:trPr>
        <w:tc>
          <w:tcPr>
            <w:tcW w:w="6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11370A">
        <w:trPr>
          <w:trHeight w:val="255"/>
        </w:trPr>
        <w:tc>
          <w:tcPr>
            <w:tcW w:w="1374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Дата формирования отчета: dd.mm.yyyy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Код участника: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 </w:t>
            </w:r>
          </w:p>
        </w:tc>
      </w:tr>
      <w:tr w:rsidR="0011370A">
        <w:trPr>
          <w:trHeight w:val="255"/>
        </w:trPr>
        <w:tc>
          <w:tcPr>
            <w:tcW w:w="62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</w:tcPr>
          <w:p w:rsidR="0011370A" w:rsidRDefault="0011370A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</w:p>
        </w:tc>
      </w:tr>
      <w:tr w:rsidR="0011370A">
        <w:trPr>
          <w:trHeight w:val="255"/>
        </w:trPr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Наименование участника: 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 </w:t>
            </w:r>
          </w:p>
        </w:tc>
      </w:tr>
      <w:tr w:rsidR="0011370A">
        <w:trPr>
          <w:trHeight w:val="255"/>
        </w:trPr>
        <w:tc>
          <w:tcPr>
            <w:tcW w:w="13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Торговый счет: 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</w:tcPr>
          <w:p w:rsidR="0011370A" w:rsidRDefault="0011370A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</w:p>
        </w:tc>
      </w:tr>
      <w:tr w:rsidR="0011370A">
        <w:trPr>
          <w:trHeight w:val="255"/>
        </w:trPr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Пени к уплате 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</w:tcPr>
          <w:p w:rsidR="0011370A" w:rsidRDefault="0011370A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</w:p>
        </w:tc>
      </w:tr>
      <w:tr w:rsidR="0011370A">
        <w:trPr>
          <w:trHeight w:val="255"/>
        </w:trPr>
        <w:tc>
          <w:tcPr>
            <w:tcW w:w="5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Договор купли-продажи</w:t>
            </w:r>
          </w:p>
        </w:tc>
        <w:tc>
          <w:tcPr>
            <w:tcW w:w="7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Получатель пени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Дата платежа</w:t>
            </w:r>
          </w:p>
        </w:tc>
        <w:tc>
          <w:tcPr>
            <w:tcW w:w="4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Период обязательства (месяц)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Рассчитанная сумма пени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Задолженность на начало месяца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Оплачено через УКО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FFFF"/>
          </w:tcPr>
          <w:p w:rsidR="0011370A" w:rsidRDefault="00DE2E11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Оплачено вне УКО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  <w:highlight w:val="yellow"/>
              </w:rPr>
              <w:t>Прекращено</w:t>
            </w:r>
            <w:r>
              <w:rPr>
                <w:rFonts w:ascii="Garamond" w:hAnsi="Garamond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Задолженность на конец месяца </w:t>
            </w:r>
          </w:p>
        </w:tc>
      </w:tr>
      <w:tr w:rsidR="0011370A">
        <w:trPr>
          <w:trHeight w:val="255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70A" w:rsidRDefault="0011370A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Комитент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Договор комиссии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70A" w:rsidRDefault="0011370A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70A" w:rsidRDefault="0011370A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70A" w:rsidRDefault="0011370A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70A" w:rsidRDefault="0011370A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70A" w:rsidRDefault="0011370A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70A" w:rsidRDefault="0011370A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70A" w:rsidRDefault="0011370A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70A" w:rsidRDefault="0011370A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11370A">
        <w:trPr>
          <w:trHeight w:val="255"/>
        </w:trPr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 </w:t>
            </w:r>
          </w:p>
        </w:tc>
      </w:tr>
      <w:tr w:rsidR="0011370A">
        <w:trPr>
          <w:trHeight w:val="255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370A" w:rsidRDefault="00DE2E11">
            <w:pPr>
              <w:spacing w:after="0"/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Итого: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 </w:t>
            </w:r>
          </w:p>
        </w:tc>
      </w:tr>
      <w:tr w:rsidR="0011370A">
        <w:trPr>
          <w:trHeight w:val="255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11370A">
        <w:trPr>
          <w:trHeight w:val="255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Пени к получению 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</w:tcPr>
          <w:p w:rsidR="0011370A" w:rsidRDefault="0011370A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</w:p>
        </w:tc>
      </w:tr>
      <w:tr w:rsidR="0011370A">
        <w:trPr>
          <w:trHeight w:val="255"/>
        </w:trPr>
        <w:tc>
          <w:tcPr>
            <w:tcW w:w="5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Договор комиссии</w:t>
            </w:r>
          </w:p>
        </w:tc>
        <w:tc>
          <w:tcPr>
            <w:tcW w:w="7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Плательщик пени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Дата платежа</w:t>
            </w:r>
          </w:p>
        </w:tc>
        <w:tc>
          <w:tcPr>
            <w:tcW w:w="49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Период обязательства (месяц)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Рассчитанная сумма пени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Задолженность на начало месяца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Оплачено через УКО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CFFFF"/>
          </w:tcPr>
          <w:p w:rsidR="0011370A" w:rsidRDefault="00DE2E11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Оплачено вне УКО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  <w:highlight w:val="yellow"/>
              </w:rPr>
              <w:t>Прекращено</w:t>
            </w:r>
            <w:r>
              <w:rPr>
                <w:rFonts w:ascii="Garamond" w:hAnsi="Garamond"/>
                <w:b/>
                <w:bCs/>
                <w:sz w:val="20"/>
                <w:szCs w:val="20"/>
                <w:highlight w:val="yellow"/>
                <w:vertAlign w:val="superscript"/>
              </w:rPr>
              <w:t>*</w:t>
            </w:r>
          </w:p>
        </w:tc>
        <w:tc>
          <w:tcPr>
            <w:tcW w:w="5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Задолженность на конец месяца </w:t>
            </w:r>
          </w:p>
        </w:tc>
      </w:tr>
      <w:tr w:rsidR="0011370A">
        <w:trPr>
          <w:trHeight w:val="510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70A" w:rsidRDefault="0011370A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Покупатель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11370A" w:rsidRDefault="00DE2E11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Договор купли-продажи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70A" w:rsidRDefault="0011370A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70A" w:rsidRDefault="0011370A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70A" w:rsidRDefault="0011370A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70A" w:rsidRDefault="0011370A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70A" w:rsidRDefault="0011370A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70A" w:rsidRDefault="0011370A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70A" w:rsidRDefault="0011370A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5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70A" w:rsidRDefault="0011370A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11370A">
        <w:trPr>
          <w:trHeight w:val="255"/>
        </w:trPr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 </w:t>
            </w:r>
          </w:p>
        </w:tc>
      </w:tr>
      <w:tr w:rsidR="0011370A">
        <w:trPr>
          <w:trHeight w:val="255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370A" w:rsidRDefault="00DE2E11">
            <w:pPr>
              <w:spacing w:after="0"/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Итого: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70A" w:rsidRDefault="0011370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0A" w:rsidRDefault="00DE2E11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 </w:t>
            </w:r>
          </w:p>
        </w:tc>
      </w:tr>
    </w:tbl>
    <w:p w:rsidR="0011370A" w:rsidRDefault="0011370A">
      <w:pPr>
        <w:spacing w:after="0" w:line="240" w:lineRule="auto"/>
        <w:jc w:val="both"/>
        <w:rPr>
          <w:rFonts w:ascii="Garamond" w:hAnsi="Garamond"/>
          <w:b/>
          <w:sz w:val="26"/>
          <w:vertAlign w:val="superscript"/>
        </w:rPr>
      </w:pPr>
    </w:p>
    <w:p w:rsidR="0011370A" w:rsidRPr="00236D66" w:rsidRDefault="00DE2E1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236D66">
        <w:rPr>
          <w:rFonts w:ascii="Garamond" w:hAnsi="Garamond"/>
          <w:b/>
          <w:sz w:val="20"/>
          <w:szCs w:val="20"/>
          <w:highlight w:val="yellow"/>
          <w:vertAlign w:val="superscript"/>
        </w:rPr>
        <w:t xml:space="preserve">* </w:t>
      </w:r>
      <w:r w:rsidRPr="00236D66">
        <w:rPr>
          <w:rFonts w:ascii="Garamond" w:hAnsi="Garamond"/>
          <w:sz w:val="20"/>
          <w:szCs w:val="20"/>
          <w:highlight w:val="yellow"/>
        </w:rPr>
        <w:t>Сумма прекращенных обязательств и обязательств, учет которых прекращен АО «ЦФР» в отчетном периоде (месяце) в соответствии с Регламентом финансовых расчетов на оптовом рынке электроэнергии (в том числе сумма обязательств по оплате неустойки (пени), рассчитанной в части, соответствующей размеру обязательств, указанному в заключенных договорах уступки прав (цессии))</w:t>
      </w:r>
      <w:r w:rsidR="00470371" w:rsidRPr="00236D66">
        <w:rPr>
          <w:rFonts w:ascii="Garamond" w:hAnsi="Garamond"/>
          <w:sz w:val="20"/>
          <w:szCs w:val="20"/>
        </w:rPr>
        <w:t>.</w:t>
      </w:r>
    </w:p>
    <w:p w:rsidR="0011370A" w:rsidRDefault="0011370A">
      <w:pPr>
        <w:spacing w:after="0" w:line="240" w:lineRule="auto"/>
        <w:jc w:val="both"/>
        <w:rPr>
          <w:rFonts w:ascii="Garamond" w:hAnsi="Garamond"/>
        </w:rPr>
      </w:pPr>
    </w:p>
    <w:p w:rsidR="0011370A" w:rsidRDefault="0011370A">
      <w:pPr>
        <w:spacing w:after="0" w:line="240" w:lineRule="auto"/>
        <w:jc w:val="both"/>
        <w:rPr>
          <w:rFonts w:ascii="Garamond" w:hAnsi="Garamond"/>
        </w:rPr>
      </w:pPr>
    </w:p>
    <w:p w:rsidR="0011370A" w:rsidRDefault="0011370A">
      <w:pPr>
        <w:spacing w:after="0" w:line="240" w:lineRule="auto"/>
        <w:rPr>
          <w:rFonts w:ascii="Garamond" w:hAnsi="Garamond"/>
          <w:b/>
          <w:bCs/>
        </w:rPr>
      </w:pPr>
    </w:p>
    <w:p w:rsidR="0011370A" w:rsidRDefault="0011370A">
      <w:pPr>
        <w:spacing w:after="0" w:line="240" w:lineRule="auto"/>
        <w:rPr>
          <w:rFonts w:ascii="Garamond" w:hAnsi="Garamond"/>
          <w:b/>
          <w:bCs/>
        </w:rPr>
      </w:pPr>
    </w:p>
    <w:p w:rsidR="0011370A" w:rsidRDefault="0011370A">
      <w:pPr>
        <w:spacing w:after="0" w:line="240" w:lineRule="auto"/>
        <w:rPr>
          <w:rFonts w:ascii="Garamond" w:hAnsi="Garamond"/>
          <w:b/>
          <w:bCs/>
        </w:rPr>
      </w:pPr>
    </w:p>
    <w:p w:rsidR="0011370A" w:rsidRDefault="0011370A">
      <w:pPr>
        <w:spacing w:after="0" w:line="240" w:lineRule="auto"/>
        <w:rPr>
          <w:rFonts w:ascii="Garamond" w:hAnsi="Garamond"/>
          <w:b/>
          <w:bCs/>
        </w:rPr>
      </w:pPr>
    </w:p>
    <w:p w:rsidR="0011370A" w:rsidRDefault="00DE2E11" w:rsidP="00DE2E11">
      <w:pPr>
        <w:spacing w:after="0" w:line="240" w:lineRule="auto"/>
        <w:rPr>
          <w:rFonts w:ascii="Garamond" w:eastAsia="Times New Roman" w:hAnsi="Garamond"/>
          <w:b/>
          <w:iCs/>
          <w:sz w:val="26"/>
          <w:szCs w:val="26"/>
          <w:lang w:eastAsia="ru-RU"/>
        </w:rPr>
      </w:pPr>
      <w:r>
        <w:rPr>
          <w:rFonts w:ascii="Garamond" w:eastAsia="Times New Roman" w:hAnsi="Garamond"/>
          <w:b/>
          <w:iCs/>
          <w:sz w:val="26"/>
          <w:szCs w:val="26"/>
          <w:lang w:eastAsia="ru-RU"/>
        </w:rPr>
        <w:lastRenderedPageBreak/>
        <w:t>Предложения по изменениям и дополнениям в СОГЛАШЕНИЕ О П</w:t>
      </w:r>
      <w:r w:rsidR="00236D66">
        <w:rPr>
          <w:rFonts w:ascii="Garamond" w:eastAsia="Times New Roman" w:hAnsi="Garamond"/>
          <w:b/>
          <w:iCs/>
          <w:sz w:val="26"/>
          <w:szCs w:val="26"/>
          <w:lang w:eastAsia="ru-RU"/>
        </w:rPr>
        <w:t>РИМЕНЕНИИ ЭЛЕКТРОННОЙ ПОДПИСИ В </w:t>
      </w:r>
      <w:r>
        <w:rPr>
          <w:rFonts w:ascii="Garamond" w:eastAsia="Times New Roman" w:hAnsi="Garamond"/>
          <w:b/>
          <w:iCs/>
          <w:sz w:val="26"/>
          <w:szCs w:val="26"/>
          <w:lang w:eastAsia="ru-RU"/>
        </w:rPr>
        <w:t>ТОРГОВОЙ СИСТЕМЕ ОПТОВОГО РЫНКА (Приложение № Д 7 к Договору о присоединении к торговой системе оптового рынка)</w:t>
      </w:r>
    </w:p>
    <w:p w:rsidR="0011370A" w:rsidRDefault="0011370A">
      <w:pPr>
        <w:spacing w:after="0"/>
        <w:rPr>
          <w:b/>
          <w:iCs/>
          <w:sz w:val="26"/>
          <w:szCs w:val="26"/>
        </w:rPr>
      </w:pPr>
    </w:p>
    <w:p w:rsidR="0011370A" w:rsidRDefault="00DE2E11">
      <w:pPr>
        <w:widowControl w:val="0"/>
        <w:spacing w:after="0" w:line="240" w:lineRule="auto"/>
        <w:rPr>
          <w:rFonts w:ascii="Garamond" w:eastAsia="Times New Roman" w:hAnsi="Garamond"/>
          <w:b/>
          <w:sz w:val="24"/>
          <w:szCs w:val="24"/>
          <w:lang w:eastAsia="ru-RU"/>
        </w:rPr>
      </w:pPr>
      <w:r>
        <w:rPr>
          <w:rFonts w:ascii="Garamond" w:eastAsia="Times New Roman" w:hAnsi="Garamond"/>
          <w:b/>
          <w:sz w:val="24"/>
          <w:szCs w:val="24"/>
          <w:lang w:eastAsia="ru-RU"/>
        </w:rPr>
        <w:t>Действующая редакция</w:t>
      </w:r>
    </w:p>
    <w:p w:rsidR="008671CA" w:rsidRDefault="008671CA">
      <w:pPr>
        <w:widowControl w:val="0"/>
        <w:spacing w:after="0" w:line="240" w:lineRule="auto"/>
        <w:rPr>
          <w:rFonts w:ascii="Garamond" w:eastAsia="Times New Roman" w:hAnsi="Garamond"/>
          <w:b/>
          <w:sz w:val="24"/>
          <w:szCs w:val="24"/>
          <w:lang w:eastAsia="ru-RU"/>
        </w:rPr>
      </w:pPr>
    </w:p>
    <w:tbl>
      <w:tblPr>
        <w:tblW w:w="16007" w:type="dxa"/>
        <w:jc w:val="center"/>
        <w:tblLayout w:type="fixed"/>
        <w:tblLook w:val="00A0" w:firstRow="1" w:lastRow="0" w:firstColumn="1" w:lastColumn="0" w:noHBand="0" w:noVBand="0"/>
      </w:tblPr>
      <w:tblGrid>
        <w:gridCol w:w="988"/>
        <w:gridCol w:w="2262"/>
        <w:gridCol w:w="1350"/>
        <w:gridCol w:w="777"/>
        <w:gridCol w:w="767"/>
        <w:gridCol w:w="795"/>
        <w:gridCol w:w="1131"/>
        <w:gridCol w:w="1134"/>
        <w:gridCol w:w="851"/>
        <w:gridCol w:w="2125"/>
        <w:gridCol w:w="1276"/>
        <w:gridCol w:w="953"/>
        <w:gridCol w:w="1031"/>
        <w:gridCol w:w="567"/>
      </w:tblGrid>
      <w:tr w:rsidR="008671CA" w:rsidTr="00DE2E11">
        <w:trPr>
          <w:trHeight w:val="77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671CA" w:rsidRDefault="008671CA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Код формы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671CA" w:rsidRDefault="008671CA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Наименование формы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671CA" w:rsidRDefault="008671CA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Основание предоставления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671CA" w:rsidRDefault="008671CA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671CA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Формат содержательной части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671CA" w:rsidRDefault="008671CA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Отправитель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671CA" w:rsidRDefault="008671CA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Получатель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671CA" w:rsidRDefault="008671CA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Способ доставки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671CA" w:rsidRDefault="008671CA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671CA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Подтверждение получения документом-квитанцией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671CA" w:rsidRDefault="008671CA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671CA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Необходимость шифрования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671CA" w:rsidRDefault="008671CA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671CA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Идентификатор (OID), определяющий требуемые для подписания ЭД полн</w:t>
            </w:r>
            <w:r w:rsidR="00764AF3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 xml:space="preserve">омочия представителя участника </w:t>
            </w:r>
            <w:r w:rsidRPr="008671CA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ЭДО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671CA" w:rsidRDefault="008671CA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 отображения и изготовления бумажных копий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671CA" w:rsidRDefault="008671CA" w:rsidP="008671CA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Срок хранения в архиве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671CA" w:rsidRDefault="008671CA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Срок доступа через интерфейс сайта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671CA" w:rsidRDefault="008671CA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Примечания</w:t>
            </w:r>
          </w:p>
        </w:tc>
      </w:tr>
      <w:tr w:rsidR="008671CA" w:rsidTr="00DE2E11">
        <w:trPr>
          <w:trHeight w:val="77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1CA" w:rsidRDefault="008671CA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CFR_PART_MATRIX_PENY_MONTH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1CA" w:rsidRDefault="008671CA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Отчет о состоянии обязательств по оплате пени по матрице прикреплений участника оптового рынка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1CA" w:rsidRDefault="008671CA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Регламент № 16, раздел 9, приложение 33г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1CA" w:rsidRDefault="008671CA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8671CA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>xls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1CA" w:rsidRDefault="008671CA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ЦФР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1CA" w:rsidRDefault="008671CA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Участник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1CA" w:rsidRDefault="008671CA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сайт, персональный раздел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1CA" w:rsidRDefault="008671CA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1CA" w:rsidRDefault="008671CA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Нет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1CA" w:rsidRDefault="008671CA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1.3.6.1.4.1.18545.1.2.1.8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1CA" w:rsidRDefault="008671CA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Excel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1CA" w:rsidRDefault="008671CA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5 лет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CA" w:rsidRDefault="00867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1CA" w:rsidRDefault="00867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1370A" w:rsidRDefault="0011370A">
      <w:pPr>
        <w:spacing w:after="0" w:line="240" w:lineRule="auto"/>
        <w:rPr>
          <w:rFonts w:ascii="Garamond" w:hAnsi="Garamond"/>
          <w:b/>
          <w:bCs/>
        </w:rPr>
      </w:pPr>
    </w:p>
    <w:p w:rsidR="0011370A" w:rsidRPr="00764AF3" w:rsidRDefault="00DE2E11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764AF3">
        <w:rPr>
          <w:rFonts w:ascii="Garamond" w:hAnsi="Garamond"/>
          <w:b/>
          <w:bCs/>
          <w:sz w:val="24"/>
          <w:szCs w:val="24"/>
        </w:rPr>
        <w:t>Предлагаемая редакция</w:t>
      </w:r>
    </w:p>
    <w:p w:rsidR="0011370A" w:rsidRDefault="0011370A">
      <w:pPr>
        <w:spacing w:after="0" w:line="240" w:lineRule="auto"/>
        <w:rPr>
          <w:rFonts w:ascii="Garamond" w:hAnsi="Garamond"/>
          <w:b/>
          <w:bCs/>
        </w:rPr>
      </w:pPr>
    </w:p>
    <w:tbl>
      <w:tblPr>
        <w:tblW w:w="16297" w:type="dxa"/>
        <w:jc w:val="center"/>
        <w:tblLayout w:type="fixed"/>
        <w:tblLook w:val="00A0" w:firstRow="1" w:lastRow="0" w:firstColumn="1" w:lastColumn="0" w:noHBand="0" w:noVBand="0"/>
      </w:tblPr>
      <w:tblGrid>
        <w:gridCol w:w="988"/>
        <w:gridCol w:w="2268"/>
        <w:gridCol w:w="1139"/>
        <w:gridCol w:w="776"/>
        <w:gridCol w:w="767"/>
        <w:gridCol w:w="795"/>
        <w:gridCol w:w="1131"/>
        <w:gridCol w:w="1281"/>
        <w:gridCol w:w="851"/>
        <w:gridCol w:w="2126"/>
        <w:gridCol w:w="1544"/>
        <w:gridCol w:w="953"/>
        <w:gridCol w:w="1031"/>
        <w:gridCol w:w="647"/>
      </w:tblGrid>
      <w:tr w:rsidR="008671CA" w:rsidTr="00DE2E11">
        <w:trPr>
          <w:trHeight w:val="77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671CA" w:rsidRDefault="008671CA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Код формы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671CA" w:rsidRDefault="008671CA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Наименование формы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671CA" w:rsidRDefault="008671CA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Основание предоставления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671CA" w:rsidRDefault="008671CA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671CA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Формат содержательной части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671CA" w:rsidRDefault="008671CA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Отправитель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671CA" w:rsidRDefault="008671CA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Получатель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671CA" w:rsidRDefault="008671CA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Способ доставки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671CA" w:rsidRDefault="008671CA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671CA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Подтверждение получения документом-квитанцией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671CA" w:rsidRDefault="008671CA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671CA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Необходимость шифрования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671CA" w:rsidRDefault="008671CA" w:rsidP="00764AF3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671CA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Идентификатор (OID), определяющий требуемые для подписания ЭД полномочия представителя участника</w:t>
            </w:r>
            <w:bookmarkStart w:id="1" w:name="_GoBack"/>
            <w:bookmarkEnd w:id="1"/>
            <w:r w:rsidRPr="008671CA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 xml:space="preserve"> ЭДО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671CA" w:rsidRDefault="008671CA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 отображения и изготовления бумажных копий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671CA" w:rsidRDefault="008671CA" w:rsidP="008671CA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Срок хранения в архиве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671CA" w:rsidRDefault="008671CA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Срок доступа через интерфейс сайта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671CA" w:rsidRDefault="008671CA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Примечания</w:t>
            </w:r>
          </w:p>
        </w:tc>
      </w:tr>
      <w:tr w:rsidR="008671CA" w:rsidTr="00DE2E11">
        <w:trPr>
          <w:trHeight w:val="77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1CA" w:rsidRDefault="008671CA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CFR_PART_MATRIX_PENY_MONTH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1CA" w:rsidRDefault="008671CA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Отчет о состоянии обязательств по оплате пени по матрице прикреплений участника оптового рынка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1CA" w:rsidRDefault="008671CA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Регламент № 16, раздел 9, приложение 33г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1CA" w:rsidRDefault="008671CA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>xlsx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1CA" w:rsidRDefault="008671CA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ЦФР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1CA" w:rsidRDefault="008671CA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>ФСК,</w:t>
            </w:r>
            <w:r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 xml:space="preserve"> Участник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1CA" w:rsidRDefault="008671CA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сайт, персональный раздел участника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1CA" w:rsidRDefault="008671CA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1CA" w:rsidRDefault="008671CA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1CA" w:rsidRDefault="008671CA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1.3.6.1.4.1.18545.1.2.1.8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1CA" w:rsidRDefault="008671CA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Excel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1CA" w:rsidRDefault="008671CA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5 лет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CA" w:rsidRDefault="00867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1CA" w:rsidRDefault="00867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1370A" w:rsidRDefault="0011370A">
      <w:pPr>
        <w:spacing w:after="0" w:line="240" w:lineRule="auto"/>
        <w:rPr>
          <w:rFonts w:ascii="Garamond" w:hAnsi="Garamond"/>
          <w:b/>
          <w:bCs/>
        </w:rPr>
      </w:pPr>
    </w:p>
    <w:sectPr w:rsidR="0011370A">
      <w:pgSz w:w="16838" w:h="11906" w:orient="landscape"/>
      <w:pgMar w:top="1134" w:right="82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70A" w:rsidRDefault="00DE2E11">
      <w:pPr>
        <w:spacing w:after="0" w:line="240" w:lineRule="auto"/>
      </w:pPr>
      <w:r>
        <w:separator/>
      </w:r>
    </w:p>
  </w:endnote>
  <w:endnote w:type="continuationSeparator" w:id="0">
    <w:p w:rsidR="0011370A" w:rsidRDefault="00DE2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70A" w:rsidRDefault="00DE2E11">
      <w:pPr>
        <w:spacing w:after="0" w:line="240" w:lineRule="auto"/>
      </w:pPr>
      <w:r>
        <w:separator/>
      </w:r>
    </w:p>
  </w:footnote>
  <w:footnote w:type="continuationSeparator" w:id="0">
    <w:p w:rsidR="0011370A" w:rsidRDefault="00DE2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52D"/>
    <w:multiLevelType w:val="hybridMultilevel"/>
    <w:tmpl w:val="09B6CFE2"/>
    <w:lvl w:ilvl="0" w:tplc="4E905A00">
      <w:start w:val="1"/>
      <w:numFmt w:val="bullet"/>
      <w:lvlText w:val=""/>
      <w:lvlJc w:val="left"/>
      <w:pPr>
        <w:tabs>
          <w:tab w:val="num" w:pos="1113"/>
        </w:tabs>
        <w:ind w:left="1113" w:hanging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33"/>
        </w:tabs>
        <w:ind w:left="18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3"/>
        </w:tabs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3"/>
        </w:tabs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3"/>
        </w:tabs>
        <w:ind w:left="39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3"/>
        </w:tabs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3"/>
        </w:tabs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3"/>
        </w:tabs>
        <w:ind w:left="61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3"/>
        </w:tabs>
        <w:ind w:left="6873" w:hanging="360"/>
      </w:pPr>
      <w:rPr>
        <w:rFonts w:ascii="Wingdings" w:hAnsi="Wingdings" w:hint="default"/>
      </w:rPr>
    </w:lvl>
  </w:abstractNum>
  <w:abstractNum w:abstractNumId="1" w15:restartNumberingAfterBreak="0">
    <w:nsid w:val="05055159"/>
    <w:multiLevelType w:val="multilevel"/>
    <w:tmpl w:val="387C4BC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36" w:hanging="2160"/>
      </w:pPr>
      <w:rPr>
        <w:rFonts w:hint="default"/>
      </w:rPr>
    </w:lvl>
  </w:abstractNum>
  <w:abstractNum w:abstractNumId="2" w15:restartNumberingAfterBreak="0">
    <w:nsid w:val="0A297B6D"/>
    <w:multiLevelType w:val="hybridMultilevel"/>
    <w:tmpl w:val="96FA6262"/>
    <w:lvl w:ilvl="0" w:tplc="4BF09996">
      <w:start w:val="1"/>
      <w:numFmt w:val="bullet"/>
      <w:lvlText w:val="−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654143"/>
    <w:multiLevelType w:val="hybridMultilevel"/>
    <w:tmpl w:val="627824FE"/>
    <w:lvl w:ilvl="0" w:tplc="FFFFFFFF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914FBD"/>
    <w:multiLevelType w:val="hybridMultilevel"/>
    <w:tmpl w:val="97287820"/>
    <w:lvl w:ilvl="0" w:tplc="04190005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E32CA"/>
    <w:multiLevelType w:val="hybridMultilevel"/>
    <w:tmpl w:val="65B8C6F4"/>
    <w:lvl w:ilvl="0" w:tplc="0419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0460E"/>
    <w:multiLevelType w:val="hybridMultilevel"/>
    <w:tmpl w:val="A104BE44"/>
    <w:lvl w:ilvl="0" w:tplc="FFFFFFFF">
      <w:start w:val="1"/>
      <w:numFmt w:val="bullet"/>
      <w:lvlText w:val="−"/>
      <w:lvlJc w:val="left"/>
      <w:pPr>
        <w:ind w:left="75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10222770"/>
    <w:multiLevelType w:val="hybridMultilevel"/>
    <w:tmpl w:val="682CD942"/>
    <w:lvl w:ilvl="0" w:tplc="11B4820E">
      <w:start w:val="10"/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156EA"/>
    <w:multiLevelType w:val="hybridMultilevel"/>
    <w:tmpl w:val="4E4C3BAE"/>
    <w:lvl w:ilvl="0" w:tplc="881E6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FA1C4E"/>
    <w:multiLevelType w:val="multilevel"/>
    <w:tmpl w:val="F9689512"/>
    <w:lvl w:ilvl="0">
      <w:start w:val="14"/>
      <w:numFmt w:val="decimal"/>
      <w:pStyle w:val="1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24E354A8"/>
    <w:multiLevelType w:val="hybridMultilevel"/>
    <w:tmpl w:val="CF963B92"/>
    <w:lvl w:ilvl="0" w:tplc="96DAB0A2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  <w:b w:val="0"/>
        <w:i w:val="0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D2646"/>
    <w:multiLevelType w:val="hybridMultilevel"/>
    <w:tmpl w:val="C28AC1AA"/>
    <w:lvl w:ilvl="0" w:tplc="03B8F0F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A3871FC"/>
    <w:multiLevelType w:val="hybridMultilevel"/>
    <w:tmpl w:val="92EE3D36"/>
    <w:lvl w:ilvl="0" w:tplc="04190017">
      <w:start w:val="2"/>
      <w:numFmt w:val="bullet"/>
      <w:lvlText w:val="-"/>
      <w:lvlJc w:val="left"/>
      <w:pPr>
        <w:ind w:left="1281" w:hanging="360"/>
      </w:pPr>
      <w:rPr>
        <w:rFonts w:ascii="Garamond" w:eastAsia="Times New Roman" w:hAnsi="Garamond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 w15:restartNumberingAfterBreak="0">
    <w:nsid w:val="2A510D77"/>
    <w:multiLevelType w:val="multilevel"/>
    <w:tmpl w:val="E22E7E78"/>
    <w:lvl w:ilvl="0">
      <w:start w:val="19"/>
      <w:numFmt w:val="decimal"/>
      <w:lvlText w:val="§%1."/>
      <w:lvlJc w:val="left"/>
      <w:pPr>
        <w:tabs>
          <w:tab w:val="num" w:pos="360"/>
        </w:tabs>
        <w:ind w:left="360" w:hanging="360"/>
      </w:pPr>
      <w:rPr>
        <w:rFonts w:ascii="Garamond" w:hAnsi="Garamond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  <w:i w:val="0"/>
        <w:strike w:val="0"/>
        <w:color w:val="auto"/>
      </w:rPr>
    </w:lvl>
    <w:lvl w:ilvl="2">
      <w:start w:val="1"/>
      <w:numFmt w:val="decimal"/>
      <w:lvlText w:val="12.%3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4" w15:restartNumberingAfterBreak="0">
    <w:nsid w:val="2D7F2D38"/>
    <w:multiLevelType w:val="hybridMultilevel"/>
    <w:tmpl w:val="DCBA82A4"/>
    <w:lvl w:ilvl="0" w:tplc="0419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B92DC2"/>
    <w:multiLevelType w:val="hybridMultilevel"/>
    <w:tmpl w:val="4B14B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513"/>
    <w:multiLevelType w:val="hybridMultilevel"/>
    <w:tmpl w:val="9E64E742"/>
    <w:lvl w:ilvl="0" w:tplc="FFFFFFFF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C413F9A"/>
    <w:multiLevelType w:val="hybridMultilevel"/>
    <w:tmpl w:val="67025894"/>
    <w:lvl w:ilvl="0" w:tplc="80C0C31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C4F5B05"/>
    <w:multiLevelType w:val="multilevel"/>
    <w:tmpl w:val="1846A0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CC92E04"/>
    <w:multiLevelType w:val="hybridMultilevel"/>
    <w:tmpl w:val="51E672EE"/>
    <w:lvl w:ilvl="0" w:tplc="3E0A56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3833471"/>
    <w:multiLevelType w:val="hybridMultilevel"/>
    <w:tmpl w:val="136EE100"/>
    <w:lvl w:ilvl="0" w:tplc="D6D41A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Helvetica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1515E"/>
    <w:multiLevelType w:val="hybridMultilevel"/>
    <w:tmpl w:val="4BFECEF6"/>
    <w:lvl w:ilvl="0" w:tplc="3222B7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81894"/>
    <w:multiLevelType w:val="multilevel"/>
    <w:tmpl w:val="4E769AC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EF6762A"/>
    <w:multiLevelType w:val="multilevel"/>
    <w:tmpl w:val="F12CA87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33B333C"/>
    <w:multiLevelType w:val="hybridMultilevel"/>
    <w:tmpl w:val="867493B8"/>
    <w:lvl w:ilvl="0" w:tplc="04190005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64206"/>
    <w:multiLevelType w:val="multilevel"/>
    <w:tmpl w:val="C52A6A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589B7926"/>
    <w:multiLevelType w:val="multilevel"/>
    <w:tmpl w:val="056C60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7" w15:restartNumberingAfterBreak="0">
    <w:nsid w:val="58AF7CAB"/>
    <w:multiLevelType w:val="hybridMultilevel"/>
    <w:tmpl w:val="1292C3DC"/>
    <w:lvl w:ilvl="0" w:tplc="F8BE3E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6090E"/>
    <w:multiLevelType w:val="hybridMultilevel"/>
    <w:tmpl w:val="A8CE5C32"/>
    <w:lvl w:ilvl="0" w:tplc="3B64B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D17967"/>
    <w:multiLevelType w:val="hybridMultilevel"/>
    <w:tmpl w:val="7BA4A470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E6B39"/>
    <w:multiLevelType w:val="hybridMultilevel"/>
    <w:tmpl w:val="5540D78C"/>
    <w:lvl w:ilvl="0" w:tplc="04190005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22B68F5"/>
    <w:multiLevelType w:val="hybridMultilevel"/>
    <w:tmpl w:val="78222CE2"/>
    <w:lvl w:ilvl="0" w:tplc="4BF09996">
      <w:start w:val="1"/>
      <w:numFmt w:val="bullet"/>
      <w:lvlText w:val="−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83A509F"/>
    <w:multiLevelType w:val="multilevel"/>
    <w:tmpl w:val="73DE742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36" w:hanging="2160"/>
      </w:pPr>
      <w:rPr>
        <w:rFonts w:hint="default"/>
      </w:rPr>
    </w:lvl>
  </w:abstractNum>
  <w:abstractNum w:abstractNumId="33" w15:restartNumberingAfterBreak="0">
    <w:nsid w:val="6D034BCD"/>
    <w:multiLevelType w:val="hybridMultilevel"/>
    <w:tmpl w:val="5B0AE5E8"/>
    <w:lvl w:ilvl="0" w:tplc="04190005">
      <w:start w:val="10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4" w15:restartNumberingAfterBreak="0">
    <w:nsid w:val="6D3266DD"/>
    <w:multiLevelType w:val="hybridMultilevel"/>
    <w:tmpl w:val="E74E2A00"/>
    <w:lvl w:ilvl="0" w:tplc="11B4820E">
      <w:start w:val="10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Garamond" w:eastAsia="Times New Roman" w:hAnsi="Garamond" w:cs="Times New Roman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E046E83"/>
    <w:multiLevelType w:val="multilevel"/>
    <w:tmpl w:val="E6EEFA0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5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1800"/>
      </w:pPr>
      <w:rPr>
        <w:rFonts w:hint="default"/>
      </w:rPr>
    </w:lvl>
  </w:abstractNum>
  <w:abstractNum w:abstractNumId="36" w15:restartNumberingAfterBreak="0">
    <w:nsid w:val="6FA60679"/>
    <w:multiLevelType w:val="hybridMultilevel"/>
    <w:tmpl w:val="82464748"/>
    <w:lvl w:ilvl="0" w:tplc="F182C5F8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006709C"/>
    <w:multiLevelType w:val="hybridMultilevel"/>
    <w:tmpl w:val="A2DEC922"/>
    <w:lvl w:ilvl="0" w:tplc="04190005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767700"/>
    <w:multiLevelType w:val="hybridMultilevel"/>
    <w:tmpl w:val="1704392A"/>
    <w:lvl w:ilvl="0" w:tplc="BA5CD0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  <w:u w:val="none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70E27"/>
    <w:multiLevelType w:val="multilevel"/>
    <w:tmpl w:val="ECDC5D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2B13CD8"/>
    <w:multiLevelType w:val="hybridMultilevel"/>
    <w:tmpl w:val="C9AA38AE"/>
    <w:lvl w:ilvl="0" w:tplc="6D969B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59C4344"/>
    <w:multiLevelType w:val="hybridMultilevel"/>
    <w:tmpl w:val="EA1CB2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D8E0E92"/>
    <w:multiLevelType w:val="multilevel"/>
    <w:tmpl w:val="47DAE64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3" w15:restartNumberingAfterBreak="0">
    <w:nsid w:val="7DC42480"/>
    <w:multiLevelType w:val="hybridMultilevel"/>
    <w:tmpl w:val="11380AA8"/>
    <w:lvl w:ilvl="0" w:tplc="04190005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6"/>
  </w:num>
  <w:num w:numId="6">
    <w:abstractNumId w:val="3"/>
  </w:num>
  <w:num w:numId="7">
    <w:abstractNumId w:val="30"/>
  </w:num>
  <w:num w:numId="8">
    <w:abstractNumId w:val="41"/>
  </w:num>
  <w:num w:numId="9">
    <w:abstractNumId w:val="10"/>
  </w:num>
  <w:num w:numId="10">
    <w:abstractNumId w:val="39"/>
  </w:num>
  <w:num w:numId="11">
    <w:abstractNumId w:val="2"/>
  </w:num>
  <w:num w:numId="12">
    <w:abstractNumId w:val="31"/>
  </w:num>
  <w:num w:numId="13">
    <w:abstractNumId w:val="42"/>
  </w:num>
  <w:num w:numId="14">
    <w:abstractNumId w:val="37"/>
  </w:num>
  <w:num w:numId="15">
    <w:abstractNumId w:val="8"/>
  </w:num>
  <w:num w:numId="16">
    <w:abstractNumId w:val="21"/>
  </w:num>
  <w:num w:numId="17">
    <w:abstractNumId w:val="34"/>
  </w:num>
  <w:num w:numId="18">
    <w:abstractNumId w:val="27"/>
  </w:num>
  <w:num w:numId="19">
    <w:abstractNumId w:val="15"/>
  </w:num>
  <w:num w:numId="20">
    <w:abstractNumId w:val="23"/>
  </w:num>
  <w:num w:numId="21">
    <w:abstractNumId w:val="35"/>
  </w:num>
  <w:num w:numId="22">
    <w:abstractNumId w:val="32"/>
  </w:num>
  <w:num w:numId="23">
    <w:abstractNumId w:val="1"/>
  </w:num>
  <w:num w:numId="24">
    <w:abstractNumId w:val="11"/>
  </w:num>
  <w:num w:numId="25">
    <w:abstractNumId w:val="14"/>
  </w:num>
  <w:num w:numId="26">
    <w:abstractNumId w:val="28"/>
  </w:num>
  <w:num w:numId="27">
    <w:abstractNumId w:val="22"/>
  </w:num>
  <w:num w:numId="28">
    <w:abstractNumId w:val="38"/>
  </w:num>
  <w:num w:numId="29">
    <w:abstractNumId w:val="20"/>
  </w:num>
  <w:num w:numId="30">
    <w:abstractNumId w:val="16"/>
  </w:num>
  <w:num w:numId="31">
    <w:abstractNumId w:val="5"/>
  </w:num>
  <w:num w:numId="32">
    <w:abstractNumId w:val="0"/>
  </w:num>
  <w:num w:numId="33">
    <w:abstractNumId w:val="29"/>
  </w:num>
  <w:num w:numId="34">
    <w:abstractNumId w:val="13"/>
  </w:num>
  <w:num w:numId="35">
    <w:abstractNumId w:val="33"/>
  </w:num>
  <w:num w:numId="36">
    <w:abstractNumId w:val="43"/>
  </w:num>
  <w:num w:numId="37">
    <w:abstractNumId w:val="4"/>
  </w:num>
  <w:num w:numId="38">
    <w:abstractNumId w:val="24"/>
  </w:num>
  <w:num w:numId="39">
    <w:abstractNumId w:val="7"/>
  </w:num>
  <w:num w:numId="40">
    <w:abstractNumId w:val="19"/>
  </w:num>
  <w:num w:numId="41">
    <w:abstractNumId w:val="6"/>
  </w:num>
  <w:num w:numId="42">
    <w:abstractNumId w:val="17"/>
  </w:num>
  <w:num w:numId="43">
    <w:abstractNumId w:val="9"/>
  </w:num>
  <w:num w:numId="44">
    <w:abstractNumId w:val="36"/>
  </w:num>
  <w:num w:numId="45">
    <w:abstractNumId w:val="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0A"/>
    <w:rsid w:val="0011370A"/>
    <w:rsid w:val="00236D66"/>
    <w:rsid w:val="00470371"/>
    <w:rsid w:val="00764AF3"/>
    <w:rsid w:val="007A7F5E"/>
    <w:rsid w:val="008671CA"/>
    <w:rsid w:val="00DE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EFA33"/>
  <w15:chartTrackingRefBased/>
  <w15:docId w15:val="{52D1A89E-46E8-4149-A776-C4AB62A3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aliases w:val="Заголовок параграфа (1.),Section,level2 hdg,111,Section Heading"/>
    <w:basedOn w:val="a"/>
    <w:link w:val="10"/>
    <w:autoRedefine/>
    <w:qFormat/>
    <w:pPr>
      <w:keepNext/>
      <w:numPr>
        <w:numId w:val="43"/>
      </w:numPr>
      <w:tabs>
        <w:tab w:val="left" w:pos="1058"/>
      </w:tabs>
      <w:spacing w:before="240" w:after="120" w:line="240" w:lineRule="auto"/>
      <w:jc w:val="both"/>
      <w:outlineLvl w:val="0"/>
    </w:pPr>
    <w:rPr>
      <w:rFonts w:ascii="Garamond" w:eastAsia="Times New Roman" w:hAnsi="Garamond" w:cs="Garamond"/>
      <w:b/>
      <w:caps/>
      <w:color w:val="000000"/>
      <w:kern w:val="28"/>
    </w:rPr>
  </w:style>
  <w:style w:type="paragraph" w:styleId="3">
    <w:name w:val="heading 3"/>
    <w:aliases w:val="H3,Заголовок подпукта (1.1.1),Level 1 - 1,o"/>
    <w:basedOn w:val="a"/>
    <w:next w:val="a"/>
    <w:link w:val="30"/>
    <w:unhideWhenUsed/>
    <w:qFormat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4">
    <w:name w:val="heading 4"/>
    <w:aliases w:val="H4,H41,Sub-Minor,Level 2 - a"/>
    <w:basedOn w:val="a"/>
    <w:next w:val="a"/>
    <w:link w:val="40"/>
    <w:unhideWhenUsed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,Section Heading Знак"/>
    <w:link w:val="1"/>
    <w:rPr>
      <w:rFonts w:ascii="Garamond" w:eastAsia="Times New Roman" w:hAnsi="Garamond" w:cs="Garamond"/>
      <w:b/>
      <w:caps/>
      <w:color w:val="000000"/>
      <w:kern w:val="28"/>
      <w:sz w:val="22"/>
      <w:szCs w:val="22"/>
      <w:lang w:eastAsia="en-US"/>
    </w:rPr>
  </w:style>
  <w:style w:type="paragraph" w:styleId="a3">
    <w:name w:val="List Paragraph"/>
    <w:basedOn w:val="a"/>
    <w:link w:val="a4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aliases w:val="body text"/>
    <w:basedOn w:val="a"/>
    <w:link w:val="11"/>
    <w:pPr>
      <w:spacing w:before="120" w:after="120" w:line="240" w:lineRule="auto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a6">
    <w:name w:val="Основной текст Знак"/>
    <w:basedOn w:val="a0"/>
    <w:uiPriority w:val="99"/>
    <w:semiHidden/>
  </w:style>
  <w:style w:type="character" w:customStyle="1" w:styleId="11">
    <w:name w:val="Основной текст Знак1"/>
    <w:aliases w:val="body text Знак"/>
    <w:link w:val="a5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a7">
    <w:name w:val="Обычный текст"/>
    <w:basedOn w:val="a"/>
    <w:link w:val="a8"/>
    <w:pPr>
      <w:spacing w:after="0" w:line="240" w:lineRule="auto"/>
      <w:ind w:firstLine="425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a8">
    <w:name w:val="Обычный текст Знак"/>
    <w:link w:val="a7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styleId="a9">
    <w:name w:val="annotation reference"/>
    <w:uiPriority w:val="99"/>
    <w:semiHidden/>
    <w:unhideWhenUsed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character" w:customStyle="1" w:styleId="ad">
    <w:name w:val="Тема примечания Знак"/>
    <w:link w:val="ac"/>
    <w:uiPriority w:val="99"/>
    <w:semiHidden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aliases w:val="H3 Знак,Заголовок подпукта (1.1.1) Знак,Level 1 - 1 Знак,o Знак"/>
    <w:link w:val="3"/>
    <w:uiPriority w:val="99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2">
    <w:name w:val="Основной текст Знак2"/>
    <w:aliases w:val="body text Знак2,Основной текст Знак3,body text Знак1"/>
    <w:rPr>
      <w:sz w:val="22"/>
      <w:lang w:val="en-GB" w:eastAsia="en-US" w:bidi="ar-SA"/>
    </w:rPr>
  </w:style>
  <w:style w:type="paragraph" w:customStyle="1" w:styleId="31">
    <w:name w:val="Основной текст с отступом 31"/>
    <w:basedOn w:val="a"/>
    <w:uiPriority w:val="99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character" w:customStyle="1" w:styleId="40">
    <w:name w:val="Заголовок 4 Знак"/>
    <w:aliases w:val="H4 Знак,H41 Знак,Sub-Minor Знак,Level 2 - a Знак"/>
    <w:link w:val="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f0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Iauiue">
    <w:name w:val="Iau?iue"/>
    <w:pPr>
      <w:widowControl w:val="0"/>
    </w:pPr>
    <w:rPr>
      <w:rFonts w:ascii="Times New Roman" w:eastAsia="Times New Roman" w:hAnsi="Times New Roman"/>
      <w:lang w:eastAsia="en-US"/>
    </w:rPr>
  </w:style>
  <w:style w:type="paragraph" w:styleId="af1">
    <w:name w:val="header"/>
    <w:basedOn w:val="a"/>
    <w:link w:val="af2"/>
    <w:unhideWhenUsed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Pr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Pr>
      <w:sz w:val="22"/>
      <w:szCs w:val="22"/>
      <w:lang w:eastAsia="en-US"/>
    </w:rPr>
  </w:style>
  <w:style w:type="paragraph" w:styleId="af5">
    <w:name w:val="footnote text"/>
    <w:basedOn w:val="a"/>
    <w:link w:val="af6"/>
    <w:semiHidden/>
    <w:unhideWhenUsed/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Pr>
      <w:lang w:eastAsia="en-US"/>
    </w:rPr>
  </w:style>
  <w:style w:type="character" w:styleId="af7">
    <w:name w:val="footnote reference"/>
    <w:semiHidden/>
    <w:unhideWhenUsed/>
    <w:rPr>
      <w:vertAlign w:val="superscript"/>
    </w:rPr>
  </w:style>
  <w:style w:type="paragraph" w:styleId="af8">
    <w:name w:val="Body Text Indent"/>
    <w:basedOn w:val="a"/>
    <w:link w:val="af9"/>
    <w:unhideWhenUsed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Pr>
      <w:sz w:val="22"/>
      <w:szCs w:val="22"/>
      <w:lang w:eastAsia="en-US"/>
    </w:rPr>
  </w:style>
  <w:style w:type="character" w:styleId="afa">
    <w:name w:val="Hyperlink"/>
    <w:uiPriority w:val="99"/>
    <w:rPr>
      <w:color w:val="0000FF"/>
      <w:u w:val="single"/>
    </w:rPr>
  </w:style>
  <w:style w:type="paragraph" w:styleId="afb">
    <w:name w:val="Plain Text"/>
    <w:basedOn w:val="a"/>
    <w:link w:val="af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Текст Знак"/>
    <w:basedOn w:val="a0"/>
    <w:link w:val="afb"/>
    <w:rPr>
      <w:rFonts w:ascii="Courier New" w:eastAsia="Times New Roman" w:hAnsi="Courier New" w:cs="Courier New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2">
    <w:name w:val="Верхний колонтитул Знак1"/>
    <w:rPr>
      <w:rFonts w:ascii="Garamond" w:hAnsi="Garamond"/>
      <w:sz w:val="22"/>
      <w:lang w:val="en-GB" w:eastAsia="en-US" w:bidi="ar-SA"/>
    </w:rPr>
  </w:style>
  <w:style w:type="paragraph" w:customStyle="1" w:styleId="110">
    <w:name w:val="Обычный + 11 пт"/>
    <w:aliases w:val="По ширине"/>
    <w:basedOn w:val="a"/>
    <w:pPr>
      <w:spacing w:after="0" w:line="240" w:lineRule="auto"/>
      <w:ind w:left="1680" w:hanging="1140"/>
      <w:jc w:val="both"/>
    </w:pPr>
    <w:rPr>
      <w:rFonts w:ascii="Times New Roman" w:eastAsiaTheme="minorHAnsi" w:hAnsi="Times New Roman"/>
      <w:lang w:eastAsia="ru-RU"/>
    </w:rPr>
  </w:style>
  <w:style w:type="character" w:customStyle="1" w:styleId="a4">
    <w:name w:val="Абзац списка Знак"/>
    <w:link w:val="a3"/>
    <w:uiPriority w:val="9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AC02B-7D34-469B-ACA2-BC12402EE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Маргарита Вячеславовна</dc:creator>
  <cp:keywords/>
  <dc:description/>
  <cp:lastModifiedBy>Пряхина Ирина Игоревна</cp:lastModifiedBy>
  <cp:revision>7</cp:revision>
  <cp:lastPrinted>2019-11-01T12:06:00Z</cp:lastPrinted>
  <dcterms:created xsi:type="dcterms:W3CDTF">2022-06-10T12:54:00Z</dcterms:created>
  <dcterms:modified xsi:type="dcterms:W3CDTF">2022-06-20T15:11:00Z</dcterms:modified>
</cp:coreProperties>
</file>