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74" w:rsidRDefault="007A4274" w:rsidP="007A4274">
      <w:pPr>
        <w:widowControl w:val="0"/>
        <w:ind w:left="57"/>
        <w:jc w:val="right"/>
      </w:pPr>
      <w:r>
        <w:rPr>
          <w:caps/>
        </w:rPr>
        <w:t>Приложение</w:t>
      </w:r>
      <w:r>
        <w:t xml:space="preserve"> № 1.</w:t>
      </w:r>
      <w:r>
        <w:t>11</w:t>
      </w:r>
    </w:p>
    <w:p w:rsidR="007A4274" w:rsidRDefault="007A4274" w:rsidP="007A4274">
      <w:pPr>
        <w:widowControl w:val="0"/>
        <w:ind w:left="57"/>
        <w:jc w:val="right"/>
      </w:pPr>
      <w:r>
        <w:t xml:space="preserve">к Протоколу № 5/2021 заседания Наблюдательного совета </w:t>
      </w:r>
    </w:p>
    <w:p w:rsidR="007A4274" w:rsidRPr="007A4274" w:rsidRDefault="007A4274" w:rsidP="007A4274">
      <w:pPr>
        <w:widowControl w:val="0"/>
        <w:ind w:left="57"/>
        <w:jc w:val="right"/>
      </w:pPr>
      <w:r w:rsidRPr="007A4274">
        <w:t>Ассоциации «НП Совет рынка» от 26 февраля 2021 года.</w:t>
      </w:r>
    </w:p>
    <w:p w:rsidR="00B517FA" w:rsidRPr="004A4B3F" w:rsidRDefault="00B517FA" w:rsidP="00B32BC9">
      <w:pPr>
        <w:pStyle w:val="2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  <w:lang w:val="en-US"/>
        </w:rPr>
        <w:t>IX</w:t>
      </w:r>
      <w:r w:rsidRPr="004A4B3F">
        <w:rPr>
          <w:rFonts w:ascii="Garamond" w:hAnsi="Garamond"/>
          <w:sz w:val="28"/>
          <w:szCs w:val="28"/>
        </w:rPr>
        <w:t>.1. Изменения, связанные с техническими и уточняющими правками</w:t>
      </w:r>
      <w:bookmarkStart w:id="0" w:name="_GoBack"/>
      <w:bookmarkEnd w:id="0"/>
    </w:p>
    <w:p w:rsidR="00B517FA" w:rsidRPr="004A4B3F" w:rsidRDefault="00B517FA" w:rsidP="00B517FA">
      <w:pPr>
        <w:pStyle w:val="2"/>
        <w:jc w:val="right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</w:rPr>
        <w:t xml:space="preserve">Приложение № </w:t>
      </w:r>
      <w:r w:rsidR="007A4274">
        <w:rPr>
          <w:rFonts w:ascii="Garamond" w:hAnsi="Garamond"/>
          <w:sz w:val="28"/>
          <w:szCs w:val="28"/>
        </w:rPr>
        <w:t>1</w:t>
      </w:r>
      <w:r w:rsidRPr="004A4B3F">
        <w:rPr>
          <w:rFonts w:ascii="Garamond" w:hAnsi="Garamond"/>
          <w:sz w:val="28"/>
          <w:szCs w:val="28"/>
        </w:rPr>
        <w:t>.1</w:t>
      </w:r>
      <w:r w:rsidR="007A4274">
        <w:rPr>
          <w:rFonts w:ascii="Garamond" w:hAnsi="Garamond"/>
          <w:sz w:val="28"/>
          <w:szCs w:val="28"/>
        </w:rPr>
        <w:t>1</w:t>
      </w:r>
    </w:p>
    <w:p w:rsidR="00B517FA" w:rsidRDefault="00B517FA" w:rsidP="00B517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Инициатор: </w:t>
      </w:r>
      <w:r w:rsidRPr="005D4871">
        <w:rPr>
          <w:rFonts w:ascii="Garamond" w:hAnsi="Garamond" w:cs="Garamond"/>
          <w:bCs/>
        </w:rPr>
        <w:t>Ассоциация «НП Совет рынка».</w:t>
      </w:r>
    </w:p>
    <w:p w:rsidR="00B517FA" w:rsidRPr="00F80137" w:rsidRDefault="00B517FA" w:rsidP="00B517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/>
          <w:bCs/>
        </w:rPr>
      </w:pPr>
      <w:r w:rsidRPr="00F80137"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Garamond"/>
          <w:b/>
          <w:bCs/>
        </w:rPr>
        <w:t xml:space="preserve"> </w:t>
      </w:r>
      <w:r w:rsidRPr="005D4871">
        <w:rPr>
          <w:rFonts w:ascii="Garamond" w:hAnsi="Garamond"/>
        </w:rPr>
        <w:t>для корректности текстов регламентов требуется в</w:t>
      </w:r>
      <w:r>
        <w:rPr>
          <w:rFonts w:ascii="Garamond" w:hAnsi="Garamond"/>
        </w:rPr>
        <w:t>нести ряд технических и уточняющих изменений, в том числе актуализировать ссылки, скорректировать наименования регламентов, упоминаемых в тексте и содержащих ошибки, устранить описки и неточности, а также уточнить сроки хранения электронных документов в архиве.</w:t>
      </w:r>
    </w:p>
    <w:p w:rsidR="00B517FA" w:rsidRDefault="00B517FA" w:rsidP="00B517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Дата вступления в силу: </w:t>
      </w:r>
      <w:r w:rsidRPr="005D4871">
        <w:rPr>
          <w:rFonts w:ascii="Garamond" w:hAnsi="Garamond" w:cs="Garamond"/>
          <w:bCs/>
        </w:rPr>
        <w:t xml:space="preserve">1 </w:t>
      </w:r>
      <w:r>
        <w:rPr>
          <w:rFonts w:ascii="Garamond" w:hAnsi="Garamond" w:cs="Garamond"/>
          <w:bCs/>
        </w:rPr>
        <w:t>марта 2021</w:t>
      </w:r>
      <w:r w:rsidRPr="005D4871">
        <w:rPr>
          <w:rFonts w:ascii="Garamond" w:hAnsi="Garamond" w:cs="Garamond"/>
          <w:bCs/>
        </w:rPr>
        <w:t xml:space="preserve"> года.</w:t>
      </w:r>
    </w:p>
    <w:p w:rsidR="00B517FA" w:rsidRPr="00156FF1" w:rsidRDefault="00B517FA" w:rsidP="00B517FA">
      <w:pPr>
        <w:pStyle w:val="2"/>
        <w:widowControl w:val="0"/>
        <w:spacing w:before="120" w:after="0"/>
        <w:rPr>
          <w:rFonts w:ascii="Garamond" w:eastAsia="Batang" w:hAnsi="Garamond" w:cs="Garamond"/>
          <w:b w:val="0"/>
          <w:sz w:val="22"/>
          <w:szCs w:val="22"/>
          <w:lang w:eastAsia="ar-SA"/>
        </w:rPr>
      </w:pPr>
      <w:r w:rsidRPr="00156FF1">
        <w:rPr>
          <w:rFonts w:ascii="Garamond" w:eastAsia="Batang" w:hAnsi="Garamond" w:cs="Garamond"/>
          <w:sz w:val="26"/>
          <w:szCs w:val="26"/>
          <w:lang w:eastAsia="ar-SA"/>
        </w:rPr>
        <w:t xml:space="preserve">Предложения по изменениям и дополнениям в </w:t>
      </w:r>
      <w:r>
        <w:rPr>
          <w:rFonts w:ascii="Garamond" w:eastAsia="Batang" w:hAnsi="Garamond" w:cs="Garamond"/>
          <w:sz w:val="26"/>
          <w:szCs w:val="26"/>
          <w:lang w:eastAsia="ar-SA"/>
        </w:rPr>
        <w:t xml:space="preserve">РЕГЛАМЕНТ </w:t>
      </w:r>
      <w:bookmarkStart w:id="1" w:name="_Toc266971353"/>
      <w:bookmarkStart w:id="2" w:name="_Toc286999946"/>
      <w:bookmarkStart w:id="3" w:name="_Toc455402942"/>
      <w:bookmarkStart w:id="4" w:name="_Toc470790488"/>
      <w:bookmarkStart w:id="5" w:name="_Toc516064616"/>
      <w:r w:rsidRPr="00EE0F22">
        <w:rPr>
          <w:rFonts w:ascii="Garamond" w:eastAsia="Batang" w:hAnsi="Garamond" w:cs="Garamond"/>
          <w:sz w:val="26"/>
          <w:szCs w:val="26"/>
          <w:lang w:eastAsia="ar-SA"/>
        </w:rPr>
        <w:t>ФУНКЦИОНИРОВАНИЯ УЧАСТНИКОВ ОПТОВОГО РЫНКА</w:t>
      </w:r>
      <w:bookmarkEnd w:id="1"/>
      <w:bookmarkEnd w:id="2"/>
      <w:bookmarkEnd w:id="3"/>
      <w:bookmarkEnd w:id="4"/>
      <w:bookmarkEnd w:id="5"/>
      <w:r w:rsidRPr="00EE0F22">
        <w:rPr>
          <w:rFonts w:ascii="Garamond" w:eastAsia="Batang" w:hAnsi="Garamond" w:cs="Garamond"/>
          <w:sz w:val="26"/>
          <w:szCs w:val="26"/>
          <w:lang w:eastAsia="ar-SA"/>
        </w:rPr>
        <w:t xml:space="preserve"> </w:t>
      </w:r>
      <w:bookmarkStart w:id="6" w:name="_Toc266971354"/>
      <w:bookmarkStart w:id="7" w:name="_Toc286999947"/>
      <w:bookmarkStart w:id="8" w:name="_Toc455402943"/>
      <w:bookmarkStart w:id="9" w:name="_Toc470790489"/>
      <w:bookmarkStart w:id="10" w:name="_Toc516064617"/>
      <w:r w:rsidRPr="00EE0F22">
        <w:rPr>
          <w:rFonts w:ascii="Garamond" w:eastAsia="Batang" w:hAnsi="Garamond" w:cs="Garamond"/>
          <w:sz w:val="26"/>
          <w:szCs w:val="26"/>
          <w:lang w:eastAsia="ar-SA"/>
        </w:rPr>
        <w:t>НА ТЕРРИТОРИИ НЕЦЕНОВЫХ ЗОН</w:t>
      </w:r>
      <w:bookmarkEnd w:id="6"/>
      <w:bookmarkEnd w:id="7"/>
      <w:bookmarkEnd w:id="8"/>
      <w:bookmarkEnd w:id="9"/>
      <w:bookmarkEnd w:id="10"/>
      <w:r>
        <w:rPr>
          <w:rFonts w:ascii="Garamond" w:eastAsia="Batang" w:hAnsi="Garamond" w:cs="Garamond"/>
          <w:sz w:val="26"/>
          <w:szCs w:val="26"/>
          <w:lang w:eastAsia="ar-SA"/>
        </w:rPr>
        <w:t xml:space="preserve"> </w:t>
      </w:r>
      <w:r w:rsidRPr="00156FF1">
        <w:rPr>
          <w:rFonts w:ascii="Garamond" w:eastAsia="Batang" w:hAnsi="Garamond" w:cs="Garamond"/>
          <w:sz w:val="26"/>
          <w:szCs w:val="26"/>
          <w:lang w:eastAsia="ar-SA"/>
        </w:rPr>
        <w:t>(Приложение № </w:t>
      </w:r>
      <w:r>
        <w:rPr>
          <w:rFonts w:ascii="Garamond" w:eastAsia="Batang" w:hAnsi="Garamond" w:cs="Garamond"/>
          <w:sz w:val="26"/>
          <w:szCs w:val="26"/>
          <w:lang w:eastAsia="ar-SA"/>
        </w:rPr>
        <w:t>14</w:t>
      </w:r>
      <w:r w:rsidRPr="00156FF1">
        <w:rPr>
          <w:rFonts w:ascii="Garamond" w:eastAsia="Batang" w:hAnsi="Garamond" w:cs="Garamond"/>
          <w:sz w:val="26"/>
          <w:szCs w:val="26"/>
          <w:lang w:eastAsia="ar-SA"/>
        </w:rPr>
        <w:t xml:space="preserve"> к Договору о присоединении к торговой системе оптового рынка)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6800"/>
        <w:gridCol w:w="6933"/>
      </w:tblGrid>
      <w:tr w:rsidR="00B517FA" w:rsidRPr="003D0B71" w:rsidTr="000E0AC3">
        <w:trPr>
          <w:trHeight w:val="435"/>
        </w:trPr>
        <w:tc>
          <w:tcPr>
            <w:tcW w:w="28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7FA" w:rsidRPr="003D0B71" w:rsidRDefault="00B517FA" w:rsidP="000E0AC3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№</w:t>
            </w:r>
          </w:p>
          <w:p w:rsidR="00B517FA" w:rsidRPr="003D0B71" w:rsidRDefault="00B517FA" w:rsidP="000E0AC3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B517FA" w:rsidRPr="003D0B71" w:rsidRDefault="00B517FA" w:rsidP="000E0AC3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B517FA" w:rsidRPr="003D0B71" w:rsidRDefault="00B517FA" w:rsidP="000E0AC3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81" w:type="pct"/>
            <w:shd w:val="clear" w:color="auto" w:fill="auto"/>
            <w:vAlign w:val="center"/>
          </w:tcPr>
          <w:p w:rsidR="00B517FA" w:rsidRPr="003D0B71" w:rsidRDefault="00B517FA" w:rsidP="000E0AC3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517FA" w:rsidRPr="003D0B71" w:rsidRDefault="00B517FA" w:rsidP="000E0AC3">
            <w:pPr>
              <w:suppressAutoHyphens/>
              <w:jc w:val="center"/>
              <w:rPr>
                <w:rFonts w:ascii="Garamond" w:eastAsia="Batang" w:hAnsi="Garamond" w:cs="Garamond"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Для организации, исполняющей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функции единого закупщика (ЕЗ)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в соответствии с п. 170 Правил оптового рынка – ПАО «Дальневосточная энергетическая компания», группы точек поставки регистрируются в общем порядке.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Для организации, исполняющей в соответствии с п. 170 Правил оптового рынка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, утвержденных постановлением Правительства Российской Федерации от 27.12.2010 № 1172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функции единого закупщика (ЕЗ)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– ПАО «Дальневосточная энергетическая компания», группы точек поставки регистрируются в общем порядке.</w:t>
            </w:r>
          </w:p>
          <w:p w:rsidR="00B517FA" w:rsidRPr="003D0B71" w:rsidRDefault="00B517FA" w:rsidP="000E0AC3">
            <w:pPr>
              <w:tabs>
                <w:tab w:val="num" w:pos="540"/>
                <w:tab w:val="left" w:pos="1200"/>
              </w:tabs>
              <w:spacing w:before="120" w:after="120"/>
              <w:jc w:val="center"/>
              <w:outlineLvl w:val="3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3.2.6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ind w:firstLine="623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Если ГТП потребления участника оптового рынка, отнесенная ко второй ценовой зоне, включает ВЭ, который содержит узлы временно электрически изолированные от второй ценовой зоны и работающие синхронно со второй неценовой зоной, участник оптового рынка в отношении объемов потребления указанных узлов ВЭ должен подать отдельное уведомление о максимальном прогнозном потреблении на технологический сайт СО до 10 часов 00 минут по времени второй неценовой зоны торговых суток (суток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Х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-1), которое учитывает объемы электроэнергии, определенные в подпункте 4 п. 4.1.2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подачи уведомлений участниками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4 к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Договору о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lastRenderedPageBreak/>
              <w:t>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). В таком случае объемы потребления узлов, работающих изолированно от второй ценовой зоны (ВЭ второй ценовой зоны), в уведомлениях о максимальном прогнозном потреблении, подаваемых на технологический сайт СО, должны соответствовать объемам потребления в уведомлении, поданном в соответствии с п. 3.2.5, в отношении совокупности узлов, работающих изолированно от второй ценовой зоны.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ind w:firstLine="6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Если ГТП потребления участника оптового рынка, отнесенная ко второй ценовой зоне, включает ВЭ, который содержит узлы временно электрически изолированные от второй ценовой зоны и работающие синхронно со второй неценовой зоной, участник оптового рынка в отношении объемов потребления указанных узлов ВЭ должен подать отдельное уведомление о максимальном прогнозном потреблении на технологический сайт СО до 10 часов 00 минут по времени второй неценовой зоны торговых суток (суток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Х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-1), которое учитывает объемы электроэнергии, определенные в подпункте 4 п. 4.1.2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подачи уведомлений участниками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4 к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Договору о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lastRenderedPageBreak/>
              <w:t>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). В таком случае объемы потребления узлов, работающих изолированно от второй ценовой зоны (ВЭ второй ценовой зоны), в уведомлениях о максимальном прогнозном потреблении, подаваемых на технологический сайт СО, должны соответствовать объемам потребления в уведомлении, поданном в соответствии с п. 3.2.5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, в отношении совокупности узлов, работающих изолированно от второй ценовой зоны.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3.2.7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ind w:firstLine="623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Если ГТП потребления участника оптового рынка, отнесенная ко второй неценовой зоне, включает ВЭ, который содержит узлы временно электрически изолированные от второй неценовой зоны и работающие синхронно со второй ценовой зоной, участник оптового рынка в отношении объемов потребления указанных узлов ВЭ должен подать отдельное уведомление о плановом почасовом потреблении на технологический сайт СО Сибири до 8 часов 30 минут по времени второй ценовой зоны торговых суток (суток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Х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-1), которое учитывает объемы электроэнергии, определенные в подпункте 4 п. 4.1.2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подачи уведомлений участниками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4 к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). В таком случае объемы потребления узлов, работающих изолированно от второй неценовой зоны (ВЭ второй неценовой зоны), в уведомлениях о максимальном прогнозном потреблении, подаваемых на технологический сайт СО, должны соответствовать объемам потребления в уведомлении, поданном в соответствии с п. 3.2.5, в отношении совокупности узлов, работающих изолированно от второй неценовой зоны.</w:t>
            </w:r>
          </w:p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jc w:val="both"/>
              <w:outlineLvl w:val="3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ind w:firstLine="6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Если ГТП потребления участника оптового рынка, отнесенная ко второй неценовой зоне, включает ВЭ, который содержит узлы временно электрически изолированные от второй неценовой зоны и работающие синхронно со второй ценовой зоной, участник оптового рынка в отношении объемов потребления указанных узлов ВЭ должен подать отдельное уведомление о плановом почасовом потреблении на технологический сайт СО Сибири до 8 часов 30 минут по времени второй ценовой зоны торговых суток (суток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Х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-1), которое учитывает объемы электроэнергии, определенные в подпункте 4 п. 4.1.2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подачи уведомлений участниками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4 к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). В таком случае объемы потребления узлов, работающих изолированно от второй неценовой зоны (ВЭ второй неценовой зоны), в уведомлениях о максимальном прогнозном потреблении, подаваемых на технологический сайт СО, должны соответствовать объемам потребления в уведомлении, поданном в соответствии с п. 3.2.5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, в отношении совокупности узлов, работающих изолированно от второй неценовой зоны.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4.1.1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60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Системный оператор для моментов времени, соответствующих концу получасовых интервалов операционных суток, производит расчет оптимальных режимов ПДГ в соответствии с требованиями п. 4.1.1―4.1.3 настоящего Регламента. Соответствующие оптимальные значения получасовой мощности по ГТП генерации формируются СО с учетом получасовой мощности потребления, системных ограничений, исходя из принципа минимизации стоимости производства электроэнергии и возможно более точного выполнения планов поставок электроэнергии в соответствии со сводным прогнозным балансом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электрической энергии (мощности) в рамках Единой энергосистемы России. В качестве значения получасовой мощности потребления используется значение планового почасового (получасового) потребления, указанного в получасовых уведомлениях о плановом почасовом потреблении участника оптового рынка, поданных в отношении одного операционного часа и переданного СО в соответствии с п. 3.2 настоящего Регламента, с учетом особенностей п. 4.1.3.3 настоящего Регламента.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СО формирует собственный прогноз потребления в соответствии с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условиями п. 5.3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а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актуализации расчетной модели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3 к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). СО в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Регламентом оперативного диспетчерского управления электроэнергетическим режимом объектов управления ЕЭС России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(Приложение № 9 к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 и с п. 4.1.4 настоящего Регламента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формирует диспетчерский график (ДДГ) по каждой режимной генерирующей единице, расположенной на территории второй неценовой зоны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60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Системный оператор для моментов времени, соответствующих концу получасовых интервалов операционных суток, производит расчет оптимальных режимов ПДГ в соответствии с требованиями п. 4.1.1―4.1.3 настоящего Регламента. Соответствующие оптимальные значения получасовой мощности по ГТП генерации формируются СО с учетом получасовой мощности потребления, системных ограничений, исходя из принципа минимизации стоимости производства электроэнергии и возможно более точного выполнения планов поставок электроэнергии в соответствии со сводным прогнозным балансом электрической энергии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(мощности) в рамках Единой энергосистемы России. В качестве значения получасовой мощности потребления используется значение планового почасового (получасового) потребления, указанного в получасовых уведомлениях о плановом почасовом потреблении участника оптового рынка, поданных в отношении одного операционного часа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и переданного СО в соответствии с п. 3.2 настоящего Регламента, с учетом особенностей п. 4.1.3.3 настоящего Регламента.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СО формирует собственный прогноз потребления в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ом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актуализации расчетной модели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3 к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). СО в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Регламентом оперативного диспетчерского управления электроэнергетическим режимом объектов управления ЕЭС России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(Приложение № 9 к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 и с п. 4.1.4 настоящего Регламента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формирует диспетчерский график (ДДГ) по каждой режимной генерирующей единице, расположенной на территории второй неценовой зоны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Arial"/>
                <w:sz w:val="22"/>
                <w:szCs w:val="22"/>
                <w:lang w:eastAsia="en-US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4.1.3.1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623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При формировании ПДГ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СО осуществляет загрузку генерирующего оборудования с учетом следующих приоритетов: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в первую очередь осуществляется загрузка генерирующих единиц, обеспечивающих системную надежность; 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во вторую очередь осуществляется загрузка гидроэлектростанции;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в третью очередь осуществляется загрузка тепловых электростанций в объеме производства электрической энергии, соответствующем техническому минимуму и технологическому минимуму по РГЕ, обусловленному работой в теплофикационном режиме; 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в четвертую очередь осуществляется загрузка генерирующего оборудования на объемы, которые не были включены в предыдущие приоритетные группы.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в пятую очередь осуществляется загрузка генерирующего оборудования на объемы, соответствующие последнему приоритету, заявленному в соответствии с п. 4.1.1 настоящего Регламента, для каждого поставщика,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участвующего в торговле электрической энергией и мощностью на оптовом рынке с использованием тепловых электростанций.</w:t>
            </w:r>
          </w:p>
          <w:p w:rsidR="00B517FA" w:rsidRPr="003D0B71" w:rsidRDefault="00B517FA" w:rsidP="000E0AC3">
            <w:p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Системный оператор формирует ПДГ по ГТП генерации таким образом, чтобы: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обеспечить баланс между генерацией и заявленным ППП участников оптового рынка во второй неценовой зоне с учетом прогноза величины потерь в электрических сетях и объема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перетоков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между второй ценовой зоной и второй неценовой зоной;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значение ПДГ не может быть меньше значения минимальной генерирующей мощности (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Рмин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 и не может превышать значения максимальной генерирующей мощности (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Рмакс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), заявленных участником оптового рынка в уведомлении о параметрах генерирующего оборудования;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электрический режим удовлетворял всем системным ограничениям;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описывать реализуемый режим работы энергосистемы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с учетом требований п. 4.1.3;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 w:hanging="382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генерация равнялась сумме величин планового почасового потребления, заявленных участниками оптового рынка в отношении ГТП потребления (ГТП экспорта) в соответствии с разделом 3 настоящего Регламента, отнесенных к территории соответствующей неценовой зоны, суммарным потерям в электрических сетях, не включенным в ГТП потребления участников оптового рынка и объему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перетоков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между второй ценовой зоной и второй неценовой зоной; 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623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При формировании ПДГ СО осуществляет загрузку генерирующего оборудования с учетом следующих приоритетов: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в первую очередь осуществляется загрузка генерирующих единиц, обеспечивающих системную надежность; 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во вторую очередь осуществляется загрузка гидроэлектростанции;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в третью очередь осуществляется загрузка тепловых электростанций в объеме производства электрической энергии, соответствующем техническому минимуму и технологическому минимуму по РГЕ, обусловленному работой в теплофикационном режиме; 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в четвертую очередь осуществляется загрузка генерирующего оборудования на объемы, которые не были включены в предыдущие приоритетные группы.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в пятую очередь осуществляется загрузка генерирующего оборудования на объемы, соответствующие последнему приоритету, заявленному в соответствии с п. 4.1.1 настоящего Регламента, для каждого поставщика, участвующего в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торговле электрической энергией и мощностью на оптовом рынке с использованием тепловых электростанций.</w:t>
            </w:r>
          </w:p>
          <w:p w:rsidR="00B517FA" w:rsidRPr="003D0B71" w:rsidRDefault="00B517FA" w:rsidP="000E0AC3">
            <w:p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Системный оператор формирует ПДГ по ГТП генерации таким образом, чтобы: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обеспечить баланс между генерацией и заявленным ППП участников оптового рынка во второй неценовой зоне с учетом прогноза величины потерь в электрических сетях и объема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перетоков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между второй ценовой зоной и второй неценовой зоной;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значение ПДГ не может быть меньше значения минимальной генерирующей мощности (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Рмин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 и не может превышать значения максимальной генерирующей мощности (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Рмакс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), заявленных участником оптового рынка в уведомлении о параметрах генерирующего оборудования;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электрический режим удовлетворял всем системным ограничениям;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описывать реализуемый режим работы энергосистемы с учетом требований п. 4.1.3;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1146"/>
              </w:tabs>
              <w:spacing w:before="120" w:after="120"/>
              <w:ind w:left="114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генерация равнялась сумме величин планового почасового потребления, заявленных участниками оптового рынка в отношении ГТП потребления (ГТП экспорта) в соответствии с разделом 3 настоящего Регламента, отнесенных к территории соответствующей неценовой зоны, суммарным потерям в электрических сетях, не включенным в ГТП потребления участников оптового рынка и объему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перетоков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между второй ценовой зоной и второй неценовой зоной; </w:t>
            </w:r>
          </w:p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4.1.4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481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В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оперативного диспетчерского управления электроэнергетическим режимом объектов управления ЕЭС России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9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к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) СО должен довести до объектов управления диспетчерский график. Системный оператор формирует ДДГ по результатам дополнительного расчета, которые должны соответствовать следующим требованиям:  </w:t>
            </w:r>
          </w:p>
          <w:p w:rsidR="00B517FA" w:rsidRPr="003D0B71" w:rsidRDefault="00B517FA" w:rsidP="000E0AC3">
            <w:pPr>
              <w:numPr>
                <w:ilvl w:val="0"/>
                <w:numId w:val="2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описывать реализуемый режим работы энергосистемы; </w:t>
            </w:r>
          </w:p>
          <w:p w:rsidR="00B517FA" w:rsidRPr="003D0B71" w:rsidRDefault="00B517FA" w:rsidP="000E0AC3">
            <w:pPr>
              <w:numPr>
                <w:ilvl w:val="0"/>
                <w:numId w:val="2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сформированные графики генерации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обеспечивают покрытие прогнозируемого СО в соответствии с разделом 2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Регламента актуализации расчетной модели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3 к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Pr="003D0B71"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графика</w:t>
            </w:r>
            <w:r w:rsidRPr="003D0B71"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потребления;</w:t>
            </w:r>
          </w:p>
          <w:p w:rsidR="00B517FA" w:rsidRPr="003D0B71" w:rsidRDefault="00B517FA" w:rsidP="000E0AC3">
            <w:pPr>
              <w:numPr>
                <w:ilvl w:val="0"/>
                <w:numId w:val="2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сформированные графики генерации обеспечивают выполнение требований по соблюдению системных ограничений; </w:t>
            </w:r>
          </w:p>
          <w:p w:rsidR="00B517FA" w:rsidRPr="003D0B71" w:rsidRDefault="00B517FA" w:rsidP="000E0AC3">
            <w:pPr>
              <w:numPr>
                <w:ilvl w:val="0"/>
                <w:numId w:val="2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обеспечивать минимальную стоимость электрической энергии.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Заключение в соответствии с разделом 6 настоящего Регламента двухсторонних договоров купли-продажи электроэнергии не является основанием для включения объемов производства электроэнергии по указанному договору участника оптового рынка – поставщика электроэнергии, в ДДГ.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При формировании ДДГ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СО осуществляет загрузку генерирующего оборудования в соответствии с приоритетами формирования ПДГ, указанными в п. 4.1.3.1.</w:t>
            </w:r>
          </w:p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481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оперативного диспетчерского управления электроэнергетическим режимом объектов управления ЕЭС России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9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к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) СО должен довести до объектов управления диспетчерский график. Системный оператор формирует ДДГ по результатам дополнительного расчета, которые должны соответствовать следующим требованиям:  </w:t>
            </w:r>
          </w:p>
          <w:p w:rsidR="00B517FA" w:rsidRPr="003D0B71" w:rsidRDefault="00B517FA" w:rsidP="000E0AC3">
            <w:pPr>
              <w:numPr>
                <w:ilvl w:val="0"/>
                <w:numId w:val="2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описывать реализуемый режим работы энергосистемы; </w:t>
            </w:r>
          </w:p>
          <w:p w:rsidR="00B517FA" w:rsidRPr="003D0B71" w:rsidRDefault="00B517FA" w:rsidP="000E0AC3">
            <w:pPr>
              <w:numPr>
                <w:ilvl w:val="0"/>
                <w:numId w:val="2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сформированные графики генерации обеспечивают покрытие прогнозируемого СО в соответствии с разделом 2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Регламента актуализации расчетной модели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3 к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Pr="003D0B71"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графика</w:t>
            </w:r>
            <w:r w:rsidRPr="003D0B71"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потребления;</w:t>
            </w:r>
          </w:p>
          <w:p w:rsidR="00B517FA" w:rsidRPr="003D0B71" w:rsidRDefault="00B517FA" w:rsidP="000E0AC3">
            <w:pPr>
              <w:numPr>
                <w:ilvl w:val="0"/>
                <w:numId w:val="2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сформированные графики генерации обеспечивают выполнение требований по соблюдению системных ограничений; </w:t>
            </w:r>
          </w:p>
          <w:p w:rsidR="00B517FA" w:rsidRPr="003D0B71" w:rsidRDefault="00B517FA" w:rsidP="000E0AC3">
            <w:pPr>
              <w:numPr>
                <w:ilvl w:val="0"/>
                <w:numId w:val="2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обеспечивать минимальную стоимость электрической энергии.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Заключение в соответствии с разделом 6 настоящего Регламента двухсторонних договоров купли-продажи электроэнергии не является основанием для включения объемов производства электроэнергии по указанному договору участника оптового рынка – поставщика электроэнергии, в ДДГ.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При формировании ДДГ СО осуществляет загрузку генерирующего оборудования в соответствии с приоритетами формирования ПДГ, указанными в п. 4.1.3.1.</w:t>
            </w:r>
          </w:p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4.5.2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>В случае если участник оптового рынка не заявил величину планового почасового потребления в ГТП потребления поставщика в соответствии с п. 4.</w:t>
            </w:r>
            <w:r w:rsidRPr="003D0B71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7</w: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.1 настоящего Регламента, то в качестве планового почасового потребления используется прогноз СО. Указанная величина формирует плановый объем потребления электроэнергии в ГТП потребления поставщика 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i</w: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час 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h</w:t>
            </w:r>
            <w:proofErr w:type="gramStart"/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: </w:t>
            </w:r>
            <w:r w:rsidRPr="003D0B71">
              <w:rPr>
                <w:rFonts w:ascii="Garamond" w:hAnsi="Garamond"/>
                <w:position w:val="-12"/>
                <w:sz w:val="22"/>
                <w:szCs w:val="22"/>
                <w:lang w:eastAsia="en-US"/>
              </w:rPr>
              <w:object w:dxaOrig="63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65pt;height:23.45pt" o:ole="">
                  <v:imagedata r:id="rId5" o:title=""/>
                </v:shape>
                <o:OLEObject Type="Embed" ProgID="Equation.3" ShapeID="_x0000_i1025" DrawAspect="Content" ObjectID="_1675765672" r:id="rId6"/>
              </w:objec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>.</w:t>
            </w:r>
            <w:proofErr w:type="gramEnd"/>
          </w:p>
          <w:p w:rsidR="00B517FA" w:rsidRPr="003D0B71" w:rsidRDefault="00B517FA" w:rsidP="000E0AC3">
            <w:pPr>
              <w:spacing w:before="120" w:after="120"/>
              <w:ind w:firstLine="481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>В случае если участник оптового рынка не заявил величину планового почасового потребления в ГТП потребления поставщика в соответствии с п. 4.</w:t>
            </w:r>
            <w:r w:rsidRPr="003D0B71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5</w: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.1 настоящего Регламента, то в качестве планового почасового потребления используется прогноз СО. Указанная величина формирует плановый объем потребления электроэнергии в ГТП потребления поставщика 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i</w: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час 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h</w:t>
            </w:r>
            <w:proofErr w:type="gramStart"/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: </w:t>
            </w:r>
            <w:r w:rsidRPr="003D0B71">
              <w:rPr>
                <w:rFonts w:ascii="Garamond" w:hAnsi="Garamond"/>
                <w:position w:val="-12"/>
                <w:sz w:val="22"/>
                <w:szCs w:val="22"/>
                <w:lang w:eastAsia="en-US"/>
              </w:rPr>
              <w:object w:dxaOrig="639" w:dyaOrig="340">
                <v:shape id="_x0000_i1026" type="#_x0000_t75" style="width:43.65pt;height:23.45pt" o:ole="">
                  <v:imagedata r:id="rId5" o:title=""/>
                </v:shape>
                <o:OLEObject Type="Embed" ProgID="Equation.3" ShapeID="_x0000_i1026" DrawAspect="Content" ObjectID="_1675765673" r:id="rId7"/>
              </w:objec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>.</w:t>
            </w:r>
            <w:proofErr w:type="gramEnd"/>
          </w:p>
          <w:p w:rsidR="00B517FA" w:rsidRPr="003D0B71" w:rsidRDefault="00B517FA" w:rsidP="000E0AC3">
            <w:pPr>
              <w:spacing w:before="120" w:after="120"/>
              <w:ind w:firstLine="481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4.8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765"/>
              <w:jc w:val="both"/>
              <w:outlineLvl w:val="2"/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b/>
                <w:sz w:val="22"/>
                <w:szCs w:val="22"/>
                <w:lang w:eastAsia="en-US"/>
              </w:rPr>
              <w:t>Для целей расчета стоимости электрической энергии в объеме отклонений фактических объемов от плановых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соответствии с приказом ФСТ России «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highlight w:val="yellow"/>
                <w:lang w:eastAsia="en-US"/>
              </w:rPr>
              <w:t>Об утверждении методических указаний по расчету стоимости отклонений объемов фактического производства (потребления) электрической энергии участников оптового рынка, функционирующих на территориях, не объединенных в ценовые зоны оптового рынка, от объемов их планового почасового производства (потребления)» № 107-э/4 от 29 апреля 2008 года,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lastRenderedPageBreak/>
              <w:t>плановые объемы потребления электроэнергии в ГТП экспорта (ГТП импорта) определяются равными значениям, переданны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highlight w:val="yellow"/>
                <w:lang w:eastAsia="en-US"/>
              </w:rPr>
              <w:t>е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t xml:space="preserve"> Системным оператором ДДПР по каждой ГТП экспорта (импорта) в соответствии с </w:t>
            </w:r>
            <w:r w:rsidRPr="003D0B71">
              <w:rPr>
                <w:rFonts w:ascii="Garamond" w:hAnsi="Garamond" w:cs="Garamond"/>
                <w:bCs/>
                <w:i/>
                <w:sz w:val="22"/>
                <w:szCs w:val="22"/>
                <w:lang w:eastAsia="en-US"/>
              </w:rPr>
              <w:t xml:space="preserve">Регламентом покупки/продажи электроэнергии участниками оптового рынка для дальнейшего использования в целях экспорта/импорта в зарубежные энергосистемы 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t>(Приложение № 15 к</w:t>
            </w:r>
            <w:r w:rsidRPr="003D0B71">
              <w:rPr>
                <w:rFonts w:ascii="Garamond" w:hAnsi="Garamond" w:cs="Garamond"/>
                <w:bCs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t>).</w:t>
            </w:r>
          </w:p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765"/>
              <w:jc w:val="both"/>
              <w:outlineLvl w:val="2"/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Для целей расчета стоимости электрической энергии в объеме отклонений фактических объемов от плановых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t>плановые объемы потребления электроэнергии в ГТП экспорта (ГТП импорта) определяются равными значениям, переданны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highlight w:val="yellow"/>
                <w:lang w:eastAsia="en-US"/>
              </w:rPr>
              <w:t>м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t xml:space="preserve"> Системным оператором ДДПР по каждой ГТП экспорта (импорта) в соответствии с </w:t>
            </w:r>
            <w:r w:rsidRPr="003D0B71">
              <w:rPr>
                <w:rFonts w:ascii="Garamond" w:hAnsi="Garamond" w:cs="Garamond"/>
                <w:bCs/>
                <w:i/>
                <w:sz w:val="22"/>
                <w:szCs w:val="22"/>
                <w:lang w:eastAsia="en-US"/>
              </w:rPr>
              <w:t xml:space="preserve">Регламентом покупки/продажи электроэнергии участниками оптового рынка для дальнейшего использования в целях экспорта/импорта в зарубежные энергосистемы 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lastRenderedPageBreak/>
              <w:t>(Приложение № 15 к</w:t>
            </w:r>
            <w:r w:rsidRPr="003D0B71">
              <w:rPr>
                <w:rFonts w:ascii="Garamond" w:hAnsi="Garamond" w:cs="Garamond"/>
                <w:bCs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 w:cs="Garamond"/>
                <w:bCs/>
                <w:sz w:val="22"/>
                <w:szCs w:val="22"/>
                <w:lang w:eastAsia="en-US"/>
              </w:rPr>
              <w:t>).</w:t>
            </w:r>
          </w:p>
          <w:p w:rsidR="00B517FA" w:rsidRPr="003D0B71" w:rsidRDefault="00B517FA" w:rsidP="000E0AC3">
            <w:pPr>
              <w:tabs>
                <w:tab w:val="left" w:pos="1200"/>
              </w:tabs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5.1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firstLine="624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b/>
                <w:sz w:val="22"/>
                <w:szCs w:val="22"/>
                <w:lang w:eastAsia="en-US"/>
              </w:rPr>
              <w:t>Механизмы торговли электроэнергией и мощностью на территории неценовой зоны Архангельской области и неценовой зоны Республики Коми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ab/>
            </w:r>
          </w:p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в отношении ГТП потребления и ГТП генерации, расположенных на территории НЦЗА или НЦЗК, осуществляют куплю-продажу электроэнергии (мощности) по границе с ценовой зоной, в том числе по точкам поставки, располагающимся на электрических сетях, принадлежащих на праве собственности или ином законном основании организации по управлению единой национальной (общероссийской) электрической сетью,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с использованием механизмов: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840"/>
              </w:tabs>
              <w:autoSpaceDE w:val="0"/>
              <w:autoSpaceDN w:val="0"/>
              <w:adjustRightInd w:val="0"/>
              <w:spacing w:before="120" w:after="120"/>
              <w:ind w:left="840" w:hanging="2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конкурентного отбора ценовых заявок на сутки вперед ― в соответствии с разделом 7 настоящего Регламента,</w:t>
            </w:r>
          </w:p>
          <w:p w:rsidR="00B517FA" w:rsidRPr="003D0B71" w:rsidRDefault="00B517FA" w:rsidP="000E0AC3">
            <w:pPr>
              <w:widowControl w:val="0"/>
              <w:numPr>
                <w:ilvl w:val="0"/>
                <w:numId w:val="1"/>
              </w:numPr>
              <w:tabs>
                <w:tab w:val="num" w:pos="840"/>
              </w:tabs>
              <w:autoSpaceDE w:val="0"/>
              <w:autoSpaceDN w:val="0"/>
              <w:adjustRightInd w:val="0"/>
              <w:spacing w:before="120" w:after="120"/>
              <w:ind w:left="840" w:hanging="2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конкурентного отбора ценовых заявок для балансирования системы ― в соответствии с разделом 12 настоящего Регламента.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в отношении ГТП потребления и ГТП генерации, которые отнесены к территории соответствующей неценовой зоны, в части объемов покупки/продажи электроэнергии не по границе с ценовой зоной оптового рынка осуществляют куплю-продажу электроэнергии и мощности:</w:t>
            </w:r>
          </w:p>
          <w:p w:rsidR="00B517FA" w:rsidRPr="003D0B71" w:rsidRDefault="00B517FA" w:rsidP="000E0AC3">
            <w:pPr>
              <w:widowControl w:val="0"/>
              <w:numPr>
                <w:ilvl w:val="0"/>
                <w:numId w:val="1"/>
              </w:numPr>
              <w:tabs>
                <w:tab w:val="num" w:pos="840"/>
              </w:tabs>
              <w:autoSpaceDE w:val="0"/>
              <w:autoSpaceDN w:val="0"/>
              <w:adjustRightInd w:val="0"/>
              <w:spacing w:before="120" w:after="120"/>
              <w:ind w:left="84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 xml:space="preserve">по ценам, определенным в соответствии с разделом 9 настоящего Регламента, исходя из тарифов поставщиков; оплата отклонений по электроэнергии осуществляется в соответствии с </w:t>
            </w:r>
            <w:r w:rsidRPr="003D0B71">
              <w:rPr>
                <w:rFonts w:ascii="Garamond" w:hAnsi="Garamond" w:cs="Arial"/>
                <w:sz w:val="22"/>
                <w:szCs w:val="22"/>
                <w:highlight w:val="yellow"/>
              </w:rPr>
              <w:t>Методикой ФСТ</w:t>
            </w:r>
            <w:r w:rsidRPr="003D0B71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B517FA" w:rsidRPr="003D0B71" w:rsidRDefault="00B517FA" w:rsidP="000E0AC3">
            <w:pPr>
              <w:spacing w:before="120" w:after="12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firstLine="624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b/>
                <w:sz w:val="22"/>
                <w:szCs w:val="22"/>
                <w:lang w:eastAsia="en-US"/>
              </w:rPr>
              <w:t>Механизмы торговли электроэнергией и мощностью на территории неценовой зоны Архангельской области и неценовой зоны Республики Коми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ab/>
            </w:r>
          </w:p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в отношении ГТП потребления и ГТП генерации, расположенных на территории НЦЗА или НЦЗК, осуществляют куплю-продажу электроэнергии (мощности) по границе с ценовой зоной, в том числе по точкам поставки, располагающимся на электрических сетях, принадлежащих на праве собственности или ином законном основании организации по управлению единой национальной (общероссийской) электрической сетью,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с использованием механизмов: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tabs>
                <w:tab w:val="num" w:pos="840"/>
              </w:tabs>
              <w:autoSpaceDE w:val="0"/>
              <w:autoSpaceDN w:val="0"/>
              <w:adjustRightInd w:val="0"/>
              <w:spacing w:before="120" w:after="120"/>
              <w:ind w:left="840" w:hanging="2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конкурентного отбора ценовых заявок на сутки вперед ― в соответствии с разделом 7 настоящего Регламента,</w:t>
            </w:r>
          </w:p>
          <w:p w:rsidR="00B517FA" w:rsidRPr="003D0B71" w:rsidRDefault="00B517FA" w:rsidP="000E0AC3">
            <w:pPr>
              <w:widowControl w:val="0"/>
              <w:numPr>
                <w:ilvl w:val="0"/>
                <w:numId w:val="1"/>
              </w:numPr>
              <w:tabs>
                <w:tab w:val="num" w:pos="840"/>
              </w:tabs>
              <w:autoSpaceDE w:val="0"/>
              <w:autoSpaceDN w:val="0"/>
              <w:adjustRightInd w:val="0"/>
              <w:spacing w:before="120" w:after="120"/>
              <w:ind w:left="840" w:hanging="2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конкурентного отбора ценовых заявок для балансирования системы ― в соответствии с разделом 12 настоящего Регламента.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в отношении ГТП потребления и ГТП генерации, которые отнесены к территории соответствующей неценовой зоны, в части объемов покупки/продажи электроэнергии не по границе с ценовой зоной оптового рынка осуществляют куплю-продажу электроэнергии и мощности:</w:t>
            </w:r>
          </w:p>
          <w:p w:rsidR="00B517FA" w:rsidRPr="003D0B71" w:rsidRDefault="00B517FA" w:rsidP="000E0AC3">
            <w:pPr>
              <w:widowControl w:val="0"/>
              <w:numPr>
                <w:ilvl w:val="0"/>
                <w:numId w:val="1"/>
              </w:numPr>
              <w:tabs>
                <w:tab w:val="num" w:pos="840"/>
              </w:tabs>
              <w:autoSpaceDE w:val="0"/>
              <w:autoSpaceDN w:val="0"/>
              <w:adjustRightInd w:val="0"/>
              <w:spacing w:before="120" w:after="120"/>
              <w:ind w:left="84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 xml:space="preserve">по ценам, определенным в соответствии с разделом 9 настоящего Регламента, исходя из тарифов поставщиков; оплата отклонений по электроэнергии осуществляется в соответствии с </w:t>
            </w:r>
            <w:r w:rsidRPr="003D0B71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Регламентом определения объемов, инициатив и стоимости отклонений</w:t>
            </w:r>
            <w:r w:rsidRPr="003D0B71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(Приложение № 12 к </w:t>
            </w:r>
            <w:r w:rsidRPr="003D0B71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 w:cs="Arial"/>
                <w:sz w:val="22"/>
                <w:szCs w:val="22"/>
                <w:highlight w:val="yellow"/>
              </w:rPr>
              <w:t>)</w:t>
            </w:r>
            <w:r w:rsidRPr="003D0B71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B517FA" w:rsidRPr="003D0B71" w:rsidRDefault="00B517FA" w:rsidP="000E0AC3">
            <w:pPr>
              <w:spacing w:before="120" w:after="12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5.2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pStyle w:val="ConsNormal"/>
              <w:widowControl/>
              <w:tabs>
                <w:tab w:val="num" w:pos="1080"/>
              </w:tabs>
              <w:spacing w:before="120" w:after="120"/>
              <w:ind w:right="0" w:firstLine="624"/>
              <w:jc w:val="both"/>
              <w:rPr>
                <w:rFonts w:ascii="Garamond" w:hAnsi="Garamond" w:cs="Times New Roman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Times New Roman"/>
                <w:b/>
                <w:sz w:val="22"/>
                <w:szCs w:val="22"/>
                <w:lang w:eastAsia="en-US"/>
              </w:rPr>
              <w:t>Механизмы торговли электроэнергией и мощностью на территории Калининградской области</w:t>
            </w:r>
          </w:p>
          <w:p w:rsidR="00B517FA" w:rsidRPr="003D0B71" w:rsidRDefault="00B517FA" w:rsidP="000E0AC3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Times New Roman"/>
                <w:sz w:val="22"/>
                <w:szCs w:val="22"/>
                <w:lang w:eastAsia="en-US"/>
              </w:rPr>
              <w:t>Участники оптового рынка в отношении ГТП потребления, ГТП генерации, ГТП экспорта и ГТП импорта, расположенных на территории Калининградской области, не осуществляют куплю-продажу электроэнергии (мощности) по границе с ценовой зоной.</w:t>
            </w:r>
          </w:p>
          <w:p w:rsidR="00B517FA" w:rsidRPr="003D0B71" w:rsidRDefault="00B517FA" w:rsidP="000E0AC3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Участники оптового рынка, чьи ГТП отнесены к территории Калининградской области, продают (покупают) электроэнергию и мощность 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по ценам, определенным в соответствии с разделом 9 настоящего Регламента, исходя из тарифов поставщиков; оплата отклонений по электроэнергии осуществляется в соответствии с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Методикой ФСТ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pStyle w:val="ConsNormal"/>
              <w:widowControl/>
              <w:tabs>
                <w:tab w:val="num" w:pos="1080"/>
              </w:tabs>
              <w:spacing w:before="120" w:after="120"/>
              <w:ind w:right="0" w:firstLine="624"/>
              <w:jc w:val="both"/>
              <w:rPr>
                <w:rFonts w:ascii="Garamond" w:hAnsi="Garamond" w:cs="Times New Roman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Times New Roman"/>
                <w:b/>
                <w:sz w:val="22"/>
                <w:szCs w:val="22"/>
                <w:lang w:eastAsia="en-US"/>
              </w:rPr>
              <w:t>Механизмы торговли электроэнергией и мощностью на территории Калининградской области</w:t>
            </w:r>
          </w:p>
          <w:p w:rsidR="00B517FA" w:rsidRPr="003D0B71" w:rsidRDefault="00B517FA" w:rsidP="000E0AC3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Times New Roman"/>
                <w:sz w:val="22"/>
                <w:szCs w:val="22"/>
                <w:lang w:eastAsia="en-US"/>
              </w:rPr>
              <w:t>Участники оптового рынка в отношении ГТП потребления, ГТП генерации, ГТП экспорта и ГТП импорта, расположенных на территории Калининградской области, не осуществляют куплю-продажу электроэнергии (мощности) по границе с ценовой зоной.</w:t>
            </w:r>
          </w:p>
          <w:p w:rsidR="00B517FA" w:rsidRPr="003D0B71" w:rsidRDefault="00B517FA" w:rsidP="000E0AC3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Участники оптового рынка, чьи ГТП отнесены к территории Калининградской области, продают (покупают) электроэнергию и мощность 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по ценам, определенным в соответствии с разделом 9 настоящего Регламента, исходя из тарифов поставщиков; оплата отклонений по электроэнергии осуществляется в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определения объемов, инициатив и стоимости отклонений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12 к 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B517FA" w:rsidRPr="003D0B71" w:rsidRDefault="00B517FA" w:rsidP="000E0AC3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firstLine="624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в отношении ГТП потребления, ГТП экспорта, ГТП импорта и ГТП генерации, которые отнесены к территории второй неценовой зоны, в части объемов покупки/продажи электроэнергии не по границе с ценовой зоной оптового рынка осуществляют куплю-продажу электроэнергии и мощности: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 xml:space="preserve">по ценам, определенным в соответствии с разделом 9 настоящего Регламента, исходя из тарифов поставщиков; оплата отклонений по электроэнергии осуществляется в соответствии с </w:t>
            </w:r>
            <w:r w:rsidRPr="003D0B71">
              <w:rPr>
                <w:rFonts w:ascii="Garamond" w:hAnsi="Garamond" w:cs="Arial"/>
                <w:sz w:val="22"/>
                <w:szCs w:val="22"/>
                <w:highlight w:val="yellow"/>
              </w:rPr>
              <w:t>Методикой ФСТ</w:t>
            </w:r>
            <w:r w:rsidRPr="003D0B71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Для осуществления купли-продажи электроэнергии и (или) мощности: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3D0B71">
              <w:rPr>
                <w:rFonts w:ascii="Garamond" w:hAnsi="Garamond"/>
                <w:caps/>
                <w:sz w:val="22"/>
                <w:szCs w:val="22"/>
                <w:lang w:eastAsia="en-US"/>
              </w:rPr>
              <w:t>о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рганизация, осуществляющая функции Единого закупщика на территории второй </w:t>
            </w:r>
            <w:proofErr w:type="gram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неценовой зоны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заключает следующие договоры:</w:t>
            </w:r>
          </w:p>
          <w:p w:rsidR="00B517FA" w:rsidRPr="003D0B71" w:rsidRDefault="00B517FA" w:rsidP="000E0AC3">
            <w:pPr>
              <w:spacing w:before="120" w:after="120"/>
              <w:ind w:left="53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в отношении ГТП потребления, ГТП экспорта, ГТП импорта и ГТП генерации, которые отнесены к территории второй неценовой зоны, в части объемов покупки/продажи электроэнергии не по границе с ценовой зоной оптового рынка осуществляют куплю-продажу электроэнергии и мощности:</w:t>
            </w:r>
          </w:p>
          <w:p w:rsidR="00B517FA" w:rsidRPr="003D0B71" w:rsidRDefault="00B517FA" w:rsidP="000E0A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 xml:space="preserve">по ценам, определенным в соответствии с разделом 9 настоящего Регламента, исходя из тарифов поставщиков; оплата отклонений по электроэнергии осуществляется в соответствии с </w:t>
            </w:r>
            <w:r w:rsidRPr="003D0B71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Регламентом определения объемов, инициатив и стоимости отклонений</w:t>
            </w:r>
            <w:r w:rsidRPr="003D0B71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(Приложение № 12 к </w:t>
            </w:r>
            <w:r w:rsidRPr="003D0B71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 w:cs="Arial"/>
                <w:sz w:val="22"/>
                <w:szCs w:val="22"/>
                <w:highlight w:val="yellow"/>
              </w:rPr>
              <w:t>)</w:t>
            </w:r>
            <w:r w:rsidRPr="003D0B71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Для осуществления купли-продажи электроэнергии и (или) мощности:</w:t>
            </w:r>
          </w:p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3D0B71">
              <w:rPr>
                <w:rFonts w:ascii="Garamond" w:hAnsi="Garamond"/>
                <w:caps/>
                <w:sz w:val="22"/>
                <w:szCs w:val="22"/>
                <w:lang w:eastAsia="en-US"/>
              </w:rPr>
              <w:t>о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рганизация, осуществляющая функции Единого закупщика на территории второй неценовой зоны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заключает следующие договоры: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6.2.2.8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Двусторонний договор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должен быть заключен с соблюдением следующих условий по срокам действия </w:t>
            </w:r>
            <w:r w:rsidRPr="003D0B71">
              <w:rPr>
                <w:rFonts w:ascii="Garamond" w:hAnsi="Garamond"/>
                <w:sz w:val="22"/>
                <w:szCs w:val="22"/>
              </w:rPr>
              <w:t>двустороннего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договора: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1. Период поставки по </w:t>
            </w:r>
            <w:r w:rsidRPr="003D0B71">
              <w:rPr>
                <w:rFonts w:ascii="Garamond" w:hAnsi="Garamond"/>
                <w:sz w:val="22"/>
                <w:szCs w:val="22"/>
              </w:rPr>
              <w:t>двустороннему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договору должен быть не менее одного календарного месяца.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2. Датой начала поставки по </w:t>
            </w:r>
            <w:r w:rsidRPr="003D0B71">
              <w:rPr>
                <w:rFonts w:ascii="Garamond" w:hAnsi="Garamond"/>
                <w:sz w:val="22"/>
                <w:szCs w:val="22"/>
              </w:rPr>
              <w:t>двустороннему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договору должно быть первое число календарного месяца, датой окончания – последнее число последнего месяца периода поставки.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right="-27" w:firstLine="5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3. Период поставки по </w:t>
            </w:r>
            <w:r w:rsidRPr="003D0B71">
              <w:rPr>
                <w:rFonts w:ascii="Garamond" w:hAnsi="Garamond"/>
                <w:sz w:val="22"/>
                <w:szCs w:val="22"/>
              </w:rPr>
              <w:t>двустороннему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договору, цена по которому определяется числом (вариант 1 пункта 2.5 стандартной формы 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двустороннего договора (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</w:rPr>
              <w:t>Приложение № Д 13 к</w:t>
            </w:r>
            <w:r w:rsidRPr="003D0B71">
              <w:rPr>
                <w:rFonts w:ascii="Garamond" w:hAnsi="Garamond" w:cs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</w:rPr>
              <w:t>)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устанавливается в пределах периода регулирования. 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lastRenderedPageBreak/>
              <w:t>Двусторонний договор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должен быть заключен с соблюдением следующих условий по срокам действия </w:t>
            </w:r>
            <w:r w:rsidRPr="003D0B71">
              <w:rPr>
                <w:rFonts w:ascii="Garamond" w:hAnsi="Garamond"/>
                <w:sz w:val="22"/>
                <w:szCs w:val="22"/>
              </w:rPr>
              <w:t>двустороннего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договора: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1. Период поставки по </w:t>
            </w:r>
            <w:r w:rsidRPr="003D0B71">
              <w:rPr>
                <w:rFonts w:ascii="Garamond" w:hAnsi="Garamond"/>
                <w:sz w:val="22"/>
                <w:szCs w:val="22"/>
              </w:rPr>
              <w:t>двустороннему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договору должен быть не менее одного календарного месяца.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2. Датой начала поставки по </w:t>
            </w:r>
            <w:r w:rsidRPr="003D0B71">
              <w:rPr>
                <w:rFonts w:ascii="Garamond" w:hAnsi="Garamond"/>
                <w:sz w:val="22"/>
                <w:szCs w:val="22"/>
              </w:rPr>
              <w:t>двустороннему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договору должно быть первое число календарного месяца, датой окончания – последнее число последнего месяца периода поставки.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right="-27" w:firstLine="5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3. Период поставки по </w:t>
            </w:r>
            <w:r w:rsidRPr="003D0B71">
              <w:rPr>
                <w:rFonts w:ascii="Garamond" w:hAnsi="Garamond"/>
                <w:sz w:val="22"/>
                <w:szCs w:val="22"/>
              </w:rPr>
              <w:t>двустороннему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договору, цена по которому определяется числом (вариант 1 пункта 2.5 стандартной формы 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двустороннего договора (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</w:rPr>
              <w:t>Приложение № Д 13 к</w:t>
            </w:r>
            <w:r w:rsidRPr="003D0B71">
              <w:rPr>
                <w:rFonts w:ascii="Garamond" w:hAnsi="Garamond" w:cs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</w:rPr>
              <w:t>)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  <w:highlight w:val="yellow"/>
              </w:rPr>
              <w:t>)</w:t>
            </w:r>
            <w:r w:rsidR="003D0B71" w:rsidRPr="003D0B71">
              <w:rPr>
                <w:rFonts w:ascii="Garamond" w:hAnsi="Garamond" w:cs="Garamond"/>
                <w:bCs/>
                <w:iCs/>
                <w:sz w:val="22"/>
                <w:szCs w:val="22"/>
                <w:highlight w:val="yellow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устанавливается в пределах периода регулирования. 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6.2.3.1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pStyle w:val="a3"/>
              <w:numPr>
                <w:ilvl w:val="0"/>
                <w:numId w:val="6"/>
              </w:numPr>
              <w:spacing w:before="120" w:after="120"/>
              <w:ind w:left="459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цену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двустороннего договора (в случае если двусторонний договор заключен в отношении двух или более станций поставщика, цена указывается в отношении каждой из указанных станций) в соответствии с пунктом 2.5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стандартной форм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ой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двустороннего договора (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</w:rPr>
              <w:t>Приложение № Д 13 к</w:t>
            </w:r>
            <w:r w:rsidRPr="003D0B71">
              <w:rPr>
                <w:rFonts w:ascii="Garamond" w:hAnsi="Garamond" w:cs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</w:rPr>
              <w:t>).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pStyle w:val="a3"/>
              <w:numPr>
                <w:ilvl w:val="0"/>
                <w:numId w:val="6"/>
              </w:numPr>
              <w:spacing w:before="120" w:after="120"/>
              <w:ind w:left="459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цену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двустороннего договора (в случае если двусторонний договор заключен в отношении двух или более станций поставщика, цена указывается в отношении каждой из указанных станций) в соответствии с пунктом 2.5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стандартной форм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двустороннего договора (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</w:rPr>
              <w:t>Приложение № Д 13 к</w:t>
            </w:r>
            <w:r w:rsidRPr="003D0B71">
              <w:rPr>
                <w:rFonts w:ascii="Garamond" w:hAnsi="Garamond" w:cs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3D0B71">
              <w:rPr>
                <w:rFonts w:ascii="Garamond" w:hAnsi="Garamond" w:cs="Garamond"/>
                <w:bCs/>
                <w:iCs/>
                <w:sz w:val="22"/>
                <w:szCs w:val="22"/>
              </w:rPr>
              <w:t>).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6.2.6.2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Подача сторонами двустороннего договора заявления о досрочном прекращении учета двустороннего договора в КО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должна осуществляться посредством электронной почты в зашифрованном виде и в соответствии с форматами электронных документов, входящих в состав программного обеспечения «АРМ участника ОРЭ», передаваемого участникам оптового рынка в КО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 xml:space="preserve">Регламентом допуска к торговой системе оптового рынка 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</w:rPr>
              <w:t>электроэнергии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(Приложение № 1 к </w:t>
            </w:r>
            <w:r w:rsidRPr="003D0B71">
              <w:rPr>
                <w:rFonts w:ascii="Garamond" w:hAnsi="Garamond"/>
                <w:i/>
                <w:iCs/>
                <w:sz w:val="22"/>
                <w:szCs w:val="22"/>
              </w:rPr>
              <w:t xml:space="preserve">Договору о присоединении к торговой системе оптового рынка) </w:t>
            </w:r>
            <w:r w:rsidRPr="003D0B71">
              <w:rPr>
                <w:rFonts w:ascii="Garamond" w:hAnsi="Garamond"/>
                <w:sz w:val="22"/>
                <w:szCs w:val="22"/>
              </w:rPr>
              <w:t>и используемого в КО.</w:t>
            </w:r>
          </w:p>
          <w:p w:rsidR="00B517FA" w:rsidRPr="003D0B71" w:rsidRDefault="00B517FA" w:rsidP="000E0AC3">
            <w:pPr>
              <w:spacing w:before="120" w:after="120"/>
              <w:ind w:firstLine="459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Подача сторонами двустороннего договора заявления о досрочном прекращении учета двустороннего договора в КО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должна осуществляться посредством электронной почты в зашифрованном виде и в соответствии с форматами электронных документов, входящих в состав программного обеспечения «АРМ участника ОРЭ», передаваемого участникам оптового рынка в КО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 xml:space="preserve">Регламентом допуска к торговой системе оптового рынка 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(Приложение № 1 к </w:t>
            </w:r>
            <w:r w:rsidRPr="003D0B71">
              <w:rPr>
                <w:rFonts w:ascii="Garamond" w:hAnsi="Garamond"/>
                <w:i/>
                <w:iCs/>
                <w:sz w:val="22"/>
                <w:szCs w:val="22"/>
              </w:rPr>
              <w:t xml:space="preserve">Договору о присоединении к торговой системе оптового рынка) </w:t>
            </w:r>
            <w:r w:rsidRPr="003D0B71">
              <w:rPr>
                <w:rFonts w:ascii="Garamond" w:hAnsi="Garamond"/>
                <w:sz w:val="22"/>
                <w:szCs w:val="22"/>
              </w:rPr>
              <w:t>и используемого в КО.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ind w:firstLine="526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7.1.4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tabs>
                <w:tab w:val="left" w:pos="1320"/>
              </w:tabs>
              <w:spacing w:before="120" w:after="120"/>
              <w:ind w:firstLine="482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 перетока электроэнергии в ограничивающем сечении соответствующей неценовой зоны, включенный в процедуру конкурентного отбора на сутки вперед, составляющий часть фактического потребления за расчетный период, определяется КО для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каждого покупателя соответствующей неценовой зоны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по правилу, определенному в пункте 7.1.5 настоящего Регламента.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tabs>
                <w:tab w:val="left" w:pos="1320"/>
              </w:tabs>
              <w:spacing w:before="120" w:after="120"/>
              <w:ind w:firstLine="482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Объем перетока электроэнергии в ограничивающем сечении соответствующей неценовой зоны, включенный в процедуру конкурентного отбора на сутки вперед, составляющий часть фактического потребления за расчетный период, определяется КО для каждого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покупателя соответствующей неценовой зоны по правилу, определенному в пункте 7.1.5 настоящего Регламента.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pStyle w:val="ConsTitle"/>
              <w:widowControl/>
              <w:spacing w:before="120" w:after="120"/>
              <w:ind w:right="0" w:firstLine="567"/>
              <w:jc w:val="both"/>
              <w:outlineLvl w:val="0"/>
              <w:rPr>
                <w:rFonts w:ascii="Garamond" w:hAnsi="Garamond"/>
                <w:b w:val="0"/>
                <w:sz w:val="22"/>
                <w:szCs w:val="22"/>
              </w:rPr>
            </w:pPr>
            <w:bookmarkStart w:id="11" w:name="_Toc455402966"/>
            <w:bookmarkStart w:id="12" w:name="_Toc470790512"/>
            <w:bookmarkStart w:id="13" w:name="_Toc516064640"/>
            <w:r w:rsidRPr="003D0B71">
              <w:rPr>
                <w:rFonts w:ascii="Garamond" w:hAnsi="Garamond"/>
                <w:b w:val="0"/>
                <w:sz w:val="22"/>
                <w:szCs w:val="22"/>
              </w:rPr>
              <w:t>В срок не позднее 14-го числа месяца, следующего за расчетным, КО публикует на своем официальном сайте в открытом доступе информацию о составляющих регулируемых цен на электрическую энергию (мощность), поставляемую на розничных рынках на территориях, объединенных в неценовые зоны (далее – конечные регулируемые цены), указанных в Основных положениях функционирования розничных рынков электрической энергии и Правилах оптового рынка электрической энергии и мощности, по форме приложений 2 и 2.1 к настоящему Регламенту в соответствии с перечнем, определенным в разделе 19.1 настоящего Регламента.</w:t>
            </w:r>
            <w:bookmarkEnd w:id="11"/>
            <w:bookmarkEnd w:id="12"/>
            <w:bookmarkEnd w:id="13"/>
          </w:p>
          <w:p w:rsidR="00B517FA" w:rsidRPr="003D0B71" w:rsidRDefault="00B517FA" w:rsidP="000E0AC3">
            <w:pPr>
              <w:pStyle w:val="ConsTitle"/>
              <w:widowControl/>
              <w:spacing w:before="120" w:after="120"/>
              <w:ind w:right="0" w:firstLine="567"/>
              <w:jc w:val="both"/>
              <w:outlineLvl w:val="0"/>
              <w:rPr>
                <w:rFonts w:ascii="Garamond" w:hAnsi="Garamond" w:cs="Times New Roman"/>
                <w:b w:val="0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Примечание.</w:t>
            </w:r>
            <w:r w:rsidRPr="003D0B71">
              <w:rPr>
                <w:rFonts w:ascii="Garamond" w:hAnsi="Garamond"/>
                <w:b w:val="0"/>
                <w:sz w:val="22"/>
                <w:szCs w:val="22"/>
              </w:rPr>
              <w:t xml:space="preserve"> Для расчетного месяца – июнь 2020 года,  в соответствии с рассчитанными фактическими обязательствами/требованиями по договорам, обеспечивающим  куплю/продажу электрической энергии  и (или) мощности, выполненными в соответствии с пунктом 7.2.2 </w:t>
            </w:r>
            <w:r w:rsidRPr="003D0B71">
              <w:rPr>
                <w:rFonts w:ascii="Garamond" w:hAnsi="Garamond"/>
                <w:b w:val="0"/>
                <w:i/>
                <w:sz w:val="22"/>
                <w:szCs w:val="22"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Pr="003D0B7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(Приложение № 14  к </w:t>
            </w:r>
            <w:r w:rsidRPr="003D0B71">
              <w:rPr>
                <w:rFonts w:ascii="Garamond" w:hAnsi="Garamond"/>
                <w:b w:val="0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)</w:t>
            </w:r>
            <w:r w:rsidRPr="003D0B71">
              <w:rPr>
                <w:rFonts w:ascii="Garamond" w:hAnsi="Garamond"/>
                <w:b w:val="0"/>
                <w:sz w:val="22"/>
                <w:szCs w:val="22"/>
              </w:rPr>
              <w:t>, КО уточняет ранее опубликованную информацию о составляющих регулируемых цен на электрическую энергию (мощность), поставляемую на розничных рынках на территории Дальнего Востока, на сайте в срок не позднее 17-го числа месяца, следующего за расчетным.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pStyle w:val="ConsTitle"/>
              <w:widowControl/>
              <w:spacing w:before="120" w:after="120"/>
              <w:ind w:right="0" w:firstLine="567"/>
              <w:jc w:val="both"/>
              <w:outlineLvl w:val="0"/>
              <w:rPr>
                <w:rFonts w:ascii="Garamond" w:hAnsi="Garamond"/>
                <w:b w:val="0"/>
                <w:sz w:val="22"/>
                <w:szCs w:val="22"/>
              </w:rPr>
            </w:pPr>
            <w:r w:rsidRPr="003D0B71">
              <w:rPr>
                <w:rFonts w:ascii="Garamond" w:hAnsi="Garamond"/>
                <w:b w:val="0"/>
                <w:sz w:val="22"/>
                <w:szCs w:val="22"/>
              </w:rPr>
              <w:t>В срок не позднее 14-го числа месяца, следующего за расчетным, КО публикует на своем официальном сайте в открытом доступе информацию о составляющих регулируемых цен на электрическую энергию (мощность), поставляемую на розничных рынках на территориях, объединенных в неценовые зоны (далее – конечные регулируемые цены), указанных в Основных положениях функционирования розничных рынков электрической энергии и Правилах оптового рынка электрической энергии и мощности, по форме приложений 2 и 2.1 к настоящему Регламенту в соответствии с перечнем, определенным в разделе 19.1 настоящего Регламента.</w:t>
            </w:r>
          </w:p>
          <w:p w:rsidR="00B517FA" w:rsidRPr="003D0B71" w:rsidRDefault="00B517FA" w:rsidP="000E0AC3">
            <w:pPr>
              <w:pStyle w:val="ConsTitle"/>
              <w:widowControl/>
              <w:spacing w:before="120" w:after="120"/>
              <w:ind w:right="0" w:firstLine="567"/>
              <w:jc w:val="both"/>
              <w:outlineLvl w:val="0"/>
              <w:rPr>
                <w:rFonts w:ascii="Garamond" w:hAnsi="Garamond"/>
                <w:b w:val="0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Примечание.</w:t>
            </w:r>
            <w:r w:rsidRPr="003D0B71">
              <w:rPr>
                <w:rFonts w:ascii="Garamond" w:hAnsi="Garamond"/>
                <w:b w:val="0"/>
                <w:sz w:val="22"/>
                <w:szCs w:val="22"/>
              </w:rPr>
              <w:t xml:space="preserve"> Для расчетного месяца – июнь 2020 года,  в соответствии с рассчитанными фактическими обязательствами/требованиями по договорам, обеспечивающим  куплю/продажу электрической энергии  и (или) мощности, выполненными в соответствии с пунктом 7.2.2 </w:t>
            </w:r>
            <w:r w:rsidRPr="003D0B7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b w:val="0"/>
                <w:sz w:val="22"/>
                <w:szCs w:val="22"/>
              </w:rPr>
              <w:t>, КО уточняет ранее опубликованную информацию о составляющих регулируемых цен на электрическую энергию (мощность), поставляемую на розничных рынках на территории Дальнего Востока, на сайте в срок не позднее 17-го числа месяца, следующего за расчетным.</w:t>
            </w:r>
          </w:p>
          <w:p w:rsidR="00B517FA" w:rsidRPr="003D0B71" w:rsidRDefault="00B517FA" w:rsidP="000E0AC3">
            <w:pPr>
              <w:pStyle w:val="ConsTitle"/>
              <w:widowControl/>
              <w:spacing w:before="120" w:after="120"/>
              <w:ind w:right="0" w:firstLine="567"/>
              <w:jc w:val="both"/>
              <w:outlineLvl w:val="0"/>
              <w:rPr>
                <w:rFonts w:ascii="Garamond" w:hAnsi="Garamond"/>
                <w:b w:val="0"/>
                <w:sz w:val="22"/>
                <w:szCs w:val="22"/>
              </w:rPr>
            </w:pPr>
          </w:p>
          <w:p w:rsidR="00B517FA" w:rsidRPr="003D0B71" w:rsidRDefault="00B517FA" w:rsidP="000E0AC3">
            <w:pPr>
              <w:pStyle w:val="ConsTitle"/>
              <w:widowControl/>
              <w:spacing w:before="120" w:after="120"/>
              <w:ind w:right="0" w:firstLine="567"/>
              <w:jc w:val="center"/>
              <w:outlineLvl w:val="0"/>
              <w:rPr>
                <w:rFonts w:ascii="Garamond" w:hAnsi="Garamond" w:cs="Times New Roman"/>
                <w:b w:val="0"/>
                <w:sz w:val="22"/>
                <w:szCs w:val="22"/>
              </w:rPr>
            </w:pPr>
            <w:r w:rsidRPr="003D0B71"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19.1.1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Коммерческому оператору в порядке и сроки, установленные пунктом 17.2.5, или предоставил указанную информацию в отношении не всех ГТП потребления, зарегистрированных за рассматриваемым участником оптового рынка в неценовой зоне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D0B71">
              <w:rPr>
                <w:rFonts w:ascii="Garamond" w:hAnsi="Garamond"/>
                <w:sz w:val="22"/>
                <w:szCs w:val="22"/>
              </w:rPr>
              <w:t>, в отношении которых получено право на участие в торговле электрической энергией и мощностью на оптовом рынке, то:</w:t>
            </w:r>
          </w:p>
          <w:p w:rsidR="00B517FA" w:rsidRPr="003D0B71" w:rsidRDefault="00B517FA" w:rsidP="000E0AC3">
            <w:pPr>
              <w:pStyle w:val="ConsTitle"/>
              <w:widowControl/>
              <w:spacing w:before="120" w:after="120"/>
              <w:ind w:right="0" w:firstLine="567"/>
              <w:jc w:val="center"/>
              <w:outlineLvl w:val="0"/>
              <w:rPr>
                <w:rFonts w:ascii="Garamond" w:hAnsi="Garamond"/>
                <w:b w:val="0"/>
                <w:sz w:val="22"/>
                <w:szCs w:val="22"/>
              </w:rPr>
            </w:pPr>
            <w:r w:rsidRPr="003D0B71"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Коммерческому оператору в порядке и сроки, установленные пунктом 17.2.5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, или предоставил указанную информацию в отношении не всех ГТП потребления, зарегистрированных за рассматриваемым участником оптового рынка в неценовой зоне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3D0B71">
              <w:rPr>
                <w:rFonts w:ascii="Garamond" w:hAnsi="Garamond"/>
                <w:sz w:val="22"/>
                <w:szCs w:val="22"/>
              </w:rPr>
              <w:t>, в отношении которых получено право на участие в торговле электрической энергией и мощностью на оптовом рынке, то:</w:t>
            </w:r>
          </w:p>
          <w:p w:rsidR="00B517FA" w:rsidRPr="003D0B71" w:rsidRDefault="00B517FA" w:rsidP="000E0AC3">
            <w:pPr>
              <w:pStyle w:val="ConsTitle"/>
              <w:widowControl/>
              <w:spacing w:before="120" w:after="120"/>
              <w:ind w:right="0" w:firstLine="567"/>
              <w:jc w:val="center"/>
              <w:outlineLvl w:val="0"/>
              <w:rPr>
                <w:rFonts w:ascii="Garamond" w:hAnsi="Garamond"/>
                <w:b w:val="0"/>
                <w:sz w:val="22"/>
                <w:szCs w:val="22"/>
              </w:rPr>
            </w:pPr>
            <w:r w:rsidRPr="003D0B71"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19.1.2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660" w:dyaOrig="405">
                <v:shape id="_x0000_i1027" type="#_x0000_t75" style="width:33.25pt;height:20.75pt" o:ole="">
                  <v:imagedata r:id="rId8" o:title=""/>
                </v:shape>
                <o:OLEObject Type="Embed" ProgID="Equation.3" ShapeID="_x0000_i1027" DrawAspect="Content" ObjectID="_1675765674" r:id="rId9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фактический почасовой объем электрической энергии, приобретенный ГП (ЭСО, ЭСК) у производителей электрической энергии на розничном рынке, осуществляющих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предоставленный КО в порядке и сроки, установленные пунктом 17.2.5 настоящего Регламента;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28"/>
                <w:sz w:val="22"/>
                <w:szCs w:val="22"/>
              </w:rPr>
              <w:object w:dxaOrig="4815" w:dyaOrig="540">
                <v:shape id="_x0000_i1028" type="#_x0000_t75" style="width:240.55pt;height:27.25pt" o:ole="">
                  <v:imagedata r:id="rId10" o:title=""/>
                </v:shape>
                <o:OLEObject Type="Embed" ProgID="Equation.3" ShapeID="_x0000_i1028" DrawAspect="Content" ObjectID="_1675765675" r:id="rId11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28"/>
                <w:sz w:val="22"/>
                <w:szCs w:val="22"/>
              </w:rPr>
              <w:object w:dxaOrig="5565" w:dyaOrig="540">
                <v:shape id="_x0000_i1029" type="#_x0000_t75" style="width:279.8pt;height:27.25pt" o:ole="">
                  <v:imagedata r:id="rId12" o:title=""/>
                </v:shape>
                <o:OLEObject Type="Embed" ProgID="Equation.3" ShapeID="_x0000_i1029" DrawAspect="Content" ObjectID="_1675765676" r:id="rId13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,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1200" w:dyaOrig="405">
                <v:shape id="_x0000_i1030" type="#_x0000_t75" style="width:60pt;height:20.75pt" o:ole="">
                  <v:imagedata r:id="rId14" o:title=""/>
                </v:shape>
                <o:OLEObject Type="Embed" ProgID="Equation.3" ShapeID="_x0000_i1030" DrawAspect="Content" ObjectID="_1675765677" r:id="rId15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величина, определяемая в соответствии с пунктом 19.1.1;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30"/>
                <w:sz w:val="22"/>
                <w:szCs w:val="22"/>
              </w:rPr>
              <w:object w:dxaOrig="6740" w:dyaOrig="560">
                <v:shape id="_x0000_i1031" type="#_x0000_t75" style="width:326.75pt;height:26.75pt" o:ole="">
                  <v:imagedata r:id="rId16" o:title=""/>
                </v:shape>
                <o:OLEObject Type="Embed" ProgID="Equation.3" ShapeID="_x0000_i1031" DrawAspect="Content" ObjectID="_1675765678" r:id="rId17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30"/>
                <w:sz w:val="22"/>
                <w:szCs w:val="22"/>
              </w:rPr>
              <w:object w:dxaOrig="7360" w:dyaOrig="560">
                <v:shape id="_x0000_i1032" type="#_x0000_t75" style="width:318pt;height:24.55pt" o:ole="">
                  <v:imagedata r:id="rId18" o:title=""/>
                </v:shape>
                <o:OLEObject Type="Embed" ProgID="Equation.3" ShapeID="_x0000_i1032" DrawAspect="Content" ObjectID="_1675765679" r:id="rId19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,</w:t>
            </w:r>
          </w:p>
          <w:p w:rsidR="00B517FA" w:rsidRPr="003D0B71" w:rsidRDefault="00B517FA" w:rsidP="000E0AC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>
                <v:shape id="_x0000_i1033" type="#_x0000_t75" style="width:45.25pt;height:21.8pt" o:ole="">
                  <v:imagedata r:id="rId20" o:title=""/>
                </v:shape>
                <o:OLEObject Type="Embed" ProgID="Equation.3" ShapeID="_x0000_i1033" DrawAspect="Content" ObjectID="_1675765680" r:id="rId21"/>
              </w:object>
            </w: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>
                <v:shape id="_x0000_i1034" type="#_x0000_t75" style="width:57.25pt;height:21.8pt" o:ole="">
                  <v:imagedata r:id="rId22" o:title=""/>
                </v:shape>
                <o:OLEObject Type="Embed" ProgID="Equation.3" ShapeID="_x0000_i1034" DrawAspect="Content" ObjectID="_1675765681" r:id="rId23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величины начисленной разницы обязательств и требований участнику оптового рынка в соответствии с п. 7.4.6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Регламента финансовых расчетов на оптовом рынке электроэнергии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(Приложение № 16 к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</w:rPr>
              <w:t>).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если </w:t>
            </w:r>
            <w:r w:rsidRPr="003D0B71">
              <w:rPr>
                <w:rFonts w:ascii="Garamond" w:hAnsi="Garamond"/>
                <w:position w:val="-30"/>
                <w:sz w:val="22"/>
                <w:szCs w:val="22"/>
              </w:rPr>
              <w:object w:dxaOrig="2299" w:dyaOrig="560">
                <v:shape id="_x0000_i1035" type="#_x0000_t75" style="width:117.25pt;height:28.9pt" o:ole="">
                  <v:imagedata r:id="rId24" o:title=""/>
                </v:shape>
                <o:OLEObject Type="Embed" ProgID="Equation.3" ShapeID="_x0000_i1035" DrawAspect="Content" ObjectID="_1675765682" r:id="rId25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=0, то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>
                <v:shape id="_x0000_i1036" type="#_x0000_t75" style="width:45.25pt;height:21.8pt" o:ole="">
                  <v:imagedata r:id="rId20" o:title=""/>
                </v:shape>
                <o:OLEObject Type="Embed" ProgID="Equation.3" ShapeID="_x0000_i1036" DrawAspect="Content" ObjectID="_1675765683" r:id="rId26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=</w:t>
            </w: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>0 ,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1060" w:dyaOrig="400">
                <v:shape id="_x0000_i1037" type="#_x0000_t75" style="width:50.2pt;height:21.8pt" o:ole="">
                  <v:imagedata r:id="rId27" o:title=""/>
                </v:shape>
                <o:OLEObject Type="Embed" ProgID="Equation.3" ShapeID="_x0000_i1037" DrawAspect="Content" ObjectID="_1675765684" r:id="rId28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=0.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660" w:dyaOrig="405">
                <v:shape id="_x0000_i1038" type="#_x0000_t75" style="width:33.25pt;height:20.75pt" o:ole="">
                  <v:imagedata r:id="rId8" o:title=""/>
                </v:shape>
                <o:OLEObject Type="Embed" ProgID="Equation.3" ShapeID="_x0000_i1038" DrawAspect="Content" ObjectID="_1675765685" r:id="rId29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фактический почасовой объем электрической энергии, приобретенный ГП (ЭСО, ЭСК) у производителей электрической энергии на розничном рынке, осуществляющих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предоставленный КО в порядке и сроки, установленные пунктом 17.2.5 настоящего Регламента.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всех или части ГТП, отнесенных к множеству 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</w:rPr>
              <w:t>(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</w:rPr>
              <w:t>)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30"/>
                <w:sz w:val="22"/>
                <w:szCs w:val="22"/>
              </w:rPr>
              <w:object w:dxaOrig="9120" w:dyaOrig="560">
                <v:shape id="_x0000_i1039" type="#_x0000_t75" style="width:322.9pt;height:19.65pt" o:ole="">
                  <v:imagedata r:id="rId30" o:title=""/>
                </v:shape>
                <o:OLEObject Type="Embed" ProgID="Equation.3" ShapeID="_x0000_i1039" DrawAspect="Content" ObjectID="_1675765686" r:id="rId31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,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1200" w:dyaOrig="405">
                <v:shape id="_x0000_i1040" type="#_x0000_t75" style="width:60pt;height:20.75pt" o:ole="">
                  <v:imagedata r:id="rId14" o:title=""/>
                </v:shape>
                <o:OLEObject Type="Embed" ProgID="Equation.3" ShapeID="_x0000_i1040" DrawAspect="Content" ObjectID="_1675765687" r:id="rId32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-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величина, определяемая в соответствии с пунктом 19.1.1;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3D0B71">
              <w:rPr>
                <w:rFonts w:ascii="Garamond" w:hAnsi="Garamond"/>
                <w:position w:val="-30"/>
                <w:sz w:val="22"/>
                <w:szCs w:val="22"/>
              </w:rPr>
              <w:object w:dxaOrig="7640" w:dyaOrig="560">
                <v:shape id="_x0000_i1041" type="#_x0000_t75" style="width:321.8pt;height:23.45pt" o:ole="">
                  <v:imagedata r:id="rId33" o:title=""/>
                </v:shape>
                <o:OLEObject Type="Embed" ProgID="Equation.3" ShapeID="_x0000_i1041" DrawAspect="Content" ObjectID="_1675765688" r:id="rId34"/>
              </w:objec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всех или части ГТП, отнесенных к множеству 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</w:rPr>
              <w:t>(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</w:rPr>
              <w:t>)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17.2.5, то:</w:t>
            </w:r>
          </w:p>
          <w:p w:rsidR="00B517FA" w:rsidRPr="003D0B71" w:rsidRDefault="001242D5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 w:cs="Arial"/>
                <w:position w:val="-30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30"/>
                <w:sz w:val="22"/>
                <w:szCs w:val="22"/>
              </w:rPr>
              <w:object w:dxaOrig="10700" w:dyaOrig="560">
                <v:shape id="_x0000_i1042" type="#_x0000_t75" style="width:326.2pt;height:20.75pt" o:ole="">
                  <v:imagedata r:id="rId35" o:title=""/>
                </v:shape>
                <o:OLEObject Type="Embed" ProgID="Equation.3" ShapeID="_x0000_i1042" DrawAspect="Content" ObjectID="_1675765689" r:id="rId36"/>
              </w:object>
            </w:r>
            <w:r w:rsidR="00B517FA" w:rsidRPr="003D0B71">
              <w:rPr>
                <w:rFonts w:ascii="Garamond" w:hAnsi="Garamond" w:cs="Arial"/>
                <w:sz w:val="22"/>
                <w:szCs w:val="22"/>
              </w:rPr>
              <w:t xml:space="preserve">, 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>
                <v:shape id="_x0000_i1043" type="#_x0000_t75" style="width:58.35pt;height:19.65pt" o:ole="">
                  <v:imagedata r:id="rId37" o:title=""/>
                </v:shape>
                <o:OLEObject Type="Embed" ProgID="Equation.3" ShapeID="_x0000_i1043" DrawAspect="Content" ObjectID="_1675765690" r:id="rId38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−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плановый почасовой объем производства блок-станций, определенный в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Регламентом подачи уведомлений участниками оптового рынка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(Приложение №4 к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</w:rPr>
              <w:t>).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660" w:dyaOrig="405">
                <v:shape id="_x0000_i1044" type="#_x0000_t75" style="width:33.25pt;height:20.75pt" o:ole="">
                  <v:imagedata r:id="rId8" o:title=""/>
                </v:shape>
                <o:OLEObject Type="Embed" ProgID="Equation.3" ShapeID="_x0000_i1044" DrawAspect="Content" ObjectID="_1675765691" r:id="rId39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фактический почасовой объем электрической энергии, приобретенный ГП (ЭСО, ЭСК) у производителей электрической энергии на розничном рынке, осуществляющих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предоставленный КО в порядке и сроки, установленные пунктом 17.2.5 настоящего Регламента;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28"/>
                <w:sz w:val="22"/>
                <w:szCs w:val="22"/>
              </w:rPr>
              <w:object w:dxaOrig="4815" w:dyaOrig="540">
                <v:shape id="_x0000_i1045" type="#_x0000_t75" style="width:240.55pt;height:27.25pt" o:ole="">
                  <v:imagedata r:id="rId10" o:title=""/>
                </v:shape>
                <o:OLEObject Type="Embed" ProgID="Equation.3" ShapeID="_x0000_i1045" DrawAspect="Content" ObjectID="_1675765692" r:id="rId40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28"/>
                <w:sz w:val="22"/>
                <w:szCs w:val="22"/>
              </w:rPr>
              <w:object w:dxaOrig="5565" w:dyaOrig="540">
                <v:shape id="_x0000_i1046" type="#_x0000_t75" style="width:279.8pt;height:27.25pt" o:ole="">
                  <v:imagedata r:id="rId12" o:title=""/>
                </v:shape>
                <o:OLEObject Type="Embed" ProgID="Equation.3" ShapeID="_x0000_i1046" DrawAspect="Content" ObjectID="_1675765693" r:id="rId41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,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1200" w:dyaOrig="405">
                <v:shape id="_x0000_i1047" type="#_x0000_t75" style="width:60pt;height:20.75pt" o:ole="">
                  <v:imagedata r:id="rId14" o:title=""/>
                </v:shape>
                <o:OLEObject Type="Embed" ProgID="Equation.3" ShapeID="_x0000_i1047" DrawAspect="Content" ObjectID="_1675765694" r:id="rId42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величина, определяемая в соответствии с пунктом 19.1.1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30"/>
                <w:sz w:val="22"/>
                <w:szCs w:val="22"/>
              </w:rPr>
              <w:object w:dxaOrig="6740" w:dyaOrig="560">
                <v:shape id="_x0000_i1048" type="#_x0000_t75" style="width:326.75pt;height:26.75pt" o:ole="">
                  <v:imagedata r:id="rId16" o:title=""/>
                </v:shape>
                <o:OLEObject Type="Embed" ProgID="Equation.3" ShapeID="_x0000_i1048" DrawAspect="Content" ObjectID="_1675765695" r:id="rId43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30"/>
                <w:sz w:val="22"/>
                <w:szCs w:val="22"/>
              </w:rPr>
              <w:object w:dxaOrig="7360" w:dyaOrig="560">
                <v:shape id="_x0000_i1049" type="#_x0000_t75" style="width:318pt;height:24.55pt" o:ole="">
                  <v:imagedata r:id="rId18" o:title=""/>
                </v:shape>
                <o:OLEObject Type="Embed" ProgID="Equation.3" ShapeID="_x0000_i1049" DrawAspect="Content" ObjectID="_1675765696" r:id="rId44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,</w:t>
            </w:r>
          </w:p>
          <w:p w:rsidR="00B517FA" w:rsidRPr="003D0B71" w:rsidRDefault="00B517FA" w:rsidP="000E0AC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>
                <v:shape id="_x0000_i1050" type="#_x0000_t75" style="width:45.25pt;height:21.8pt" o:ole="">
                  <v:imagedata r:id="rId20" o:title=""/>
                </v:shape>
                <o:OLEObject Type="Embed" ProgID="Equation.3" ShapeID="_x0000_i1050" DrawAspect="Content" ObjectID="_1675765697" r:id="rId45"/>
              </w:object>
            </w: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>
                <v:shape id="_x0000_i1051" type="#_x0000_t75" style="width:57.25pt;height:21.8pt" o:ole="">
                  <v:imagedata r:id="rId22" o:title=""/>
                </v:shape>
                <o:OLEObject Type="Embed" ProgID="Equation.3" ShapeID="_x0000_i1051" DrawAspect="Content" ObjectID="_1675765698" r:id="rId46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величины начисленной разницы обязательств и требований участнику оптового рынка в соответствии с п. 7.4.6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Регламента финансовых расчетов на оптовом рынке электроэнергии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(Приложение № 16 к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</w:rPr>
              <w:t>).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r w:rsidRPr="003D0B71">
              <w:rPr>
                <w:rFonts w:ascii="Garamond" w:hAnsi="Garamond"/>
                <w:position w:val="-30"/>
                <w:sz w:val="22"/>
                <w:szCs w:val="22"/>
              </w:rPr>
              <w:object w:dxaOrig="2299" w:dyaOrig="560">
                <v:shape id="_x0000_i1052" type="#_x0000_t75" style="width:117.25pt;height:28.9pt" o:ole="">
                  <v:imagedata r:id="rId24" o:title=""/>
                </v:shape>
                <o:OLEObject Type="Embed" ProgID="Equation.3" ShapeID="_x0000_i1052" DrawAspect="Content" ObjectID="_1675765699" r:id="rId47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=0, то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>
                <v:shape id="_x0000_i1053" type="#_x0000_t75" style="width:45.25pt;height:21.8pt" o:ole="">
                  <v:imagedata r:id="rId20" o:title=""/>
                </v:shape>
                <o:OLEObject Type="Embed" ProgID="Equation.3" ShapeID="_x0000_i1053" DrawAspect="Content" ObjectID="_1675765700" r:id="rId48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=</w:t>
            </w: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>0 ,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1060" w:dyaOrig="400">
                <v:shape id="_x0000_i1054" type="#_x0000_t75" style="width:50.2pt;height:21.8pt" o:ole="">
                  <v:imagedata r:id="rId27" o:title=""/>
                </v:shape>
                <o:OLEObject Type="Embed" ProgID="Equation.3" ShapeID="_x0000_i1054" DrawAspect="Content" ObjectID="_1675765701" r:id="rId49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=0.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660" w:dyaOrig="405">
                <v:shape id="_x0000_i1055" type="#_x0000_t75" style="width:33.25pt;height:20.75pt" o:ole="">
                  <v:imagedata r:id="rId8" o:title=""/>
                </v:shape>
                <o:OLEObject Type="Embed" ProgID="Equation.3" ShapeID="_x0000_i1055" DrawAspect="Content" ObjectID="_1675765702" r:id="rId50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фактический почасовой объем электрической энергии, приобретенный ГП (ЭСО, ЭСК) у производителей электрической энергии на розничном рынке, осуществляющих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предоставленный КО в порядке и сроки, установленные пунктом 17.2.5 настоящего Регламента.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всех или части ГТП, отнесенных к множеству 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</w:rPr>
              <w:t>(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</w:rPr>
              <w:t>)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30"/>
                <w:sz w:val="22"/>
                <w:szCs w:val="22"/>
              </w:rPr>
              <w:object w:dxaOrig="9120" w:dyaOrig="560">
                <v:shape id="_x0000_i1056" type="#_x0000_t75" style="width:322.9pt;height:19.65pt" o:ole="">
                  <v:imagedata r:id="rId30" o:title=""/>
                </v:shape>
                <o:OLEObject Type="Embed" ProgID="Equation.3" ShapeID="_x0000_i1056" DrawAspect="Content" ObjectID="_1675765703" r:id="rId51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,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1200" w:dyaOrig="405">
                <v:shape id="_x0000_i1057" type="#_x0000_t75" style="width:60pt;height:20.75pt" o:ole="">
                  <v:imagedata r:id="rId14" o:title=""/>
                </v:shape>
                <o:OLEObject Type="Embed" ProgID="Equation.3" ShapeID="_x0000_i1057" DrawAspect="Content" ObjectID="_1675765704" r:id="rId52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-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величина, определяемая в соответствии с пунктом 19.1.1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3D0B71">
              <w:rPr>
                <w:rFonts w:ascii="Garamond" w:hAnsi="Garamond"/>
                <w:position w:val="-30"/>
                <w:sz w:val="22"/>
                <w:szCs w:val="22"/>
              </w:rPr>
              <w:object w:dxaOrig="7640" w:dyaOrig="560">
                <v:shape id="_x0000_i1058" type="#_x0000_t75" style="width:321.8pt;height:23.45pt" o:ole="">
                  <v:imagedata r:id="rId33" o:title=""/>
                </v:shape>
                <o:OLEObject Type="Embed" ProgID="Equation.3" ShapeID="_x0000_i1058" DrawAspect="Content" ObjectID="_1675765705" r:id="rId53"/>
              </w:objec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всех или части ГТП, отнесенных к множеству 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</w:rPr>
              <w:t>(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bCs/>
                <w:i/>
                <w:sz w:val="22"/>
                <w:szCs w:val="22"/>
              </w:rPr>
              <w:t>)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,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 w:cs="Arial"/>
                <w:position w:val="-30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30"/>
                <w:sz w:val="22"/>
                <w:szCs w:val="22"/>
              </w:rPr>
              <w:object w:dxaOrig="10700" w:dyaOrig="560">
                <v:shape id="_x0000_i1059" type="#_x0000_t75" style="width:333.25pt;height:21.25pt" o:ole="">
                  <v:imagedata r:id="rId35" o:title=""/>
                </v:shape>
                <o:OLEObject Type="Embed" ProgID="Equation.3" ShapeID="_x0000_i1059" DrawAspect="Content" ObjectID="_1675765706" r:id="rId54"/>
              </w:object>
            </w:r>
            <w:r w:rsidRPr="003D0B71">
              <w:rPr>
                <w:rFonts w:ascii="Garamond" w:hAnsi="Garamond" w:cs="Arial"/>
                <w:sz w:val="22"/>
                <w:szCs w:val="22"/>
              </w:rPr>
              <w:t xml:space="preserve">, 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>
                <v:shape id="_x0000_i1060" type="#_x0000_t75" style="width:58.35pt;height:19.65pt" o:ole="">
                  <v:imagedata r:id="rId37" o:title=""/>
                </v:shape>
                <o:OLEObject Type="Embed" ProgID="Equation.3" ShapeID="_x0000_i1060" DrawAspect="Content" ObjectID="_1675765707" r:id="rId55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−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плановый почасовой объем производства блок-станций, определенный в соответствии с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Регламентом подачи уведомлений участниками оптового рынка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(Приложение №4 к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</w:rPr>
              <w:t>).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19.1.4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660" w:dyaOrig="405">
                <v:shape id="_x0000_i1061" type="#_x0000_t75" style="width:33.25pt;height:20.75pt" o:ole="">
                  <v:imagedata r:id="rId8" o:title=""/>
                </v:shape>
                <o:OLEObject Type="Embed" ProgID="Equation.3" ShapeID="_x0000_i1061" DrawAspect="Content" ObjectID="_1675765708" r:id="rId56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фактический почасовой объем электрической энергии, приобретенный ГП (ЭСО, ЭСК) у производителей электрической энергии на розничном рынке, осуществляющих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предоставленный КО в порядке и сроки, установленные пунктом 17.2.5 настоящего Регламента. 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76"/>
                <w:sz w:val="22"/>
                <w:szCs w:val="22"/>
              </w:rPr>
              <w:object w:dxaOrig="5460" w:dyaOrig="1680">
                <v:shape id="_x0000_i1062" type="#_x0000_t75" style="width:274.35pt;height:85.1pt" o:ole="">
                  <v:imagedata r:id="rId57" o:title=""/>
                </v:shape>
                <o:OLEObject Type="Embed" ProgID="Equation.3" ShapeID="_x0000_i1062" DrawAspect="Content" ObjectID="_1675765709" r:id="rId58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,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1200" w:dyaOrig="405">
                <v:shape id="_x0000_i1063" type="#_x0000_t75" style="width:60pt;height:20.75pt" o:ole="">
                  <v:imagedata r:id="rId14" o:title=""/>
                </v:shape>
                <o:OLEObject Type="Embed" ProgID="Equation.3" ShapeID="_x0000_i1063" DrawAspect="Content" ObjectID="_1675765710" r:id="rId59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-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величина, определяемая в соответствии с пунктом 19.1.1.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object w:dxaOrig="735" w:dyaOrig="405">
                <v:shape id="_x0000_i1064" type="#_x0000_t75" style="width:37.65pt;height:20.75pt" o:ole="">
                  <v:imagedata r:id="rId60" o:title=""/>
                </v:shape>
                <o:OLEObject Type="Embed" ProgID="Equation.3" ShapeID="_x0000_i1064" DrawAspect="Content" ObjectID="_1675765711" r:id="rId61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объем планового почасового потребления населения, определенный в соответствии с разделом 9 настоящего Регламента.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660" w:dyaOrig="405">
                <v:shape id="_x0000_i1065" type="#_x0000_t75" style="width:33.25pt;height:20.75pt" o:ole="">
                  <v:imagedata r:id="rId8" o:title=""/>
                </v:shape>
                <o:OLEObject Type="Embed" ProgID="Equation.3" ShapeID="_x0000_i1065" DrawAspect="Content" ObjectID="_1675765712" r:id="rId62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фактический почасовой объем электрической энергии, приобретенный ГП (ЭСО, ЭСК) у производителей электрической энергии на розничном рынке, осуществляющих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</w:t>
            </w:r>
            <w:r w:rsidRPr="003D0B71">
              <w:rPr>
                <w:rFonts w:ascii="Garamond" w:hAnsi="Garamond"/>
                <w:sz w:val="22"/>
                <w:szCs w:val="22"/>
              </w:rPr>
              <w:lastRenderedPageBreak/>
              <w:t>предоставленный КО в порядке и сроки, установленные пунктом 17.2.5 настоящего Регламента.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76"/>
                <w:sz w:val="22"/>
                <w:szCs w:val="22"/>
              </w:rPr>
              <w:object w:dxaOrig="5460" w:dyaOrig="1680">
                <v:shape id="_x0000_i1066" type="#_x0000_t75" style="width:274.35pt;height:85.1pt" o:ole="">
                  <v:imagedata r:id="rId63" o:title=""/>
                </v:shape>
                <o:OLEObject Type="Embed" ProgID="Equation.3" ShapeID="_x0000_i1066" DrawAspect="Content" ObjectID="_1675765713" r:id="rId64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object w:dxaOrig="360" w:dyaOrig="360">
                <v:shape id="_x0000_i1067" type="#_x0000_t75" style="width:18.55pt;height:18.55pt" o:ole="">
                  <v:imagedata r:id="rId65" o:title=""/>
                </v:shape>
                <o:OLEObject Type="Embed" ProgID="Equation.3" ShapeID="_x0000_i1067" DrawAspect="Content" ObjectID="_1675765714" r:id="rId66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- число часов в расчетном месяце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1200" w:dyaOrig="405">
                <v:shape id="_x0000_i1068" type="#_x0000_t75" style="width:60pt;height:20.75pt" o:ole="">
                  <v:imagedata r:id="rId14" o:title=""/>
                </v:shape>
                <o:OLEObject Type="Embed" ProgID="Equation.3" ShapeID="_x0000_i1068" DrawAspect="Content" ObjectID="_1675765715" r:id="rId67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величина, определяемая в соответствии с пунктом 19.1.1.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735" w:dyaOrig="405">
                <v:shape id="_x0000_i1069" type="#_x0000_t75" style="width:37.65pt;height:20.75pt" o:ole="">
                  <v:imagedata r:id="rId68" o:title=""/>
                </v:shape>
                <o:OLEObject Type="Embed" ProgID="Equation.3" ShapeID="_x0000_i1069" DrawAspect="Content" ObjectID="_1675765716" r:id="rId69"/>
              </w:object>
            </w:r>
            <w:r w:rsidRPr="003D0B71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объем планового почасового потребления населения в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участника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неценовой зоны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D0B71">
              <w:rPr>
                <w:rFonts w:ascii="Garamond" w:hAnsi="Garamond"/>
                <w:sz w:val="22"/>
                <w:szCs w:val="22"/>
              </w:rPr>
              <w:t>, определяемый в соответствии с разделом 9 настоящего Регламента.</w:t>
            </w:r>
          </w:p>
          <w:p w:rsidR="00B517FA" w:rsidRPr="003D0B71" w:rsidRDefault="00B517FA" w:rsidP="001242D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lastRenderedPageBreak/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660" w:dyaOrig="405">
                <v:shape id="_x0000_i1070" type="#_x0000_t75" style="width:33.25pt;height:20.75pt" o:ole="">
                  <v:imagedata r:id="rId8" o:title=""/>
                </v:shape>
                <o:OLEObject Type="Embed" ProgID="Equation.3" ShapeID="_x0000_i1070" DrawAspect="Content" ObjectID="_1675765717" r:id="rId70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фактический почасовой объем электрической энергии, приобретенный ГП (ЭСО, ЭСК) у производителей электрической энергии на розничном рынке, осуществляющих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предоставленный КО в порядке и сроки, установленные пунктом 17.2.5 настоящего Регламента. 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В случае если ГП (ЭСО, ЭСК) не предоставил указанную информацию в отношении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76"/>
                <w:sz w:val="22"/>
                <w:szCs w:val="22"/>
              </w:rPr>
              <w:object w:dxaOrig="5460" w:dyaOrig="1680">
                <v:shape id="_x0000_i1071" type="#_x0000_t75" style="width:274.35pt;height:85.1pt" o:ole="">
                  <v:imagedata r:id="rId57" o:title=""/>
                </v:shape>
                <o:OLEObject Type="Embed" ProgID="Equation.3" ShapeID="_x0000_i1071" DrawAspect="Content" ObjectID="_1675765718" r:id="rId71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,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1200" w:dyaOrig="405">
                <v:shape id="_x0000_i1072" type="#_x0000_t75" style="width:60pt;height:20.75pt" o:ole="">
                  <v:imagedata r:id="rId14" o:title=""/>
                </v:shape>
                <o:OLEObject Type="Embed" ProgID="Equation.3" ShapeID="_x0000_i1072" DrawAspect="Content" ObjectID="_1675765719" r:id="rId72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-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величина, определяемая в соответствии с пунктом 19.1.1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object w:dxaOrig="735" w:dyaOrig="405">
                <v:shape id="_x0000_i1073" type="#_x0000_t75" style="width:37.65pt;height:20.75pt" o:ole="">
                  <v:imagedata r:id="rId60" o:title=""/>
                </v:shape>
                <o:OLEObject Type="Embed" ProgID="Equation.3" ShapeID="_x0000_i1073" DrawAspect="Content" ObjectID="_1675765720" r:id="rId73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объем планового почасового потребления населения, определенный в соответствии с разделом 9 настоящего Регламента.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660" w:dyaOrig="405">
                <v:shape id="_x0000_i1074" type="#_x0000_t75" style="width:33.25pt;height:20.75pt" o:ole="">
                  <v:imagedata r:id="rId8" o:title=""/>
                </v:shape>
                <o:OLEObject Type="Embed" ProgID="Equation.3" ShapeID="_x0000_i1074" DrawAspect="Content" ObjectID="_1675765721" r:id="rId74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фактический почасовой объем электрической энергии, приобретенный ГП (ЭСО, ЭСК) у производителей электрической энергии на розничном рынке, осуществляющих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предоставленный КО в порядке и сроки, установленные пунктом 17.2.5 настоящего Регламента.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если ГП (ЭСО, ЭСК) не предоставил указанную информацию в отношении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Коммерческому оператору в порядке и сроки, установленные пунктом 17.2.5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, то: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76"/>
                <w:sz w:val="22"/>
                <w:szCs w:val="22"/>
              </w:rPr>
              <w:object w:dxaOrig="5460" w:dyaOrig="1680">
                <v:shape id="_x0000_i1075" type="#_x0000_t75" style="width:274.35pt;height:85.1pt" o:ole="">
                  <v:imagedata r:id="rId63" o:title=""/>
                </v:shape>
                <o:OLEObject Type="Embed" ProgID="Equation.3" ShapeID="_x0000_i1075" DrawAspect="Content" ObjectID="_1675765722" r:id="rId75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object w:dxaOrig="360" w:dyaOrig="360">
                <v:shape id="_x0000_i1076" type="#_x0000_t75" style="width:18.55pt;height:18.55pt" o:ole="">
                  <v:imagedata r:id="rId65" o:title=""/>
                </v:shape>
                <o:OLEObject Type="Embed" ProgID="Equation.3" ShapeID="_x0000_i1076" DrawAspect="Content" ObjectID="_1675765723" r:id="rId76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- число часов в расчетном месяце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1200" w:dyaOrig="405">
                <v:shape id="_x0000_i1077" type="#_x0000_t75" style="width:60pt;height:20.75pt" o:ole="">
                  <v:imagedata r:id="rId14" o:title=""/>
                </v:shape>
                <o:OLEObject Type="Embed" ProgID="Equation.3" ShapeID="_x0000_i1077" DrawAspect="Content" ObjectID="_1675765724" r:id="rId77"/>
              </w:objec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величина, определяемая в соответствии с пунктом 19.1.1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14"/>
                <w:sz w:val="22"/>
                <w:szCs w:val="22"/>
              </w:rPr>
              <w:object w:dxaOrig="735" w:dyaOrig="405">
                <v:shape id="_x0000_i1078" type="#_x0000_t75" style="width:37.65pt;height:20.75pt" o:ole="">
                  <v:imagedata r:id="rId68" o:title=""/>
                </v:shape>
                <o:OLEObject Type="Embed" ProgID="Equation.3" ShapeID="_x0000_i1078" DrawAspect="Content" ObjectID="_1675765725" r:id="rId78"/>
              </w:object>
            </w:r>
            <w:r w:rsidRPr="003D0B71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3D0B71">
              <w:rPr>
                <w:rFonts w:ascii="Garamond" w:hAnsi="Garamond"/>
                <w:b/>
                <w:sz w:val="22"/>
                <w:szCs w:val="22"/>
              </w:rPr>
              <w:t>–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объем планового почасового потребления населения в ГТП потребления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участника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неценовой зоны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3D0B71">
              <w:rPr>
                <w:rFonts w:ascii="Garamond" w:hAnsi="Garamond"/>
                <w:sz w:val="22"/>
                <w:szCs w:val="22"/>
              </w:rPr>
              <w:t>, определяемый в соответствии с разделом 9 настоящего Регламента.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19.1.5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spacing w:before="120" w:after="120"/>
              <w:jc w:val="both"/>
              <w:rPr>
                <w:rFonts w:ascii="Garamond" w:hAnsi="Garamond"/>
                <w:position w:val="-88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84"/>
                <w:sz w:val="22"/>
                <w:szCs w:val="22"/>
              </w:rPr>
              <w:object w:dxaOrig="4770" w:dyaOrig="1515">
                <v:shape id="_x0000_i1079" type="#_x0000_t75" style="width:238.35pt;height:76.35pt" o:ole="">
                  <v:imagedata r:id="rId79" o:title=""/>
                </v:shape>
                <o:OLEObject Type="Embed" ProgID="Equation.3" ShapeID="_x0000_i1079" DrawAspect="Content" ObjectID="_1675765726" r:id="rId80"/>
              </w:object>
            </w:r>
            <w:r w:rsidRPr="003D0B71">
              <w:rPr>
                <w:rFonts w:ascii="Garamond" w:hAnsi="Garamond"/>
                <w:position w:val="-88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spacing w:before="120" w:after="120"/>
              <w:jc w:val="both"/>
              <w:rPr>
                <w:rFonts w:ascii="Garamond" w:hAnsi="Garamond"/>
                <w:position w:val="-46"/>
                <w:sz w:val="22"/>
                <w:szCs w:val="22"/>
              </w:rPr>
            </w:pPr>
            <w:r w:rsidRPr="003D0B71">
              <w:rPr>
                <w:rFonts w:ascii="Garamond" w:hAnsi="Garamond"/>
                <w:bCs/>
                <w:sz w:val="22"/>
                <w:szCs w:val="22"/>
              </w:rPr>
              <w:t xml:space="preserve">где </w:t>
            </w:r>
            <w:proofErr w:type="gramStart"/>
            <w:r w:rsidRPr="003D0B71">
              <w:rPr>
                <w:rFonts w:ascii="Garamond" w:hAnsi="Garamond"/>
                <w:bCs/>
                <w:sz w:val="22"/>
                <w:szCs w:val="22"/>
              </w:rPr>
              <w:t>величины</w:t>
            </w:r>
            <w:r w:rsidRPr="003D0B71">
              <w:rPr>
                <w:rFonts w:ascii="Garamond" w:hAnsi="Garamond" w:cs="Arial"/>
                <w:bCs/>
                <w:sz w:val="22"/>
                <w:szCs w:val="22"/>
              </w:rPr>
              <w:object w:dxaOrig="615" w:dyaOrig="405">
                <v:shape id="_x0000_i1080" type="#_x0000_t75" style="width:31.1pt;height:20.75pt" o:ole="">
                  <v:imagedata r:id="rId81" o:title=""/>
                </v:shape>
                <o:OLEObject Type="Embed" ProgID="Equation.3" ShapeID="_x0000_i1080" DrawAspect="Content" ObjectID="_1675765727" r:id="rId82"/>
              </w:object>
            </w:r>
            <w:r w:rsidRPr="003D0B71">
              <w:rPr>
                <w:rFonts w:ascii="Garamond" w:hAnsi="Garamond" w:cs="Arial"/>
                <w:bCs/>
                <w:sz w:val="22"/>
                <w:szCs w:val="22"/>
              </w:rPr>
              <w:t xml:space="preserve">,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>
                <v:shape id="_x0000_i1081" type="#_x0000_t75" style="width:38.2pt;height:19.65pt" o:ole="">
                  <v:imagedata r:id="rId83" o:title=""/>
                </v:shape>
                <o:OLEObject Type="Embed" ProgID="Equation.3" ShapeID="_x0000_i1081" DrawAspect="Content" ObjectID="_1675765728" r:id="rId84"/>
              </w:objec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 xml:space="preserve"> определены</w:t>
            </w:r>
            <w:proofErr w:type="gramEnd"/>
            <w:r w:rsidRPr="003D0B71">
              <w:rPr>
                <w:rFonts w:ascii="Garamond" w:hAnsi="Garamond"/>
                <w:bCs/>
                <w:sz w:val="22"/>
                <w:szCs w:val="22"/>
              </w:rPr>
              <w:t xml:space="preserve"> в пункте 19.1.4;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…</w:t>
            </w:r>
          </w:p>
          <w:p w:rsidR="00B517FA" w:rsidRPr="003D0B71" w:rsidRDefault="00B517FA" w:rsidP="000E0AC3">
            <w:pPr>
              <w:spacing w:before="120" w:after="120"/>
              <w:jc w:val="both"/>
              <w:rPr>
                <w:rFonts w:ascii="Garamond" w:hAnsi="Garamond"/>
                <w:position w:val="-88"/>
                <w:sz w:val="22"/>
                <w:szCs w:val="22"/>
              </w:rPr>
            </w:pPr>
            <w:r w:rsidRPr="003D0B71">
              <w:rPr>
                <w:rFonts w:ascii="Garamond" w:hAnsi="Garamond" w:cs="Arial"/>
                <w:position w:val="-84"/>
                <w:sz w:val="22"/>
                <w:szCs w:val="22"/>
              </w:rPr>
              <w:object w:dxaOrig="4770" w:dyaOrig="1515">
                <v:shape id="_x0000_i1082" type="#_x0000_t75" style="width:238.35pt;height:76.35pt" o:ole="">
                  <v:imagedata r:id="rId79" o:title=""/>
                </v:shape>
                <o:OLEObject Type="Embed" ProgID="Equation.3" ShapeID="_x0000_i1082" DrawAspect="Content" ObjectID="_1675765729" r:id="rId85"/>
              </w:object>
            </w:r>
            <w:r w:rsidRPr="003D0B71">
              <w:rPr>
                <w:rFonts w:ascii="Garamond" w:hAnsi="Garamond"/>
                <w:position w:val="-88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spacing w:before="120" w:after="120"/>
              <w:jc w:val="both"/>
              <w:rPr>
                <w:rFonts w:ascii="Garamond" w:hAnsi="Garamond"/>
                <w:position w:val="-46"/>
                <w:sz w:val="22"/>
                <w:szCs w:val="22"/>
              </w:rPr>
            </w:pPr>
            <w:r w:rsidRPr="003D0B71">
              <w:rPr>
                <w:rFonts w:ascii="Garamond" w:hAnsi="Garamond"/>
                <w:bCs/>
                <w:sz w:val="22"/>
                <w:szCs w:val="22"/>
              </w:rPr>
              <w:t xml:space="preserve">где </w:t>
            </w:r>
            <w:proofErr w:type="gramStart"/>
            <w:r w:rsidRPr="003D0B71">
              <w:rPr>
                <w:rFonts w:ascii="Garamond" w:hAnsi="Garamond"/>
                <w:bCs/>
                <w:sz w:val="22"/>
                <w:szCs w:val="22"/>
              </w:rPr>
              <w:t>величины</w:t>
            </w:r>
            <w:r w:rsidRPr="003D0B71">
              <w:rPr>
                <w:rFonts w:ascii="Garamond" w:hAnsi="Garamond" w:cs="Arial"/>
                <w:bCs/>
                <w:sz w:val="22"/>
                <w:szCs w:val="22"/>
              </w:rPr>
              <w:object w:dxaOrig="615" w:dyaOrig="405">
                <v:shape id="_x0000_i1083" type="#_x0000_t75" style="width:31.1pt;height:20.75pt" o:ole="">
                  <v:imagedata r:id="rId81" o:title=""/>
                </v:shape>
                <o:OLEObject Type="Embed" ProgID="Equation.3" ShapeID="_x0000_i1083" DrawAspect="Content" ObjectID="_1675765730" r:id="rId86"/>
              </w:object>
            </w:r>
            <w:r w:rsidRPr="003D0B71">
              <w:rPr>
                <w:rFonts w:ascii="Garamond" w:hAnsi="Garamond" w:cs="Arial"/>
                <w:bCs/>
                <w:sz w:val="22"/>
                <w:szCs w:val="22"/>
              </w:rPr>
              <w:t xml:space="preserve">, </w:t>
            </w:r>
            <w:r w:rsidRPr="003D0B71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>
                <v:shape id="_x0000_i1084" type="#_x0000_t75" style="width:38.2pt;height:19.65pt" o:ole="">
                  <v:imagedata r:id="rId83" o:title=""/>
                </v:shape>
                <o:OLEObject Type="Embed" ProgID="Equation.3" ShapeID="_x0000_i1084" DrawAspect="Content" ObjectID="_1675765731" r:id="rId87"/>
              </w:objec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 xml:space="preserve"> определены</w:t>
            </w:r>
            <w:proofErr w:type="gramEnd"/>
            <w:r w:rsidRPr="003D0B71">
              <w:rPr>
                <w:rFonts w:ascii="Garamond" w:hAnsi="Garamond"/>
                <w:bCs/>
                <w:sz w:val="22"/>
                <w:szCs w:val="22"/>
              </w:rPr>
              <w:t xml:space="preserve"> в пункте 19.1.4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настоящего Регламента</w:t>
            </w:r>
            <w:r w:rsidRPr="003D0B71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20.5.1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both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b/>
                <w:sz w:val="22"/>
                <w:szCs w:val="22"/>
                <w:lang w:eastAsia="en-US"/>
              </w:rPr>
              <w:t>Исходными данными для решения оптимизационной задачи ВСВГО являются:</w:t>
            </w:r>
          </w:p>
          <w:p w:rsidR="00B517FA" w:rsidRPr="003D0B71" w:rsidRDefault="00B517FA" w:rsidP="000E0AC3">
            <w:pPr>
              <w:widowControl w:val="0"/>
              <w:numPr>
                <w:ilvl w:val="0"/>
                <w:numId w:val="3"/>
              </w:num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информация, содержащаяся в уведомлениях о составе и параметрах генерирующего оборудования;</w:t>
            </w:r>
          </w:p>
          <w:p w:rsidR="00B517FA" w:rsidRPr="003D0B71" w:rsidRDefault="00B517FA" w:rsidP="000E0AC3">
            <w:pPr>
              <w:widowControl w:val="0"/>
              <w:numPr>
                <w:ilvl w:val="0"/>
                <w:numId w:val="3"/>
              </w:num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ценовые параметры в соответствии с п. 20.1 настоящего </w:t>
            </w:r>
            <w:r w:rsidRPr="003D0B71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Регламента 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функционирования участников оптового рынка на территории неценовых зон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(Приложение № 14 к 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B517FA" w:rsidRPr="003D0B71" w:rsidRDefault="00B517FA" w:rsidP="000E0AC3">
            <w:pPr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both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b/>
                <w:sz w:val="22"/>
                <w:szCs w:val="22"/>
                <w:lang w:eastAsia="en-US"/>
              </w:rPr>
              <w:t>Исходными данными для решения оптимизационной задачи ВСВГО являются:</w:t>
            </w:r>
          </w:p>
          <w:p w:rsidR="00B517FA" w:rsidRPr="003D0B71" w:rsidRDefault="00B517FA" w:rsidP="000E0AC3">
            <w:pPr>
              <w:widowControl w:val="0"/>
              <w:numPr>
                <w:ilvl w:val="0"/>
                <w:numId w:val="3"/>
              </w:num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информация, содержащаяся в уведомлениях о составе и параметрах генерирующего оборудования;</w:t>
            </w:r>
          </w:p>
          <w:p w:rsidR="00B517FA" w:rsidRPr="003D0B71" w:rsidRDefault="00B517FA" w:rsidP="000E0AC3">
            <w:pPr>
              <w:widowControl w:val="0"/>
              <w:numPr>
                <w:ilvl w:val="0"/>
                <w:numId w:val="3"/>
              </w:numPr>
              <w:spacing w:before="120" w:after="120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ценовые параметры в соответствии с п. 20.1 настоящего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Регламента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B517FA" w:rsidRPr="003D0B71" w:rsidRDefault="00B517FA" w:rsidP="000E0AC3">
            <w:pPr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3D0B71">
              <w:rPr>
                <w:rFonts w:ascii="Garamond" w:hAnsi="Garamond" w:cs="Arial"/>
                <w:sz w:val="22"/>
                <w:szCs w:val="22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20.5.5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bookmarkStart w:id="14" w:name="_Toc368046313"/>
            <w:r w:rsidRPr="003D0B71">
              <w:rPr>
                <w:rFonts w:ascii="Garamond" w:hAnsi="Garamond"/>
                <w:sz w:val="22"/>
                <w:szCs w:val="22"/>
              </w:rPr>
              <w:t xml:space="preserve">Формирование информации о максимально допустимых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</w:rPr>
              <w:t>перетоках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</w:rPr>
              <w:t xml:space="preserve"> в контролируемых сечениях производится </w:t>
            </w: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>СО согласно Методическим указаниям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по устойчивости энергосистем, утвержденным приказом Минэнерго России № 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277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от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30.06.2003</w:t>
            </w:r>
            <w:r w:rsidRPr="003D0B71">
              <w:rPr>
                <w:rFonts w:ascii="Garamond" w:hAnsi="Garamond"/>
                <w:sz w:val="22"/>
                <w:szCs w:val="22"/>
              </w:rPr>
              <w:t>, на основании данных об эксплуатационном состоянии и параметрах оборудования электростанций, электросетевого оборудования, прогнозных метеоданных.</w:t>
            </w:r>
            <w:bookmarkEnd w:id="14"/>
          </w:p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both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Формирование информации о максимально допустимых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</w:rPr>
              <w:t>перетоках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</w:rPr>
              <w:t xml:space="preserve"> в контролируемых сечениях производится </w:t>
            </w:r>
            <w:proofErr w:type="gramStart"/>
            <w:r w:rsidRPr="003D0B71">
              <w:rPr>
                <w:rFonts w:ascii="Garamond" w:hAnsi="Garamond"/>
                <w:sz w:val="22"/>
                <w:szCs w:val="22"/>
              </w:rPr>
              <w:t>СО согласно Методическим указаниям</w:t>
            </w:r>
            <w:proofErr w:type="gramEnd"/>
            <w:r w:rsidRPr="003D0B71">
              <w:rPr>
                <w:rFonts w:ascii="Garamond" w:hAnsi="Garamond"/>
                <w:sz w:val="22"/>
                <w:szCs w:val="22"/>
              </w:rPr>
              <w:t xml:space="preserve"> по устойчивости энергосистем, утвержденным приказом Минэнерго России № 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630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от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03.08.2018</w:t>
            </w:r>
            <w:r w:rsidRPr="003D0B71">
              <w:rPr>
                <w:rFonts w:ascii="Garamond" w:hAnsi="Garamond"/>
                <w:sz w:val="22"/>
                <w:szCs w:val="22"/>
              </w:rPr>
              <w:t>, на основании данных об эксплуатационном состоянии и параметрах оборудования электростанций, электросетевого оборудования, прогнозных метеоданных.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both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20.5.9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pStyle w:val="a7"/>
              <w:widowControl w:val="0"/>
              <w:spacing w:before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На основании исходных данных, сформированных в соответствии с настоящим Регламентом, а также в соответствии с Математической моделью, представленной в п. 2.5.1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настоящего Регламента, СО осуществляет выбор состава включенного генерирующего оборудования путем решения оптимизационной задачи расчета ВСВГО с учетом обеспечения прогнозных параметров работы энергосистемы, надежности энергоснабжения и минимизации стоимости электрической энергии. Состав единиц генерирующего оборудования, включенных по результатам расчета ВСВГО, является отобранным (согласованным) СО на сутки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и прогнозным на период с суток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+1 по сутки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D0B71">
              <w:rPr>
                <w:rFonts w:ascii="Garamond" w:hAnsi="Garamond"/>
                <w:sz w:val="22"/>
                <w:szCs w:val="22"/>
              </w:rPr>
              <w:t>+2 (включительно).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pStyle w:val="a7"/>
              <w:widowControl w:val="0"/>
              <w:spacing w:before="120"/>
              <w:ind w:left="0"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На основании исходных данных, сформированных в соответствии с настоящим Регламентом, а также в соответствии с Математической моделью, представленной в п. 2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0</w:t>
            </w:r>
            <w:r w:rsidRPr="003D0B71">
              <w:rPr>
                <w:rFonts w:ascii="Garamond" w:hAnsi="Garamond"/>
                <w:sz w:val="22"/>
                <w:szCs w:val="22"/>
              </w:rPr>
              <w:t>.5.1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настоящего Регламента, СО осуществляет выбор состава включенного генерирующего оборудования путем решения оптимизационной задачи расчета ВСВГО с учетом обеспечения прогнозных параметров работы энергосистемы, надежности энергоснабжения и минимизации стоимости электрической энергии. Состав единиц генерирующего оборудования, включенных по результатам расчета ВСВГО, является отобранным (согласованным) СО на сутки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 и прогнозным на период с суток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D0B71">
              <w:rPr>
                <w:rFonts w:ascii="Garamond" w:hAnsi="Garamond"/>
                <w:sz w:val="22"/>
                <w:szCs w:val="22"/>
              </w:rPr>
              <w:t xml:space="preserve">+1 по сутки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D0B71">
              <w:rPr>
                <w:rFonts w:ascii="Garamond" w:hAnsi="Garamond"/>
                <w:sz w:val="22"/>
                <w:szCs w:val="22"/>
              </w:rPr>
              <w:t>+2 (включительно).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center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20.5.12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widowControl w:val="0"/>
              <w:numPr>
                <w:ilvl w:val="1"/>
                <w:numId w:val="5"/>
              </w:num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D0B71">
              <w:rPr>
                <w:rFonts w:ascii="Garamond" w:hAnsi="Garamond"/>
                <w:b/>
                <w:sz w:val="22"/>
                <w:szCs w:val="22"/>
              </w:rPr>
              <w:t>2. Исходные данные для решения оптимизационной задачи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2.1) перечень ЕГО, включенное (отключенное) состояние которых является решением оптимизационной задачи ВСВГО;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2.2) параметры ЕГО, в том числе минимально и максимально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допустимые пределы регулирования, время пуска/останова ЕГО (для времени пуска – с учетом холодного резерва), а также типовые графики набора и сброса нагрузки,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min-uptime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min-downtime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и ограничение на число пусков в неделю, скорости набора и сброса нагрузки ЕГО в номинальном диапазоне регулирования;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2.3) минимально и максимально допустимые пределы регулирования активной мощности генерирующего оборудования, планируемого к включению в сеть, не включенного в перечень ЕГО, указанный в </w:t>
            </w:r>
            <w:r w:rsidRPr="001242D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п.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2.1;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2.4) ценовые характеристики ЕГО, в качестве которых используются: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left="900" w:hanging="192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>тариф на поставку электроэнергии на оптовый рынок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; 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>почасовые приоритеты отбора соответствующих ЕГО в работу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B517FA" w:rsidRPr="003D0B71" w:rsidRDefault="00B517FA" w:rsidP="000E0AC3">
            <w:pPr>
              <w:pStyle w:val="a7"/>
              <w:widowControl w:val="0"/>
              <w:spacing w:before="120"/>
              <w:ind w:left="0" w:firstLine="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widowControl w:val="0"/>
              <w:numPr>
                <w:ilvl w:val="1"/>
                <w:numId w:val="5"/>
              </w:num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D0B71">
              <w:rPr>
                <w:rFonts w:ascii="Garamond" w:hAnsi="Garamond"/>
                <w:b/>
                <w:sz w:val="22"/>
                <w:szCs w:val="22"/>
              </w:rPr>
              <w:lastRenderedPageBreak/>
              <w:t>2. Исходные данные для решения оптимизационной задачи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2.1) перечень ЕГО, включенное (отключенное) состояние которых является решением оптимизационной задачи ВСВГО;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2.2) параметры ЕГО, в том числе минимально и максимально 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допустимые пределы регулирования, время пуска/останова ЕГО (для времени пуска – с учетом холодного резерва), а также типовые графики набора и сброса нагрузки,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min-uptime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min-downtime</w:t>
            </w:r>
            <w:proofErr w:type="spellEnd"/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 и ограничение на число пусков в неделю, скорости набора и сброса нагрузки ЕГО в номинальном диапазоне регулирования;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2.3) минимально и максимально допустимые пределы регулирования активной мощности генерирующего оборудования, планируемого к включению в сеть, не включенного в перечень ЕГО, указанный в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подп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. 2.1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настоящего пункта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2.4) ценовые характеристики ЕГО, в качестве которых используются: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left="900" w:hanging="192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>тариф на поставку электроэнергии на оптовый рынок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; 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8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3D0B71">
              <w:rPr>
                <w:rFonts w:ascii="Garamond" w:hAnsi="Garamond"/>
                <w:bCs/>
                <w:sz w:val="22"/>
                <w:szCs w:val="22"/>
                <w:lang w:eastAsia="en-US"/>
              </w:rPr>
              <w:t>почасовые приоритеты отбора соответствующих ЕГО в работу</w:t>
            </w: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B517FA" w:rsidRPr="003D0B71" w:rsidRDefault="00B517FA" w:rsidP="000E0AC3">
            <w:pPr>
              <w:pStyle w:val="a7"/>
              <w:widowControl w:val="0"/>
              <w:spacing w:before="120"/>
              <w:ind w:left="0" w:firstLine="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17FA" w:rsidRPr="003D0B71" w:rsidTr="000E0AC3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B517FA" w:rsidRPr="003D0B71" w:rsidRDefault="00B517FA" w:rsidP="000E0AC3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3D0B7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lastRenderedPageBreak/>
              <w:t>20.5.13</w:t>
            </w:r>
          </w:p>
        </w:tc>
        <w:tc>
          <w:tcPr>
            <w:tcW w:w="2335" w:type="pct"/>
            <w:shd w:val="clear" w:color="auto" w:fill="auto"/>
          </w:tcPr>
          <w:p w:rsidR="00B517FA" w:rsidRPr="003D0B71" w:rsidRDefault="00B517FA" w:rsidP="000E0AC3">
            <w:pPr>
              <w:pStyle w:val="2"/>
              <w:widowControl w:val="0"/>
              <w:spacing w:before="120" w:after="120"/>
              <w:ind w:firstLine="709"/>
              <w:rPr>
                <w:rFonts w:ascii="Garamond" w:hAnsi="Garamond"/>
                <w:b w:val="0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Алгоритм формирования ранжированных перечней единиц генерирующего оборудования на включение (отключение) 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Формирование и применение ранжированных перечней единиц генерирующего оборудования на включение (отключение) осуществляется исходя из:</w:t>
            </w:r>
          </w:p>
          <w:p w:rsidR="00B517FA" w:rsidRPr="003D0B71" w:rsidRDefault="00B517FA" w:rsidP="000E0AC3">
            <w:pPr>
              <w:pStyle w:val="a3"/>
              <w:widowControl w:val="0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ценовых параметров в соответствии с п. 20.1 настоящего </w:t>
            </w:r>
            <w:r w:rsidRPr="003D0B71">
              <w:rPr>
                <w:rFonts w:ascii="Garamond" w:hAnsi="Garamond"/>
                <w:i/>
                <w:sz w:val="22"/>
                <w:szCs w:val="22"/>
              </w:rPr>
              <w:t xml:space="preserve">Регламента 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</w:rPr>
              <w:t>функционирования участников оптового рынка на территории неценовых зон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14 к </w:t>
            </w:r>
            <w:r w:rsidRPr="003D0B71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517FA" w:rsidRPr="003D0B71" w:rsidRDefault="00B517FA" w:rsidP="000E0AC3">
            <w:pPr>
              <w:pStyle w:val="2"/>
              <w:widowControl w:val="0"/>
              <w:spacing w:before="120" w:after="120"/>
              <w:ind w:firstLine="709"/>
              <w:rPr>
                <w:rFonts w:ascii="Garamond" w:hAnsi="Garamond"/>
                <w:b w:val="0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Алгоритм формирования ранжированных перечней единиц генерирующего оборудования на включение (отключение) 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>Формирование и применение ранжированных перечней единиц генерирующего оборудования на включение (отключение) осуществляется исходя из:</w:t>
            </w:r>
          </w:p>
          <w:p w:rsidR="00B517FA" w:rsidRPr="003D0B71" w:rsidRDefault="00B517FA" w:rsidP="000E0AC3">
            <w:pPr>
              <w:pStyle w:val="a3"/>
              <w:widowControl w:val="0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3D0B71">
              <w:rPr>
                <w:rFonts w:ascii="Garamond" w:hAnsi="Garamond"/>
                <w:sz w:val="22"/>
                <w:szCs w:val="22"/>
              </w:rPr>
              <w:t xml:space="preserve">ценовых параметров в соответствии с п. 20.1 настоящего </w:t>
            </w:r>
            <w:r w:rsidRPr="003D0B71">
              <w:rPr>
                <w:rFonts w:ascii="Garamond" w:hAnsi="Garamond"/>
                <w:sz w:val="22"/>
                <w:szCs w:val="22"/>
                <w:highlight w:val="yellow"/>
              </w:rPr>
              <w:t>Регламента</w:t>
            </w:r>
            <w:r w:rsidRPr="003D0B71">
              <w:rPr>
                <w:rFonts w:ascii="Garamond" w:hAnsi="Garamond"/>
                <w:sz w:val="22"/>
                <w:szCs w:val="22"/>
              </w:rPr>
              <w:t>;</w:t>
            </w:r>
          </w:p>
          <w:p w:rsidR="00B517FA" w:rsidRPr="003D0B71" w:rsidRDefault="00B517FA" w:rsidP="000E0AC3">
            <w:pPr>
              <w:widowControl w:val="0"/>
              <w:spacing w:before="120" w:after="120"/>
              <w:ind w:firstLine="709"/>
              <w:jc w:val="center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D0B71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:rsidR="00B517FA" w:rsidRDefault="00B517FA" w:rsidP="00B517FA">
      <w:pPr>
        <w:jc w:val="both"/>
        <w:rPr>
          <w:rFonts w:ascii="Garamond" w:eastAsia="Batang" w:hAnsi="Garamond"/>
          <w:b/>
          <w:sz w:val="26"/>
          <w:szCs w:val="26"/>
        </w:rPr>
      </w:pPr>
    </w:p>
    <w:p w:rsidR="00B517FA" w:rsidRDefault="00B517FA" w:rsidP="00B517FA">
      <w:pPr>
        <w:jc w:val="both"/>
        <w:rPr>
          <w:rFonts w:ascii="Garamond" w:eastAsia="Batang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br w:type="page"/>
      </w:r>
    </w:p>
    <w:p w:rsidR="00FC659F" w:rsidRDefault="00FC659F" w:rsidP="00EE321E">
      <w:pPr>
        <w:tabs>
          <w:tab w:val="left" w:pos="709"/>
        </w:tabs>
        <w:spacing w:after="60"/>
        <w:ind w:left="284" w:firstLine="3"/>
        <w:rPr>
          <w:rFonts w:ascii="Garamond" w:hAnsi="Garamond"/>
          <w:b/>
          <w:sz w:val="26"/>
          <w:szCs w:val="26"/>
        </w:rPr>
      </w:pPr>
    </w:p>
    <w:p w:rsidR="00A0490F" w:rsidRPr="00A0490F" w:rsidRDefault="00A0490F" w:rsidP="00EE321E">
      <w:pPr>
        <w:tabs>
          <w:tab w:val="left" w:pos="709"/>
        </w:tabs>
        <w:spacing w:after="60"/>
        <w:ind w:left="284" w:firstLine="3"/>
        <w:rPr>
          <w:rFonts w:ascii="Garamond" w:hAnsi="Garamond"/>
          <w:b/>
          <w:sz w:val="26"/>
          <w:szCs w:val="26"/>
        </w:rPr>
      </w:pPr>
      <w:r w:rsidRPr="00A0490F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A0490F" w:rsidRPr="00A0490F" w:rsidRDefault="00A0490F" w:rsidP="00A0490F">
      <w:pPr>
        <w:tabs>
          <w:tab w:val="left" w:pos="709"/>
        </w:tabs>
        <w:spacing w:after="60"/>
        <w:ind w:firstLine="287"/>
        <w:jc w:val="both"/>
        <w:rPr>
          <w:rFonts w:ascii="Garamond" w:hAnsi="Garamond"/>
          <w:b/>
          <w:sz w:val="26"/>
          <w:szCs w:val="26"/>
        </w:rPr>
      </w:pPr>
    </w:p>
    <w:tbl>
      <w:tblPr>
        <w:tblW w:w="50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6756"/>
        <w:gridCol w:w="7030"/>
      </w:tblGrid>
      <w:tr w:rsidR="00A0490F" w:rsidRPr="00A0490F" w:rsidTr="005A5D52">
        <w:trPr>
          <w:trHeight w:val="435"/>
        </w:trPr>
        <w:tc>
          <w:tcPr>
            <w:tcW w:w="316" w:type="pct"/>
            <w:tcMar>
              <w:left w:w="57" w:type="dxa"/>
              <w:right w:w="57" w:type="dxa"/>
            </w:tcMar>
            <w:vAlign w:val="center"/>
          </w:tcPr>
          <w:p w:rsidR="00A0490F" w:rsidRPr="00A0490F" w:rsidRDefault="00A0490F" w:rsidP="000E0AC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0490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A0490F" w:rsidRPr="00A0490F" w:rsidRDefault="00A0490F" w:rsidP="000E0AC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0490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295" w:type="pct"/>
            <w:vAlign w:val="center"/>
          </w:tcPr>
          <w:p w:rsidR="00A0490F" w:rsidRPr="00A0490F" w:rsidRDefault="00A0490F" w:rsidP="000E0AC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0490F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A0490F" w:rsidRPr="00A0490F" w:rsidRDefault="00A0490F" w:rsidP="000E0AC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0490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88" w:type="pct"/>
            <w:vAlign w:val="center"/>
          </w:tcPr>
          <w:p w:rsidR="00A0490F" w:rsidRPr="00A0490F" w:rsidRDefault="00A0490F" w:rsidP="000E0AC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0490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A0490F" w:rsidRPr="00A0490F" w:rsidRDefault="00A0490F" w:rsidP="000E0AC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0490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A0490F" w:rsidRPr="00A0490F" w:rsidTr="005A5D52">
        <w:trPr>
          <w:trHeight w:val="345"/>
        </w:trPr>
        <w:tc>
          <w:tcPr>
            <w:tcW w:w="316" w:type="pct"/>
            <w:vAlign w:val="center"/>
          </w:tcPr>
          <w:p w:rsidR="00A0490F" w:rsidRPr="00A0490F" w:rsidRDefault="00A0490F" w:rsidP="000E0AC3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0490F">
              <w:rPr>
                <w:rFonts w:ascii="Garamond" w:hAnsi="Garamond" w:cs="Garamond"/>
                <w:b/>
                <w:bCs/>
                <w:sz w:val="22"/>
                <w:szCs w:val="22"/>
              </w:rPr>
              <w:t>10.8</w:t>
            </w:r>
            <w:r w:rsidRPr="00A0490F" w:rsidDel="00F71B3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95" w:type="pct"/>
          </w:tcPr>
          <w:p w:rsidR="00A0490F" w:rsidRPr="00A0490F" w:rsidRDefault="00A0490F" w:rsidP="00A0490F">
            <w:pPr>
              <w:pStyle w:val="ab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10.8.1. КО </w:t>
            </w:r>
            <w:r w:rsidRPr="00A0490F">
              <w:rPr>
                <w:rFonts w:ascii="Garamond" w:hAnsi="Garamond"/>
                <w:sz w:val="22"/>
                <w:szCs w:val="22"/>
              </w:rPr>
              <w:t xml:space="preserve">ежемесячно публикует на своем официальном сайте электронное сообщение, содержащее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следующую информацию (в данном разделе </w:t>
            </w:r>
            <w:r w:rsidRPr="00A0490F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450" w:dyaOrig="540">
                <v:shape id="_x0000_i1085" type="#_x0000_t75" style="width:22.35pt;height:27.25pt" o:ole="">
                  <v:imagedata r:id="rId88" o:title=""/>
                </v:shape>
                <o:OLEObject Type="Embed" ProgID="Equation.3" ShapeID="_x0000_i1085" DrawAspect="Content" ObjectID="_1675765732" r:id="rId89"/>
              </w:objec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означает суммирование по ГТП участника оптового рынка </w:t>
            </w:r>
            <w:r w:rsidRPr="00A0490F">
              <w:rPr>
                <w:rFonts w:ascii="Garamond" w:hAnsi="Garamond"/>
                <w:i/>
                <w:color w:val="000000"/>
                <w:sz w:val="22"/>
                <w:szCs w:val="22"/>
              </w:rPr>
              <w:t>j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, имеющим признак ГП, находящимся в одном субъекте РФ).</w:t>
            </w:r>
          </w:p>
          <w:p w:rsidR="00A0490F" w:rsidRPr="00A0490F" w:rsidRDefault="00A0490F" w:rsidP="00A0490F">
            <w:pPr>
              <w:pStyle w:val="ab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1. В течение 10 календарных дней по окончании расчетного периода: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– объем электрической энергии, приобретенный участником оптового рынка за расчетный период по регулируемым </w:t>
            </w:r>
            <w:proofErr w:type="gramStart"/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ценам </w:t>
            </w:r>
            <w:r w:rsidRPr="00A0490F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1050" w:dyaOrig="540">
                <v:shape id="_x0000_i1086" type="#_x0000_t75" style="width:52.35pt;height:27.25pt" o:ole="">
                  <v:imagedata r:id="rId90" o:title=""/>
                </v:shape>
                <o:OLEObject Type="Embed" ProgID="Equation.3" ShapeID="_x0000_i1086" DrawAspect="Content" ObjectID="_1675765733" r:id="rId91"/>
              </w:objec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proofErr w:type="gramEnd"/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определенный в соответствии с подпунктом 10.2.2 настоящего </w:t>
            </w:r>
            <w:r w:rsidRPr="00A0490F">
              <w:rPr>
                <w:rFonts w:ascii="Garamond" w:hAnsi="Garamond"/>
                <w:caps/>
                <w:color w:val="000000"/>
                <w:sz w:val="22"/>
                <w:szCs w:val="22"/>
              </w:rPr>
              <w:t>р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егламента;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– объем электрической энергии, приобретенный участником оптового рынка по результатам конкурентного отбора заявок на сутки вперед за расчетный период, определяемый в соответствии с формулой:</w:t>
            </w:r>
          </w:p>
          <w:p w:rsidR="00A0490F" w:rsidRPr="00A0490F" w:rsidRDefault="00A0490F" w:rsidP="00A0490F">
            <w:pPr>
              <w:pStyle w:val="ab"/>
              <w:widowControl w:val="0"/>
              <w:ind w:firstLine="1167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300" w:dyaOrig="540">
                <v:shape id="_x0000_i1087" type="#_x0000_t75" style="width:214.35pt;height:27.25pt" o:ole="">
                  <v:imagedata r:id="rId92" o:title=""/>
                </v:shape>
                <o:OLEObject Type="Embed" ProgID="Equation.3" ShapeID="_x0000_i1087" DrawAspect="Content" ObjectID="_1675765734" r:id="rId93"/>
              </w:object>
            </w:r>
            <w:r w:rsidRPr="00A0490F">
              <w:rPr>
                <w:rFonts w:ascii="Garamond" w:hAnsi="Garamond"/>
                <w:sz w:val="22"/>
                <w:szCs w:val="22"/>
              </w:rPr>
              <w:t>,</w:t>
            </w:r>
          </w:p>
          <w:p w:rsidR="00A0490F" w:rsidRPr="00A0490F" w:rsidRDefault="00A0490F" w:rsidP="00A0490F">
            <w:pPr>
              <w:pStyle w:val="ab"/>
              <w:ind w:firstLine="492"/>
              <w:jc w:val="center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sz w:val="22"/>
                <w:szCs w:val="22"/>
              </w:rPr>
              <w:t>…</w:t>
            </w:r>
          </w:p>
          <w:p w:rsidR="00A0490F" w:rsidRPr="00A0490F" w:rsidRDefault="00A0490F" w:rsidP="00A0490F">
            <w:pPr>
              <w:pStyle w:val="ab"/>
              <w:ind w:firstLine="492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sz w:val="22"/>
                <w:szCs w:val="22"/>
              </w:rPr>
              <w:t>3.3. …</w:t>
            </w:r>
          </w:p>
          <w:p w:rsidR="00A0490F" w:rsidRPr="00A0490F" w:rsidRDefault="00A0490F" w:rsidP="00A0490F">
            <w:pPr>
              <w:pStyle w:val="ab"/>
              <w:ind w:firstLine="49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участником оптового рынка в субъекте РФ </w:t>
            </w:r>
            <w:r w:rsidRPr="00A0490F">
              <w:rPr>
                <w:rFonts w:ascii="Garamond" w:hAnsi="Garamond"/>
                <w:sz w:val="22"/>
                <w:szCs w:val="22"/>
              </w:rPr>
              <w:t>получено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право на участие в торговле электроэнергией и мощностью на оптовом рынке по нескольким ГТП, имеющим признак ГП, то </w:t>
            </w:r>
            <w:r w:rsidRPr="00A0490F">
              <w:rPr>
                <w:rFonts w:ascii="Garamond" w:hAnsi="Garamond"/>
                <w:sz w:val="22"/>
                <w:szCs w:val="22"/>
              </w:rPr>
              <w:t xml:space="preserve">коэффициент оплаты мощности для соответствующей зоны суток для участника оптового рынка </w:t>
            </w:r>
            <w:r w:rsidRPr="00A0490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рассчитывается следующим образом: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position w:val="-34"/>
                <w:sz w:val="22"/>
                <w:szCs w:val="22"/>
              </w:rPr>
              <w:object w:dxaOrig="3220" w:dyaOrig="850">
                <v:shape id="_x0000_i1088" type="#_x0000_t75" style="width:160.35pt;height:43.1pt" o:ole="">
                  <v:imagedata r:id="rId94" o:title=""/>
                </v:shape>
                <o:OLEObject Type="Embed" ProgID="Equation.3" ShapeID="_x0000_i1088" DrawAspect="Content" ObjectID="_1675765735" r:id="rId95"/>
              </w:object>
            </w:r>
            <w:r w:rsidRPr="00A0490F">
              <w:rPr>
                <w:rFonts w:ascii="Garamond" w:hAnsi="Garamond"/>
                <w:sz w:val="22"/>
                <w:szCs w:val="22"/>
              </w:rPr>
              <w:t>.</w:t>
            </w:r>
          </w:p>
          <w:p w:rsidR="00A0490F" w:rsidRPr="00A0490F" w:rsidRDefault="00A0490F" w:rsidP="00A0490F">
            <w:pPr>
              <w:pStyle w:val="ab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sz w:val="22"/>
                <w:szCs w:val="22"/>
              </w:rPr>
              <w:lastRenderedPageBreak/>
              <w:t xml:space="preserve">При этом если знаменатель равен 0, </w:t>
            </w:r>
            <w:proofErr w:type="gramStart"/>
            <w:r w:rsidRPr="00A0490F">
              <w:rPr>
                <w:rFonts w:ascii="Garamond" w:hAnsi="Garamond"/>
                <w:sz w:val="22"/>
                <w:szCs w:val="22"/>
              </w:rPr>
              <w:t xml:space="preserve">то </w: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1360" w:dyaOrig="450">
                <v:shape id="_x0000_i1089" type="#_x0000_t75" style="width:68.75pt;height:22.35pt" o:ole="">
                  <v:imagedata r:id="rId96" o:title=""/>
                </v:shape>
                <o:OLEObject Type="Embed" ProgID="Equation.3" ShapeID="_x0000_i1089" DrawAspect="Content" ObjectID="_1675765736" r:id="rId97"/>
              </w:object>
            </w:r>
            <w:r w:rsidRPr="00A0490F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  <w:p w:rsidR="00A0490F" w:rsidRPr="00A0490F" w:rsidRDefault="00A0490F" w:rsidP="00A0490F">
            <w:pPr>
              <w:pStyle w:val="ab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Для целей данного </w:t>
            </w:r>
            <w:proofErr w:type="gramStart"/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расчета </w: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1250" w:dyaOrig="450">
                <v:shape id="_x0000_i1090" type="#_x0000_t75" style="width:63.25pt;height:22.35pt" o:ole="">
                  <v:imagedata r:id="rId98" o:title=""/>
                </v:shape>
                <o:OLEObject Type="Embed" ProgID="Equation.3" ShapeID="_x0000_i1090" DrawAspect="Content" ObjectID="_1675765737" r:id="rId99"/>
              </w:object>
            </w:r>
            <w:r w:rsidRPr="00A0490F">
              <w:rPr>
                <w:rFonts w:ascii="Garamond" w:hAnsi="Garamond"/>
                <w:color w:val="000000"/>
                <w:position w:val="-14"/>
                <w:sz w:val="22"/>
                <w:szCs w:val="22"/>
              </w:rPr>
              <w:t>,</w:t>
            </w:r>
            <w:proofErr w:type="gramEnd"/>
            <w:r w:rsidRPr="00A0490F">
              <w:rPr>
                <w:rFonts w:ascii="Garamond" w:hAnsi="Garamond"/>
                <w:color w:val="000000"/>
                <w:position w:val="-14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510" w:dyaOrig="450">
                <v:shape id="_x0000_i1091" type="#_x0000_t75" style="width:26.2pt;height:22.35pt" o:ole="">
                  <v:imagedata r:id="rId100" o:title=""/>
                </v:shape>
                <o:OLEObject Type="Embed" ProgID="Equation.3" ShapeID="_x0000_i1091" DrawAspect="Content" ObjectID="_1675765738" r:id="rId101"/>
              </w:objec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t xml:space="preserve"> и</w:t>
            </w:r>
            <w:r w:rsidRPr="00A0490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>
                <v:shape id="_x0000_i1092" type="#_x0000_t75" style="width:44.2pt;height:20.75pt" o:ole="">
                  <v:imagedata r:id="rId102" o:title=""/>
                </v:shape>
                <o:OLEObject Type="Embed" ProgID="Equation.3" ShapeID="_x0000_i1092" DrawAspect="Content" ObjectID="_1675765739" r:id="rId103"/>
              </w:object>
            </w:r>
            <w:r w:rsidRPr="00A0490F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sz w:val="22"/>
                <w:szCs w:val="22"/>
              </w:rPr>
              <w:t>применяются в руб./</w:t>
            </w:r>
            <w:proofErr w:type="spellStart"/>
            <w:r w:rsidRPr="00A0490F">
              <w:rPr>
                <w:rFonts w:ascii="Garamond" w:hAnsi="Garamond"/>
                <w:sz w:val="22"/>
                <w:szCs w:val="22"/>
              </w:rPr>
              <w:t>кВт•ч</w:t>
            </w:r>
            <w:proofErr w:type="spellEnd"/>
            <w:r w:rsidRPr="00A0490F">
              <w:rPr>
                <w:rFonts w:ascii="Garamond" w:hAnsi="Garamond"/>
                <w:sz w:val="22"/>
                <w:szCs w:val="22"/>
              </w:rPr>
              <w:t xml:space="preserve"> и руб./кВт соответственно,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округленные методом математического округления до пяти знаков после запятой.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1320" w:dyaOrig="450">
                <v:shape id="_x0000_i1093" type="#_x0000_t75" style="width:66pt;height:22.35pt" o:ole="">
                  <v:imagedata r:id="rId104" o:title=""/>
                </v:shape>
                <o:OLEObject Type="Embed" ProgID="Equation.3" ShapeID="_x0000_i1093" DrawAspect="Content" ObjectID="_1675765740" r:id="rId105"/>
              </w:objec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– </w:t>
            </w:r>
            <w:r w:rsidRPr="00BD278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единая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дифференцированная по зонам суток расчетного периода средневзвешенная нерегулируемая цена на электрическую энергию (мощность) на оптовом рынке, определенная в соответствии с пунктом 10.4 настоящего Регламента;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510" w:dyaOrig="450">
                <v:shape id="_x0000_i1094" type="#_x0000_t75" style="width:26.2pt;height:22.35pt" o:ole="">
                  <v:imagedata r:id="rId106" o:title=""/>
                </v:shape>
                <o:OLEObject Type="Embed" ProgID="Equation.3" ShapeID="_x0000_i1094" DrawAspect="Content" ObjectID="_1675765741" r:id="rId107"/>
              </w:objec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BD278B">
              <w:rPr>
                <w:rFonts w:ascii="Garamond" w:hAnsi="Garamond"/>
                <w:sz w:val="22"/>
                <w:szCs w:val="22"/>
                <w:highlight w:val="yellow"/>
              </w:rPr>
              <w:t>единая</w:t>
            </w:r>
            <w:r w:rsidRPr="00A0490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средневзвешенная нерегулируемая цена на электрическую энергию, определяемая </w:t>
            </w:r>
            <w:r w:rsidRPr="00A0490F">
              <w:rPr>
                <w:rFonts w:ascii="Garamond" w:hAnsi="Garamond"/>
                <w:sz w:val="22"/>
                <w:szCs w:val="22"/>
              </w:rPr>
              <w:t>для соответствующей зоны суток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, определенная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согласно данному пункту.</w:t>
            </w:r>
          </w:p>
          <w:p w:rsidR="00A0490F" w:rsidRPr="00A0490F" w:rsidRDefault="00A0490F" w:rsidP="00A0490F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88" w:type="pct"/>
            <w:shd w:val="clear" w:color="auto" w:fill="auto"/>
          </w:tcPr>
          <w:p w:rsidR="00A0490F" w:rsidRPr="00A0490F" w:rsidRDefault="00A0490F" w:rsidP="00A0490F">
            <w:pPr>
              <w:pStyle w:val="ab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10.8.1. КО </w:t>
            </w:r>
            <w:r w:rsidRPr="00A0490F">
              <w:rPr>
                <w:rFonts w:ascii="Garamond" w:hAnsi="Garamond"/>
                <w:sz w:val="22"/>
                <w:szCs w:val="22"/>
              </w:rPr>
              <w:t xml:space="preserve">ежемесячно публикует на своем официальном сайте электронное сообщение, содержащее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следующую информацию (в данном разделе </w:t>
            </w:r>
            <w:r w:rsidRPr="00A0490F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450" w:dyaOrig="540">
                <v:shape id="_x0000_i1095" type="#_x0000_t75" style="width:22.35pt;height:27.25pt" o:ole="">
                  <v:imagedata r:id="rId88" o:title=""/>
                </v:shape>
                <o:OLEObject Type="Embed" ProgID="Equation.3" ShapeID="_x0000_i1095" DrawAspect="Content" ObjectID="_1675765742" r:id="rId108"/>
              </w:objec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означает суммирование по ГТП участника оптового рынка </w:t>
            </w:r>
            <w:r w:rsidRPr="00A0490F">
              <w:rPr>
                <w:rFonts w:ascii="Garamond" w:hAnsi="Garamond"/>
                <w:i/>
                <w:color w:val="000000"/>
                <w:sz w:val="22"/>
                <w:szCs w:val="22"/>
              </w:rPr>
              <w:t>j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, имеющим признак ГП, находящимся в одном субъекте РФ).</w:t>
            </w:r>
          </w:p>
          <w:p w:rsidR="00A0490F" w:rsidRPr="00A0490F" w:rsidRDefault="00A0490F" w:rsidP="00A0490F">
            <w:pPr>
              <w:pStyle w:val="ab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1. В течение 10 календарных дней по окончании расчетного периода: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– объем электрической энергии, приобретенный участником оптового рынка за расчетный период по регулируемым </w:t>
            </w:r>
            <w:proofErr w:type="gramStart"/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ценам </w:t>
            </w:r>
            <w:r w:rsidRPr="00A0490F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1050" w:dyaOrig="540">
                <v:shape id="_x0000_i1096" type="#_x0000_t75" style="width:52.35pt;height:27.25pt" o:ole="">
                  <v:imagedata r:id="rId90" o:title=""/>
                </v:shape>
                <o:OLEObject Type="Embed" ProgID="Equation.3" ShapeID="_x0000_i1096" DrawAspect="Content" ObjectID="_1675765743" r:id="rId109"/>
              </w:objec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proofErr w:type="gramEnd"/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определенный в соответствии с подпунктом 10.2.2 настоящего </w:t>
            </w:r>
            <w:r w:rsidRPr="00A0490F">
              <w:rPr>
                <w:rFonts w:ascii="Garamond" w:hAnsi="Garamond"/>
                <w:caps/>
                <w:color w:val="000000"/>
                <w:sz w:val="22"/>
                <w:szCs w:val="22"/>
              </w:rPr>
              <w:t>р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егламента;</w:t>
            </w:r>
          </w:p>
          <w:p w:rsidR="00A0490F" w:rsidRPr="00A0490F" w:rsidRDefault="002D55C9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87997" wp14:editId="3F0D6ECC">
                      <wp:simplePos x="0" y="0"/>
                      <wp:positionH relativeFrom="column">
                        <wp:posOffset>2663478</wp:posOffset>
                      </wp:positionH>
                      <wp:positionV relativeFrom="paragraph">
                        <wp:posOffset>499168</wp:posOffset>
                      </wp:positionV>
                      <wp:extent cx="133350" cy="393700"/>
                      <wp:effectExtent l="0" t="0" r="19050" b="2540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93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781F91E0" id="Овал 5" o:spid="_x0000_s1026" style="position:absolute;margin-left:209.7pt;margin-top:39.3pt;width:10.5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Pr="00A0490F">
              <w:rPr>
                <w:rFonts w:ascii="Garamond" w:hAnsi="Garamond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895D3E" wp14:editId="4ACB00FE">
                      <wp:simplePos x="0" y="0"/>
                      <wp:positionH relativeFrom="column">
                        <wp:posOffset>1241656</wp:posOffset>
                      </wp:positionH>
                      <wp:positionV relativeFrom="paragraph">
                        <wp:posOffset>503959</wp:posOffset>
                      </wp:positionV>
                      <wp:extent cx="133350" cy="393700"/>
                      <wp:effectExtent l="0" t="0" r="19050" b="2540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93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28C38BB5" id="Овал 6" o:spid="_x0000_s1026" style="position:absolute;margin-left:97.75pt;margin-top:39.7pt;width:1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A0490F" w:rsidRPr="00A0490F">
              <w:rPr>
                <w:rFonts w:ascii="Garamond" w:hAnsi="Garamond"/>
                <w:color w:val="000000"/>
                <w:sz w:val="22"/>
                <w:szCs w:val="22"/>
              </w:rPr>
              <w:t>– объем электрической энергии, приобретенный участником оптового рынка по результатам конкурентного отбора заявок на сутки вперед за расчетный период, определяемый в соответствии с формулой:</w:t>
            </w:r>
          </w:p>
          <w:p w:rsidR="00A0490F" w:rsidRPr="00A0490F" w:rsidRDefault="00A0490F" w:rsidP="00A0490F">
            <w:pPr>
              <w:pStyle w:val="ab"/>
              <w:widowControl w:val="0"/>
              <w:ind w:firstLine="1167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520" w:dyaOrig="560">
                <v:shape id="_x0000_i1097" type="#_x0000_t75" style="width:225.8pt;height:27.8pt" o:ole="">
                  <v:imagedata r:id="rId110" o:title=""/>
                </v:shape>
                <o:OLEObject Type="Embed" ProgID="Equation.3" ShapeID="_x0000_i1097" DrawAspect="Content" ObjectID="_1675765744" r:id="rId111"/>
              </w:object>
            </w:r>
            <w:r w:rsidRPr="00A0490F">
              <w:rPr>
                <w:rFonts w:ascii="Garamond" w:hAnsi="Garamond"/>
                <w:sz w:val="22"/>
                <w:szCs w:val="22"/>
              </w:rPr>
              <w:t>,</w:t>
            </w:r>
          </w:p>
          <w:p w:rsidR="00A0490F" w:rsidRPr="00A0490F" w:rsidRDefault="00A0490F" w:rsidP="00A0490F">
            <w:pPr>
              <w:pStyle w:val="ab"/>
              <w:ind w:firstLine="492"/>
              <w:jc w:val="center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sz w:val="22"/>
                <w:szCs w:val="22"/>
              </w:rPr>
              <w:t>…</w:t>
            </w:r>
          </w:p>
          <w:p w:rsidR="00A0490F" w:rsidRPr="00A0490F" w:rsidRDefault="00A0490F" w:rsidP="00A0490F">
            <w:pPr>
              <w:pStyle w:val="ab"/>
              <w:ind w:firstLine="492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sz w:val="22"/>
                <w:szCs w:val="22"/>
              </w:rPr>
              <w:t>3.3. …</w:t>
            </w:r>
          </w:p>
          <w:p w:rsidR="00A0490F" w:rsidRPr="00A0490F" w:rsidRDefault="00A0490F" w:rsidP="00A0490F">
            <w:pPr>
              <w:pStyle w:val="ab"/>
              <w:ind w:firstLine="49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участником оптового рынка в субъекте РФ </w:t>
            </w:r>
            <w:r w:rsidRPr="00A0490F">
              <w:rPr>
                <w:rFonts w:ascii="Garamond" w:hAnsi="Garamond"/>
                <w:sz w:val="22"/>
                <w:szCs w:val="22"/>
              </w:rPr>
              <w:t>получено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право на участие в торговле электроэнергией и мощностью на оптовом рынке по нескольким ГТП, имеющим признак ГП, то </w:t>
            </w:r>
            <w:r w:rsidRPr="00A0490F">
              <w:rPr>
                <w:rFonts w:ascii="Garamond" w:hAnsi="Garamond"/>
                <w:sz w:val="22"/>
                <w:szCs w:val="22"/>
              </w:rPr>
              <w:t xml:space="preserve">коэффициент оплаты мощности для соответствующей зоны суток для участника оптового рынка </w:t>
            </w:r>
            <w:r w:rsidRPr="00A0490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рассчитывается следующим образом: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position w:val="-34"/>
                <w:sz w:val="22"/>
                <w:szCs w:val="22"/>
              </w:rPr>
              <w:object w:dxaOrig="3220" w:dyaOrig="850">
                <v:shape id="_x0000_i1098" type="#_x0000_t75" style="width:160.35pt;height:43.1pt" o:ole="">
                  <v:imagedata r:id="rId94" o:title=""/>
                </v:shape>
                <o:OLEObject Type="Embed" ProgID="Equation.3" ShapeID="_x0000_i1098" DrawAspect="Content" ObjectID="_1675765745" r:id="rId112"/>
              </w:object>
            </w:r>
            <w:r w:rsidRPr="00A0490F">
              <w:rPr>
                <w:rFonts w:ascii="Garamond" w:hAnsi="Garamond"/>
                <w:sz w:val="22"/>
                <w:szCs w:val="22"/>
              </w:rPr>
              <w:t>.</w:t>
            </w:r>
          </w:p>
          <w:p w:rsidR="00A0490F" w:rsidRPr="00A0490F" w:rsidRDefault="00A0490F" w:rsidP="00A0490F">
            <w:pPr>
              <w:pStyle w:val="ab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sz w:val="22"/>
                <w:szCs w:val="22"/>
              </w:rPr>
              <w:t xml:space="preserve">При этом если знаменатель равен 0, </w:t>
            </w:r>
            <w:proofErr w:type="gramStart"/>
            <w:r w:rsidRPr="00A0490F">
              <w:rPr>
                <w:rFonts w:ascii="Garamond" w:hAnsi="Garamond"/>
                <w:sz w:val="22"/>
                <w:szCs w:val="22"/>
              </w:rPr>
              <w:t xml:space="preserve">то </w: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1360" w:dyaOrig="450">
                <v:shape id="_x0000_i1099" type="#_x0000_t75" style="width:68.75pt;height:22.35pt" o:ole="">
                  <v:imagedata r:id="rId96" o:title=""/>
                </v:shape>
                <o:OLEObject Type="Embed" ProgID="Equation.3" ShapeID="_x0000_i1099" DrawAspect="Content" ObjectID="_1675765746" r:id="rId113"/>
              </w:object>
            </w:r>
            <w:r w:rsidRPr="00A0490F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  <w:p w:rsidR="00A0490F" w:rsidRPr="00A0490F" w:rsidRDefault="00A0490F" w:rsidP="00A0490F">
            <w:pPr>
              <w:pStyle w:val="ab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Для целей данного </w:t>
            </w:r>
            <w:proofErr w:type="gramStart"/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расчета </w: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1250" w:dyaOrig="450">
                <v:shape id="_x0000_i1100" type="#_x0000_t75" style="width:63.25pt;height:22.35pt" o:ole="">
                  <v:imagedata r:id="rId98" o:title=""/>
                </v:shape>
                <o:OLEObject Type="Embed" ProgID="Equation.3" ShapeID="_x0000_i1100" DrawAspect="Content" ObjectID="_1675765747" r:id="rId114"/>
              </w:object>
            </w:r>
            <w:r w:rsidRPr="00A0490F">
              <w:rPr>
                <w:rFonts w:ascii="Garamond" w:hAnsi="Garamond"/>
                <w:color w:val="000000"/>
                <w:position w:val="-14"/>
                <w:sz w:val="22"/>
                <w:szCs w:val="22"/>
              </w:rPr>
              <w:t>,</w:t>
            </w:r>
            <w:proofErr w:type="gramEnd"/>
            <w:r w:rsidRPr="00A0490F">
              <w:rPr>
                <w:rFonts w:ascii="Garamond" w:hAnsi="Garamond"/>
                <w:color w:val="000000"/>
                <w:position w:val="-14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510" w:dyaOrig="450">
                <v:shape id="_x0000_i1101" type="#_x0000_t75" style="width:26.2pt;height:22.35pt" o:ole="">
                  <v:imagedata r:id="rId100" o:title=""/>
                </v:shape>
                <o:OLEObject Type="Embed" ProgID="Equation.3" ShapeID="_x0000_i1101" DrawAspect="Content" ObjectID="_1675765748" r:id="rId115"/>
              </w:objec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t xml:space="preserve"> и</w:t>
            </w:r>
            <w:r w:rsidRPr="00A0490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>
                <v:shape id="_x0000_i1102" type="#_x0000_t75" style="width:44.2pt;height:20.75pt" o:ole="">
                  <v:imagedata r:id="rId102" o:title=""/>
                </v:shape>
                <o:OLEObject Type="Embed" ProgID="Equation.3" ShapeID="_x0000_i1102" DrawAspect="Content" ObjectID="_1675765749" r:id="rId116"/>
              </w:object>
            </w:r>
            <w:r w:rsidRPr="00A0490F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sz w:val="22"/>
                <w:szCs w:val="22"/>
              </w:rPr>
              <w:t>применяются в руб./</w:t>
            </w:r>
            <w:proofErr w:type="spellStart"/>
            <w:r w:rsidRPr="00A0490F">
              <w:rPr>
                <w:rFonts w:ascii="Garamond" w:hAnsi="Garamond"/>
                <w:sz w:val="22"/>
                <w:szCs w:val="22"/>
              </w:rPr>
              <w:t>кВт•ч</w:t>
            </w:r>
            <w:proofErr w:type="spellEnd"/>
            <w:r w:rsidRPr="00A0490F">
              <w:rPr>
                <w:rFonts w:ascii="Garamond" w:hAnsi="Garamond"/>
                <w:sz w:val="22"/>
                <w:szCs w:val="22"/>
              </w:rPr>
              <w:t xml:space="preserve"> и руб./кВт соответственно,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округленные методом математического округления до пяти знаков после запятой.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1320" w:dyaOrig="450">
                <v:shape id="_x0000_i1103" type="#_x0000_t75" style="width:66pt;height:22.35pt" o:ole="">
                  <v:imagedata r:id="rId104" o:title=""/>
                </v:shape>
                <o:OLEObject Type="Embed" ProgID="Equation.3" ShapeID="_x0000_i1103" DrawAspect="Content" ObjectID="_1675765750" r:id="rId117"/>
              </w:objec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 –</w:t>
            </w:r>
            <w:r w:rsidR="00BD278B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>дифференцированная по зонам суток расчетного периода средневзвешенная нерегулируемая цена на электрическую энергию (мощность) на оптовом рынке, определенная в соответствии с пунктом 10.4 настоящего Регламента;</w:t>
            </w:r>
          </w:p>
          <w:p w:rsidR="00A0490F" w:rsidRPr="00A0490F" w:rsidRDefault="00A0490F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object w:dxaOrig="510" w:dyaOrig="450">
                <v:shape id="_x0000_i1104" type="#_x0000_t75" style="width:26.2pt;height:22.35pt" o:ole="">
                  <v:imagedata r:id="rId106" o:title=""/>
                </v:shape>
                <o:OLEObject Type="Embed" ProgID="Equation.3" ShapeID="_x0000_i1104" DrawAspect="Content" ObjectID="_1675765751" r:id="rId118"/>
              </w:object>
            </w:r>
            <w:r w:rsidRPr="00A0490F">
              <w:rPr>
                <w:rFonts w:ascii="Garamond" w:hAnsi="Garamond"/>
                <w:position w:val="-20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sz w:val="22"/>
                <w:szCs w:val="22"/>
              </w:rPr>
              <w:t>–</w:t>
            </w:r>
            <w:r w:rsidR="00BD278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средневзвешенная нерегулируемая цена на электрическую энергию, определяемая </w:t>
            </w:r>
            <w:r w:rsidRPr="00A0490F">
              <w:rPr>
                <w:rFonts w:ascii="Garamond" w:hAnsi="Garamond"/>
                <w:sz w:val="22"/>
                <w:szCs w:val="22"/>
              </w:rPr>
              <w:t>для соответствующей зоны суток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</w:rPr>
              <w:t xml:space="preserve">, определенная </w:t>
            </w:r>
            <w:r w:rsidRPr="00A0490F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соответствии с пунктом 10.3 настоящего Регламента;</w:t>
            </w:r>
          </w:p>
          <w:p w:rsidR="00A0490F" w:rsidRPr="00A0490F" w:rsidRDefault="00BD278B" w:rsidP="00A0490F">
            <w:pPr>
              <w:pStyle w:val="ab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D278B">
              <w:rPr>
                <w:rFonts w:ascii="Garamond" w:hAnsi="Garamond"/>
                <w:color w:val="000000"/>
                <w:position w:val="-14"/>
                <w:sz w:val="22"/>
                <w:szCs w:val="22"/>
                <w:highlight w:val="yellow"/>
              </w:rPr>
              <w:object w:dxaOrig="880" w:dyaOrig="400">
                <v:shape id="_x0000_i1105" type="#_x0000_t75" style="width:44.2pt;height:20.75pt" o:ole="">
                  <v:imagedata r:id="rId119" o:title=""/>
                </v:shape>
                <o:OLEObject Type="Embed" ProgID="Equation.3" ShapeID="_x0000_i1105" DrawAspect="Content" ObjectID="_1675765752" r:id="rId120"/>
              </w:object>
            </w:r>
            <w:r w:rsidR="00A0490F" w:rsidRPr="00A0490F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– средневзвешенная нерегулируемая цена на мощность на оптовом рынке в отношении расчетного периода </w:t>
            </w:r>
            <w:r w:rsidR="00A0490F" w:rsidRPr="00A0490F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m</w:t>
            </w:r>
            <w:r w:rsidR="00A0490F" w:rsidRPr="00A0490F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 определенная в соответствии с пунктом 10.5 настоящего Регламента.</w:t>
            </w:r>
          </w:p>
          <w:p w:rsidR="00A0490F" w:rsidRPr="00A0490F" w:rsidRDefault="00A0490F" w:rsidP="00A0490F">
            <w:pPr>
              <w:pStyle w:val="ab"/>
              <w:jc w:val="center"/>
              <w:rPr>
                <w:rFonts w:ascii="Garamond" w:hAnsi="Garamond"/>
                <w:sz w:val="22"/>
                <w:szCs w:val="22"/>
              </w:rPr>
            </w:pPr>
            <w:r w:rsidRPr="00A0490F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453C5E" w:rsidRDefault="00453C5E" w:rsidP="00B517FA">
      <w:pPr>
        <w:jc w:val="both"/>
        <w:rPr>
          <w:rFonts w:ascii="Garamond" w:eastAsia="Batang" w:hAnsi="Garamond"/>
          <w:b/>
          <w:sz w:val="26"/>
          <w:szCs w:val="26"/>
        </w:rPr>
        <w:sectPr w:rsidR="00453C5E" w:rsidSect="000E0AC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E0AC3" w:rsidRPr="00B14D31" w:rsidRDefault="000E0AC3" w:rsidP="004B1634">
      <w:pPr>
        <w:spacing w:after="120"/>
        <w:rPr>
          <w:rFonts w:ascii="Garamond" w:eastAsia="Batang" w:hAnsi="Garamond"/>
          <w:b/>
          <w:sz w:val="26"/>
          <w:szCs w:val="26"/>
        </w:rPr>
      </w:pPr>
      <w:r w:rsidRPr="000E0AC3">
        <w:rPr>
          <w:rFonts w:ascii="Garamond" w:eastAsia="Batang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bookmarkStart w:id="15" w:name="_Toc204420353"/>
      <w:bookmarkStart w:id="16" w:name="_Toc211138623"/>
      <w:bookmarkStart w:id="17" w:name="_Toc260307774"/>
      <w:r w:rsidRPr="000E0AC3">
        <w:rPr>
          <w:rFonts w:ascii="Garamond" w:hAnsi="Garamond"/>
          <w:b/>
          <w:sz w:val="26"/>
          <w:szCs w:val="26"/>
        </w:rPr>
        <w:t>РЕГЛАМЕНТ ПРОВЕДЕНИЯ</w:t>
      </w:r>
      <w:bookmarkStart w:id="18" w:name="_Toc204420354"/>
      <w:bookmarkStart w:id="19" w:name="_Toc211138624"/>
      <w:bookmarkStart w:id="20" w:name="_Toc260307775"/>
      <w:bookmarkEnd w:id="15"/>
      <w:bookmarkEnd w:id="16"/>
      <w:bookmarkEnd w:id="17"/>
      <w:r w:rsidRPr="000E0AC3">
        <w:rPr>
          <w:rFonts w:ascii="Garamond" w:hAnsi="Garamond"/>
          <w:b/>
          <w:sz w:val="26"/>
          <w:szCs w:val="26"/>
        </w:rPr>
        <w:t xml:space="preserve"> ОТБОРОВ ИНВЕСТИЦИОННЫХ ПРОЕКТОВ ПО СТРОИТЕЛЬСТВУ ГЕНЕРИРУЮЩИХ ОБЪЕКТОВ, ФУНКЦИОНИРУЮЩИХ НА ОСНОВЕ ИСПОЛЬЗОВАНИЯ ВОЗОБНОВЛЯЕМЫХ ИСТОЧНИКОВ ЭНЕРГИИ</w:t>
      </w:r>
      <w:bookmarkEnd w:id="18"/>
      <w:bookmarkEnd w:id="19"/>
      <w:bookmarkEnd w:id="20"/>
      <w:r w:rsidRPr="00B14D31"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Fonts w:ascii="Garamond" w:eastAsia="Batang" w:hAnsi="Garamond"/>
          <w:b/>
          <w:sz w:val="26"/>
          <w:szCs w:val="26"/>
        </w:rPr>
        <w:t>(Приложение № 2</w:t>
      </w:r>
      <w:r w:rsidRPr="00B14D31">
        <w:rPr>
          <w:rFonts w:ascii="Garamond" w:eastAsia="Batang" w:hAnsi="Garamond"/>
          <w:b/>
          <w:sz w:val="26"/>
          <w:szCs w:val="26"/>
        </w:rPr>
        <w:t>7 к Договору о присоединении к торговой системе оптового рынка)</w:t>
      </w:r>
    </w:p>
    <w:p w:rsidR="00073C97" w:rsidRPr="00073C97" w:rsidRDefault="00073C97" w:rsidP="00073C97">
      <w:pPr>
        <w:tabs>
          <w:tab w:val="left" w:pos="4428"/>
        </w:tabs>
        <w:suppressAutoHyphens/>
        <w:rPr>
          <w:rFonts w:ascii="Garamond" w:hAnsi="Garamond"/>
          <w:b/>
          <w:bCs/>
        </w:rPr>
      </w:pPr>
    </w:p>
    <w:p w:rsidR="00453C5E" w:rsidRPr="00453C5E" w:rsidRDefault="00073C97" w:rsidP="00073C97">
      <w:pPr>
        <w:tabs>
          <w:tab w:val="left" w:pos="4428"/>
        </w:tabs>
        <w:suppressAutoHyphens/>
        <w:rPr>
          <w:rFonts w:ascii="Garamond" w:eastAsia="Batang" w:hAnsi="Garamond" w:cs="Garamond"/>
          <w:b/>
          <w:bCs/>
          <w:lang w:eastAsia="ar-SA"/>
        </w:rPr>
      </w:pPr>
      <w:r w:rsidRPr="00073C97">
        <w:rPr>
          <w:rFonts w:ascii="Garamond" w:hAnsi="Garamond"/>
          <w:b/>
          <w:bCs/>
        </w:rPr>
        <w:t>Действующая редакция</w:t>
      </w:r>
    </w:p>
    <w:p w:rsidR="00453C5E" w:rsidRPr="00453C5E" w:rsidRDefault="00453C5E" w:rsidP="00453C5E">
      <w:pPr>
        <w:tabs>
          <w:tab w:val="left" w:pos="4428"/>
        </w:tabs>
        <w:suppressAutoHyphens/>
        <w:jc w:val="right"/>
        <w:rPr>
          <w:rFonts w:ascii="Garamond" w:eastAsia="Batang" w:hAnsi="Garamond" w:cs="Garamond"/>
          <w:b/>
          <w:bCs/>
          <w:sz w:val="20"/>
          <w:szCs w:val="20"/>
          <w:lang w:eastAsia="ar-SA"/>
        </w:rPr>
      </w:pPr>
    </w:p>
    <w:p w:rsidR="00453C5E" w:rsidRPr="00453C5E" w:rsidRDefault="00453C5E" w:rsidP="00453C5E">
      <w:pPr>
        <w:tabs>
          <w:tab w:val="left" w:pos="4428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b/>
          <w:bCs/>
          <w:sz w:val="22"/>
          <w:szCs w:val="22"/>
          <w:lang w:eastAsia="ar-SA"/>
        </w:rPr>
        <w:t>Приложение 18</w:t>
      </w:r>
    </w:p>
    <w:p w:rsidR="00453C5E" w:rsidRPr="00453C5E" w:rsidRDefault="00453C5E" w:rsidP="00453C5E">
      <w:pPr>
        <w:tabs>
          <w:tab w:val="left" w:pos="4428"/>
        </w:tabs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tabs>
          <w:tab w:val="left" w:pos="4428"/>
        </w:tabs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 xml:space="preserve">(на бланке заявителя) </w:t>
      </w:r>
      <w:r w:rsidRPr="00453C5E">
        <w:rPr>
          <w:rFonts w:ascii="Garamond" w:eastAsia="Batang" w:hAnsi="Garamond" w:cs="Garamond"/>
          <w:sz w:val="22"/>
          <w:szCs w:val="22"/>
          <w:lang w:eastAsia="ar-SA"/>
        </w:rPr>
        <w:tab/>
      </w:r>
    </w:p>
    <w:p w:rsidR="00453C5E" w:rsidRPr="00453C5E" w:rsidRDefault="00453C5E" w:rsidP="00453C5E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Председателю Правления АО «АТС»</w:t>
      </w:r>
    </w:p>
    <w:p w:rsidR="00453C5E" w:rsidRPr="00453C5E" w:rsidRDefault="00453C5E" w:rsidP="00453C5E">
      <w:pPr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_________________________________</w:t>
      </w:r>
    </w:p>
    <w:p w:rsidR="00453C5E" w:rsidRPr="00453C5E" w:rsidRDefault="00453C5E" w:rsidP="00453C5E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Председателю Правления АО «ЦФР»</w:t>
      </w:r>
    </w:p>
    <w:p w:rsidR="00453C5E" w:rsidRPr="00453C5E" w:rsidRDefault="00453C5E" w:rsidP="00453C5E">
      <w:pPr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_________________________________</w:t>
      </w:r>
    </w:p>
    <w:p w:rsidR="00453C5E" w:rsidRPr="00453C5E" w:rsidRDefault="00453C5E" w:rsidP="00453C5E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21" w:name="_Toc435789800"/>
    </w:p>
    <w:p w:rsidR="00453C5E" w:rsidRPr="00453C5E" w:rsidRDefault="00453C5E" w:rsidP="00453C5E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22" w:name="_Toc492303555"/>
      <w:bookmarkStart w:id="23" w:name="_Toc512334746"/>
      <w:r w:rsidRPr="00453C5E">
        <w:rPr>
          <w:rFonts w:ascii="Garamond" w:eastAsia="Batang" w:hAnsi="Garamond" w:cs="Garamond"/>
          <w:b/>
          <w:sz w:val="22"/>
          <w:szCs w:val="22"/>
          <w:lang w:eastAsia="ar-SA"/>
        </w:rPr>
        <w:t>Заявление</w:t>
      </w:r>
      <w:bookmarkEnd w:id="21"/>
      <w:bookmarkEnd w:id="22"/>
      <w:bookmarkEnd w:id="23"/>
    </w:p>
    <w:p w:rsidR="00453C5E" w:rsidRPr="00453C5E" w:rsidRDefault="00453C5E" w:rsidP="00453C5E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24" w:name="_Toc435789801"/>
      <w:bookmarkStart w:id="25" w:name="_Toc492303556"/>
      <w:bookmarkStart w:id="26" w:name="_Toc512334747"/>
      <w:r w:rsidRPr="00453C5E">
        <w:rPr>
          <w:rFonts w:ascii="Garamond" w:eastAsia="Batang" w:hAnsi="Garamond" w:cs="Garamond"/>
          <w:b/>
          <w:sz w:val="22"/>
          <w:szCs w:val="22"/>
          <w:lang w:eastAsia="ar-SA"/>
        </w:rPr>
        <w:t>о намерении передать права и обязанности продавца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bookmarkEnd w:id="24"/>
      <w:bookmarkEnd w:id="25"/>
      <w:bookmarkEnd w:id="26"/>
    </w:p>
    <w:p w:rsidR="00453C5E" w:rsidRPr="00453C5E" w:rsidRDefault="00453C5E" w:rsidP="00453C5E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_____________________________________________________________________________________,</w:t>
      </w:r>
    </w:p>
    <w:p w:rsidR="00453C5E" w:rsidRPr="00453C5E" w:rsidRDefault="00453C5E" w:rsidP="00453C5E">
      <w:pPr>
        <w:suppressAutoHyphens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453C5E">
        <w:rPr>
          <w:rFonts w:ascii="Garamond" w:eastAsia="Batang" w:hAnsi="Garamond" w:cs="Garamond"/>
          <w:i/>
          <w:sz w:val="18"/>
          <w:szCs w:val="18"/>
          <w:lang w:eastAsia="ar-SA"/>
        </w:rPr>
        <w:t>(полное наименование организации-заявителя с указанием организационно-правовой формы)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i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регистрационный номер в Реестре субъектов оптового рынка _________________________________,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выражает намерение передать права и обязанности продавца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заключенным в отношении объекта генерации установленной мощностью ____ МВт, соответствующего следующим идентификационным параметрам:</w:t>
      </w:r>
    </w:p>
    <w:p w:rsidR="00453C5E" w:rsidRPr="00453C5E" w:rsidRDefault="00453C5E" w:rsidP="00453C5E">
      <w:pPr>
        <w:suppressAutoHyphens/>
        <w:ind w:left="7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tbl>
      <w:tblPr>
        <w:tblW w:w="6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1320"/>
        <w:gridCol w:w="1613"/>
        <w:gridCol w:w="709"/>
        <w:gridCol w:w="1331"/>
      </w:tblGrid>
      <w:tr w:rsidR="00453C5E" w:rsidRPr="00453C5E" w:rsidTr="00501CC3">
        <w:trPr>
          <w:trHeight w:val="61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Код ГТП генерации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Вид объекта генерации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Местонахождение объекта генерации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Год начала поставки мощности</w:t>
            </w:r>
          </w:p>
        </w:tc>
      </w:tr>
      <w:tr w:rsidR="00453C5E" w:rsidRPr="00453C5E" w:rsidTr="00501CC3">
        <w:trPr>
          <w:trHeight w:val="142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Субъект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Ценовая зона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53C5E" w:rsidRPr="00453C5E" w:rsidTr="00501CC3">
        <w:trPr>
          <w:trHeight w:val="396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</w:tbl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bCs/>
          <w:sz w:val="22"/>
          <w:szCs w:val="22"/>
          <w:lang w:eastAsia="ar-SA"/>
        </w:rPr>
        <w:t>_______________________________________________________</w:t>
      </w:r>
      <w:r w:rsidRPr="00453C5E">
        <w:rPr>
          <w:rFonts w:ascii="Garamond" w:eastAsia="Batang" w:hAnsi="Garamond" w:cs="Garamond"/>
          <w:bCs/>
          <w:sz w:val="22"/>
          <w:szCs w:val="22"/>
          <w:lang w:eastAsia="ar-SA"/>
        </w:rPr>
        <w:tab/>
        <w:t>________________________</w:t>
      </w:r>
    </w:p>
    <w:p w:rsidR="00453C5E" w:rsidRPr="00453C5E" w:rsidRDefault="00453C5E" w:rsidP="00453C5E">
      <w:pPr>
        <w:suppressAutoHyphens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453C5E">
        <w:rPr>
          <w:rFonts w:ascii="Garamond" w:eastAsia="Batang" w:hAnsi="Garamond" w:cs="Garamond"/>
          <w:i/>
          <w:sz w:val="18"/>
          <w:szCs w:val="18"/>
          <w:lang w:eastAsia="ar-SA"/>
        </w:rPr>
        <w:t>(полное наименование организации, которой заявитель планирует передать права и обязанности продавца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с указанием организационно-правовой формы)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Планируемая дата передачи прав и обязанностей продавца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1 (первое) _________ ______.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18"/>
          <w:szCs w:val="18"/>
          <w:lang w:eastAsia="ar-SA"/>
        </w:rPr>
      </w:pPr>
      <w:r w:rsidRPr="00453C5E">
        <w:rPr>
          <w:rFonts w:ascii="Garamond" w:eastAsia="Batang" w:hAnsi="Garamond" w:cs="Garamond"/>
          <w:sz w:val="18"/>
          <w:szCs w:val="18"/>
          <w:lang w:eastAsia="ar-SA"/>
        </w:rPr>
        <w:t xml:space="preserve">                                                                                                                (</w:t>
      </w:r>
      <w:r w:rsidRPr="00453C5E">
        <w:rPr>
          <w:rFonts w:ascii="Garamond" w:eastAsia="Batang" w:hAnsi="Garamond" w:cs="Garamond"/>
          <w:i/>
          <w:sz w:val="18"/>
          <w:szCs w:val="18"/>
          <w:lang w:eastAsia="ar-SA"/>
        </w:rPr>
        <w:t>месяц, год</w:t>
      </w:r>
      <w:r w:rsidRPr="00453C5E">
        <w:rPr>
          <w:rFonts w:ascii="Garamond" w:eastAsia="Batang" w:hAnsi="Garamond" w:cs="Garamond"/>
          <w:sz w:val="18"/>
          <w:szCs w:val="18"/>
          <w:lang w:eastAsia="ar-SA"/>
        </w:rPr>
        <w:t>)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18"/>
          <w:szCs w:val="18"/>
          <w:lang w:eastAsia="ar-SA"/>
        </w:rPr>
      </w:pPr>
    </w:p>
    <w:p w:rsidR="00453C5E" w:rsidRPr="00453C5E" w:rsidRDefault="00453C5E" w:rsidP="00453C5E">
      <w:pPr>
        <w:jc w:val="both"/>
        <w:rPr>
          <w:rFonts w:ascii="Garamond" w:hAnsi="Garamond"/>
          <w:bCs/>
        </w:rPr>
      </w:pPr>
      <w:r w:rsidRPr="00453C5E">
        <w:rPr>
          <w:rFonts w:ascii="Garamond" w:hAnsi="Garamond"/>
          <w:bCs/>
          <w:sz w:val="22"/>
          <w:szCs w:val="22"/>
        </w:rPr>
        <w:t>_____________________________</w:t>
      </w:r>
      <w:r w:rsidRPr="00453C5E">
        <w:rPr>
          <w:rFonts w:ascii="Garamond" w:hAnsi="Garamond"/>
          <w:bCs/>
          <w:sz w:val="22"/>
          <w:szCs w:val="22"/>
        </w:rPr>
        <w:tab/>
        <w:t xml:space="preserve">_______________ </w:t>
      </w:r>
      <w:r w:rsidRPr="00453C5E">
        <w:rPr>
          <w:rFonts w:ascii="Garamond" w:hAnsi="Garamond"/>
          <w:bCs/>
          <w:sz w:val="22"/>
          <w:szCs w:val="22"/>
        </w:rPr>
        <w:tab/>
        <w:t xml:space="preserve"> ___________________          </w:t>
      </w:r>
    </w:p>
    <w:p w:rsidR="00453C5E" w:rsidRPr="00453C5E" w:rsidRDefault="00453C5E" w:rsidP="00453C5E">
      <w:pPr>
        <w:contextualSpacing/>
        <w:jc w:val="both"/>
        <w:rPr>
          <w:rFonts w:ascii="Garamond" w:eastAsia="Batang" w:hAnsi="Garamond"/>
          <w:sz w:val="22"/>
          <w:szCs w:val="22"/>
        </w:rPr>
      </w:pPr>
      <w:r w:rsidRPr="00453C5E">
        <w:rPr>
          <w:rFonts w:ascii="Garamond" w:eastAsia="Batang" w:hAnsi="Garamond"/>
          <w:i/>
          <w:sz w:val="18"/>
          <w:szCs w:val="18"/>
        </w:rPr>
        <w:t xml:space="preserve">                  (должность, печать) </w:t>
      </w:r>
      <w:r w:rsidRPr="00453C5E">
        <w:rPr>
          <w:rFonts w:ascii="Garamond" w:eastAsia="Batang" w:hAnsi="Garamond"/>
          <w:i/>
          <w:sz w:val="18"/>
          <w:szCs w:val="18"/>
        </w:rPr>
        <w:tab/>
        <w:t xml:space="preserve">                    </w:t>
      </w:r>
      <w:r w:rsidRPr="00453C5E">
        <w:rPr>
          <w:rFonts w:ascii="Garamond" w:eastAsia="Batang" w:hAnsi="Garamond"/>
          <w:i/>
          <w:sz w:val="18"/>
          <w:szCs w:val="18"/>
        </w:rPr>
        <w:tab/>
        <w:t xml:space="preserve">     </w:t>
      </w:r>
      <w:proofErr w:type="gramStart"/>
      <w:r w:rsidRPr="00453C5E">
        <w:rPr>
          <w:rFonts w:ascii="Garamond" w:eastAsia="Batang" w:hAnsi="Garamond"/>
          <w:i/>
          <w:sz w:val="18"/>
          <w:szCs w:val="18"/>
        </w:rPr>
        <w:t xml:space="preserve">   (</w:t>
      </w:r>
      <w:proofErr w:type="gramEnd"/>
      <w:r w:rsidRPr="00453C5E">
        <w:rPr>
          <w:rFonts w:ascii="Garamond" w:eastAsia="Batang" w:hAnsi="Garamond"/>
          <w:i/>
          <w:sz w:val="18"/>
          <w:szCs w:val="18"/>
        </w:rPr>
        <w:t>подпись)</w:t>
      </w:r>
      <w:r w:rsidRPr="00453C5E">
        <w:rPr>
          <w:rFonts w:ascii="Garamond" w:eastAsia="Batang" w:hAnsi="Garamond"/>
          <w:i/>
          <w:sz w:val="18"/>
          <w:szCs w:val="18"/>
        </w:rPr>
        <w:tab/>
      </w:r>
      <w:r w:rsidRPr="00453C5E">
        <w:rPr>
          <w:rFonts w:ascii="Garamond" w:eastAsia="Batang" w:hAnsi="Garamond"/>
          <w:i/>
          <w:sz w:val="18"/>
          <w:szCs w:val="18"/>
        </w:rPr>
        <w:tab/>
        <w:t xml:space="preserve"> (расшифровка подписи)</w:t>
      </w:r>
    </w:p>
    <w:p w:rsidR="00453C5E" w:rsidRPr="00453C5E" w:rsidRDefault="00453C5E" w:rsidP="00453C5E">
      <w:pPr>
        <w:contextualSpacing/>
        <w:jc w:val="both"/>
        <w:rPr>
          <w:rFonts w:ascii="Garamond" w:eastAsia="Batang" w:hAnsi="Garamond"/>
          <w:sz w:val="22"/>
          <w:szCs w:val="22"/>
        </w:rPr>
      </w:pPr>
    </w:p>
    <w:p w:rsidR="00453C5E" w:rsidRPr="00453C5E" w:rsidRDefault="00453C5E" w:rsidP="00453C5E">
      <w:pPr>
        <w:contextualSpacing/>
        <w:jc w:val="both"/>
        <w:rPr>
          <w:rFonts w:ascii="Garamond" w:eastAsia="Batang" w:hAnsi="Garamond"/>
          <w:sz w:val="22"/>
          <w:szCs w:val="22"/>
        </w:rPr>
      </w:pPr>
      <w:r w:rsidRPr="00453C5E">
        <w:rPr>
          <w:rFonts w:ascii="Garamond" w:eastAsia="Batang" w:hAnsi="Garamond"/>
          <w:sz w:val="22"/>
          <w:szCs w:val="22"/>
        </w:rPr>
        <w:br w:type="page"/>
      </w:r>
    </w:p>
    <w:p w:rsidR="00073C97" w:rsidRPr="00073C97" w:rsidRDefault="00073C97" w:rsidP="00073C97">
      <w:pPr>
        <w:tabs>
          <w:tab w:val="left" w:pos="4428"/>
        </w:tabs>
        <w:rPr>
          <w:rFonts w:ascii="Garamond" w:hAnsi="Garamond"/>
          <w:b/>
          <w:bCs/>
        </w:rPr>
      </w:pPr>
      <w:r w:rsidRPr="00073C97">
        <w:rPr>
          <w:rFonts w:ascii="Garamond" w:hAnsi="Garamond"/>
          <w:b/>
          <w:bCs/>
        </w:rPr>
        <w:lastRenderedPageBreak/>
        <w:t>Предлагаемая редакция</w:t>
      </w:r>
    </w:p>
    <w:p w:rsidR="00453C5E" w:rsidRPr="00453C5E" w:rsidRDefault="00453C5E" w:rsidP="00453C5E">
      <w:pPr>
        <w:tabs>
          <w:tab w:val="left" w:pos="4428"/>
        </w:tabs>
        <w:suppressAutoHyphens/>
        <w:jc w:val="right"/>
        <w:rPr>
          <w:rFonts w:ascii="Garamond" w:eastAsia="Batang" w:hAnsi="Garamond" w:cs="Garamond"/>
          <w:b/>
          <w:bCs/>
          <w:sz w:val="22"/>
          <w:szCs w:val="22"/>
          <w:lang w:eastAsia="ar-SA"/>
        </w:rPr>
      </w:pPr>
    </w:p>
    <w:p w:rsidR="00453C5E" w:rsidRPr="00453C5E" w:rsidRDefault="00453C5E" w:rsidP="00453C5E">
      <w:pPr>
        <w:tabs>
          <w:tab w:val="left" w:pos="4428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b/>
          <w:bCs/>
          <w:sz w:val="22"/>
          <w:szCs w:val="22"/>
          <w:lang w:eastAsia="ar-SA"/>
        </w:rPr>
        <w:t>Приложение 18</w:t>
      </w:r>
    </w:p>
    <w:p w:rsidR="00453C5E" w:rsidRPr="00453C5E" w:rsidRDefault="00453C5E" w:rsidP="00453C5E">
      <w:pPr>
        <w:tabs>
          <w:tab w:val="left" w:pos="4428"/>
        </w:tabs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tabs>
          <w:tab w:val="left" w:pos="4428"/>
        </w:tabs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 xml:space="preserve">(на бланке заявителя) </w:t>
      </w:r>
      <w:r w:rsidRPr="00453C5E">
        <w:rPr>
          <w:rFonts w:ascii="Garamond" w:eastAsia="Batang" w:hAnsi="Garamond" w:cs="Garamond"/>
          <w:sz w:val="22"/>
          <w:szCs w:val="22"/>
          <w:lang w:eastAsia="ar-SA"/>
        </w:rPr>
        <w:tab/>
      </w:r>
    </w:p>
    <w:p w:rsidR="00453C5E" w:rsidRPr="00453C5E" w:rsidRDefault="00453C5E" w:rsidP="00453C5E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Председателю Правления АО «АТС»</w:t>
      </w:r>
    </w:p>
    <w:p w:rsidR="00453C5E" w:rsidRPr="00453C5E" w:rsidRDefault="00453C5E" w:rsidP="00453C5E">
      <w:pPr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_________________________________</w:t>
      </w:r>
    </w:p>
    <w:p w:rsidR="00453C5E" w:rsidRPr="00453C5E" w:rsidRDefault="00453C5E" w:rsidP="00453C5E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Председателю Правления АО «ЦФР»</w:t>
      </w:r>
    </w:p>
    <w:p w:rsidR="00453C5E" w:rsidRPr="00453C5E" w:rsidRDefault="00453C5E" w:rsidP="00453C5E">
      <w:pPr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_________________________________</w:t>
      </w:r>
    </w:p>
    <w:p w:rsidR="00453C5E" w:rsidRPr="00453C5E" w:rsidRDefault="00453C5E" w:rsidP="00453C5E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b/>
          <w:sz w:val="22"/>
          <w:szCs w:val="22"/>
          <w:lang w:eastAsia="ar-SA"/>
        </w:rPr>
        <w:t>Заявление</w:t>
      </w:r>
    </w:p>
    <w:p w:rsidR="00453C5E" w:rsidRPr="00453C5E" w:rsidRDefault="00453C5E" w:rsidP="00453C5E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b/>
          <w:sz w:val="22"/>
          <w:szCs w:val="22"/>
          <w:lang w:eastAsia="ar-SA"/>
        </w:rPr>
        <w:t>о намерении передать права и обязанности продавца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</w:p>
    <w:p w:rsidR="00453C5E" w:rsidRPr="00453C5E" w:rsidRDefault="00453C5E" w:rsidP="00453C5E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_____________________________________________________________________________________,</w:t>
      </w:r>
    </w:p>
    <w:p w:rsidR="00453C5E" w:rsidRPr="00453C5E" w:rsidRDefault="00453C5E" w:rsidP="00453C5E">
      <w:pPr>
        <w:suppressAutoHyphens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453C5E">
        <w:rPr>
          <w:rFonts w:ascii="Garamond" w:eastAsia="Batang" w:hAnsi="Garamond" w:cs="Garamond"/>
          <w:i/>
          <w:sz w:val="18"/>
          <w:szCs w:val="18"/>
          <w:lang w:eastAsia="ar-SA"/>
        </w:rPr>
        <w:t>(полное наименование организации-заявителя с указанием организационно-правовой формы)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i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регистрационный номер в Реестре субъектов оптового рынка _________________________________,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выражает намерение передать права и обязанности продавца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заключенным в отношении объекта генерации установленной мощностью ____ МВт, соответствующего следующим идентификационным параметрам:</w:t>
      </w:r>
    </w:p>
    <w:p w:rsidR="00453C5E" w:rsidRPr="00453C5E" w:rsidRDefault="00453C5E" w:rsidP="00453C5E">
      <w:pPr>
        <w:suppressAutoHyphens/>
        <w:ind w:left="7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tbl>
      <w:tblPr>
        <w:tblW w:w="6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1320"/>
        <w:gridCol w:w="1613"/>
        <w:gridCol w:w="709"/>
        <w:gridCol w:w="1331"/>
      </w:tblGrid>
      <w:tr w:rsidR="00453C5E" w:rsidRPr="00453C5E" w:rsidTr="00501CC3">
        <w:trPr>
          <w:trHeight w:val="61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Код ГТП генерации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Вид объекта генерации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Местонахождение объекта генерации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Год начала поставки мощности</w:t>
            </w:r>
          </w:p>
        </w:tc>
      </w:tr>
      <w:tr w:rsidR="00453C5E" w:rsidRPr="00453C5E" w:rsidTr="00501CC3">
        <w:trPr>
          <w:trHeight w:val="142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Субъект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5E" w:rsidRPr="00453C5E" w:rsidRDefault="00453C5E" w:rsidP="00453C5E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53C5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Ценовая зона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53C5E" w:rsidRPr="00453C5E" w:rsidTr="00501CC3">
        <w:trPr>
          <w:trHeight w:val="396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5E" w:rsidRPr="00453C5E" w:rsidRDefault="00453C5E" w:rsidP="00453C5E">
            <w:pPr>
              <w:suppressAutoHyphens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</w:tbl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bCs/>
          <w:sz w:val="22"/>
          <w:szCs w:val="22"/>
          <w:lang w:eastAsia="ar-SA"/>
        </w:rPr>
        <w:t>_______________________________________________________</w:t>
      </w:r>
      <w:r w:rsidRPr="00453C5E">
        <w:rPr>
          <w:rFonts w:ascii="Garamond" w:eastAsia="Batang" w:hAnsi="Garamond" w:cs="Garamond"/>
          <w:bCs/>
          <w:sz w:val="22"/>
          <w:szCs w:val="22"/>
          <w:lang w:eastAsia="ar-SA"/>
        </w:rPr>
        <w:tab/>
        <w:t>________________________</w:t>
      </w:r>
    </w:p>
    <w:p w:rsidR="00453C5E" w:rsidRPr="00453C5E" w:rsidRDefault="00453C5E" w:rsidP="00453C5E">
      <w:pPr>
        <w:suppressAutoHyphens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453C5E">
        <w:rPr>
          <w:rFonts w:ascii="Garamond" w:eastAsia="Batang" w:hAnsi="Garamond" w:cs="Garamond"/>
          <w:i/>
          <w:sz w:val="18"/>
          <w:szCs w:val="18"/>
          <w:lang w:eastAsia="ar-SA"/>
        </w:rPr>
        <w:t>(полное наименование организации, которой заявитель планирует передать права и обязанности продавца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с указанием организационно-правовой формы)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453C5E">
        <w:rPr>
          <w:rFonts w:ascii="Garamond" w:eastAsia="Batang" w:hAnsi="Garamond" w:cs="Garamond"/>
          <w:sz w:val="22"/>
          <w:szCs w:val="22"/>
          <w:lang w:eastAsia="ar-SA"/>
        </w:rPr>
        <w:t>Планируемая дата передачи прав и обязанностей продавца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1 (первое) _________ ______.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18"/>
          <w:szCs w:val="18"/>
          <w:lang w:eastAsia="ar-SA"/>
        </w:rPr>
      </w:pPr>
      <w:r w:rsidRPr="00453C5E">
        <w:rPr>
          <w:rFonts w:ascii="Garamond" w:eastAsia="Batang" w:hAnsi="Garamond" w:cs="Garamond"/>
          <w:sz w:val="18"/>
          <w:szCs w:val="18"/>
          <w:lang w:eastAsia="ar-SA"/>
        </w:rPr>
        <w:t xml:space="preserve">                                                                                                                (</w:t>
      </w:r>
      <w:r w:rsidRPr="00453C5E">
        <w:rPr>
          <w:rFonts w:ascii="Garamond" w:eastAsia="Batang" w:hAnsi="Garamond" w:cs="Garamond"/>
          <w:i/>
          <w:sz w:val="18"/>
          <w:szCs w:val="18"/>
          <w:lang w:eastAsia="ar-SA"/>
        </w:rPr>
        <w:t>месяц, год</w:t>
      </w:r>
      <w:r w:rsidRPr="00453C5E">
        <w:rPr>
          <w:rFonts w:ascii="Garamond" w:eastAsia="Batang" w:hAnsi="Garamond" w:cs="Garamond"/>
          <w:sz w:val="18"/>
          <w:szCs w:val="18"/>
          <w:lang w:eastAsia="ar-SA"/>
        </w:rPr>
        <w:t>)</w:t>
      </w:r>
    </w:p>
    <w:p w:rsidR="00453C5E" w:rsidRPr="00453C5E" w:rsidRDefault="00453C5E" w:rsidP="00453C5E">
      <w:pPr>
        <w:suppressAutoHyphens/>
        <w:jc w:val="both"/>
        <w:rPr>
          <w:rFonts w:ascii="Garamond" w:eastAsia="Batang" w:hAnsi="Garamond" w:cs="Garamond"/>
          <w:sz w:val="18"/>
          <w:szCs w:val="18"/>
          <w:lang w:eastAsia="ar-SA"/>
        </w:rPr>
      </w:pPr>
    </w:p>
    <w:p w:rsidR="00453C5E" w:rsidRPr="00453C5E" w:rsidRDefault="00453C5E" w:rsidP="00453C5E">
      <w:pPr>
        <w:jc w:val="both"/>
        <w:rPr>
          <w:rFonts w:ascii="Garamond" w:hAnsi="Garamond"/>
          <w:bCs/>
        </w:rPr>
      </w:pPr>
      <w:r w:rsidRPr="00453C5E">
        <w:rPr>
          <w:rFonts w:ascii="Garamond" w:hAnsi="Garamond"/>
          <w:bCs/>
          <w:sz w:val="22"/>
          <w:szCs w:val="22"/>
        </w:rPr>
        <w:t>_____________________________</w:t>
      </w:r>
      <w:r w:rsidRPr="00453C5E">
        <w:rPr>
          <w:rFonts w:ascii="Garamond" w:hAnsi="Garamond"/>
          <w:bCs/>
          <w:sz w:val="22"/>
          <w:szCs w:val="22"/>
        </w:rPr>
        <w:tab/>
        <w:t xml:space="preserve">_______________ </w:t>
      </w:r>
      <w:r w:rsidRPr="00453C5E">
        <w:rPr>
          <w:rFonts w:ascii="Garamond" w:hAnsi="Garamond"/>
          <w:bCs/>
          <w:sz w:val="22"/>
          <w:szCs w:val="22"/>
        </w:rPr>
        <w:tab/>
        <w:t xml:space="preserve"> ___________________          </w:t>
      </w:r>
    </w:p>
    <w:p w:rsidR="00453C5E" w:rsidRPr="00453C5E" w:rsidRDefault="00453C5E" w:rsidP="00453C5E">
      <w:pPr>
        <w:contextualSpacing/>
        <w:jc w:val="both"/>
        <w:rPr>
          <w:rFonts w:ascii="Garamond" w:eastAsia="Batang" w:hAnsi="Garamond"/>
          <w:sz w:val="22"/>
          <w:szCs w:val="22"/>
        </w:rPr>
      </w:pPr>
      <w:r w:rsidRPr="00453C5E">
        <w:rPr>
          <w:rFonts w:ascii="Garamond" w:eastAsia="Batang" w:hAnsi="Garamond"/>
          <w:i/>
          <w:sz w:val="18"/>
          <w:szCs w:val="18"/>
        </w:rPr>
        <w:t xml:space="preserve">                  (должность, печать</w:t>
      </w:r>
      <w:r w:rsidRPr="00453C5E">
        <w:rPr>
          <w:rFonts w:ascii="Garamond" w:eastAsia="Batang" w:hAnsi="Garamond"/>
          <w:i/>
          <w:sz w:val="18"/>
          <w:szCs w:val="18"/>
          <w:highlight w:val="yellow"/>
        </w:rPr>
        <w:t>*</w:t>
      </w:r>
      <w:r w:rsidRPr="00453C5E">
        <w:rPr>
          <w:rFonts w:ascii="Garamond" w:eastAsia="Batang" w:hAnsi="Garamond"/>
          <w:i/>
          <w:sz w:val="18"/>
          <w:szCs w:val="18"/>
        </w:rPr>
        <w:t xml:space="preserve">) </w:t>
      </w:r>
      <w:r w:rsidRPr="00453C5E">
        <w:rPr>
          <w:rFonts w:ascii="Garamond" w:eastAsia="Batang" w:hAnsi="Garamond"/>
          <w:i/>
          <w:sz w:val="18"/>
          <w:szCs w:val="18"/>
        </w:rPr>
        <w:tab/>
        <w:t xml:space="preserve">                    </w:t>
      </w:r>
      <w:r w:rsidRPr="00453C5E">
        <w:rPr>
          <w:rFonts w:ascii="Garamond" w:eastAsia="Batang" w:hAnsi="Garamond"/>
          <w:i/>
          <w:sz w:val="18"/>
          <w:szCs w:val="18"/>
        </w:rPr>
        <w:tab/>
        <w:t xml:space="preserve">     </w:t>
      </w:r>
      <w:proofErr w:type="gramStart"/>
      <w:r w:rsidRPr="00453C5E">
        <w:rPr>
          <w:rFonts w:ascii="Garamond" w:eastAsia="Batang" w:hAnsi="Garamond"/>
          <w:i/>
          <w:sz w:val="18"/>
          <w:szCs w:val="18"/>
        </w:rPr>
        <w:t xml:space="preserve">   (</w:t>
      </w:r>
      <w:proofErr w:type="gramEnd"/>
      <w:r w:rsidRPr="00453C5E">
        <w:rPr>
          <w:rFonts w:ascii="Garamond" w:eastAsia="Batang" w:hAnsi="Garamond"/>
          <w:i/>
          <w:sz w:val="18"/>
          <w:szCs w:val="18"/>
        </w:rPr>
        <w:t>подпись)</w:t>
      </w:r>
      <w:r w:rsidRPr="00453C5E">
        <w:rPr>
          <w:rFonts w:ascii="Garamond" w:eastAsia="Batang" w:hAnsi="Garamond"/>
          <w:i/>
          <w:sz w:val="18"/>
          <w:szCs w:val="18"/>
        </w:rPr>
        <w:tab/>
      </w:r>
      <w:r w:rsidRPr="00453C5E">
        <w:rPr>
          <w:rFonts w:ascii="Garamond" w:eastAsia="Batang" w:hAnsi="Garamond"/>
          <w:i/>
          <w:sz w:val="18"/>
          <w:szCs w:val="18"/>
        </w:rPr>
        <w:tab/>
        <w:t xml:space="preserve"> (расшифровка подписи)</w:t>
      </w:r>
    </w:p>
    <w:p w:rsidR="00453C5E" w:rsidRPr="00453C5E" w:rsidRDefault="00453C5E" w:rsidP="00453C5E">
      <w:pPr>
        <w:contextualSpacing/>
        <w:jc w:val="both"/>
        <w:rPr>
          <w:rFonts w:ascii="Garamond" w:eastAsia="Batang" w:hAnsi="Garamond"/>
          <w:sz w:val="22"/>
          <w:szCs w:val="22"/>
        </w:rPr>
      </w:pPr>
    </w:p>
    <w:p w:rsidR="00453C5E" w:rsidRPr="00453C5E" w:rsidRDefault="00453C5E" w:rsidP="00453C5E">
      <w:pPr>
        <w:contextualSpacing/>
        <w:jc w:val="both"/>
        <w:rPr>
          <w:rFonts w:ascii="Garamond" w:eastAsia="Batang" w:hAnsi="Garamond"/>
          <w:sz w:val="22"/>
          <w:szCs w:val="22"/>
        </w:rPr>
      </w:pPr>
      <w:r w:rsidRPr="00453C5E">
        <w:rPr>
          <w:rFonts w:ascii="Garamond" w:eastAsia="Batang" w:hAnsi="Garamond"/>
          <w:sz w:val="22"/>
          <w:szCs w:val="22"/>
          <w:highlight w:val="yellow"/>
        </w:rPr>
        <w:t xml:space="preserve">* </w:t>
      </w:r>
      <w:r w:rsidRPr="00453C5E">
        <w:rPr>
          <w:rFonts w:ascii="Garamond" w:eastAsia="Batang" w:hAnsi="Garamond"/>
          <w:sz w:val="20"/>
          <w:szCs w:val="20"/>
          <w:highlight w:val="yellow"/>
        </w:rPr>
        <w:t>печать по усмотрению заявителя</w:t>
      </w:r>
    </w:p>
    <w:p w:rsidR="00453C5E" w:rsidRDefault="00453C5E" w:rsidP="00B517FA">
      <w:pPr>
        <w:jc w:val="both"/>
        <w:rPr>
          <w:rFonts w:ascii="Garamond" w:eastAsia="Batang" w:hAnsi="Garamond"/>
          <w:b/>
          <w:sz w:val="26"/>
          <w:szCs w:val="26"/>
        </w:rPr>
      </w:pPr>
    </w:p>
    <w:p w:rsidR="00453C5E" w:rsidRDefault="00453C5E" w:rsidP="00B517FA">
      <w:pPr>
        <w:jc w:val="both"/>
        <w:rPr>
          <w:rFonts w:ascii="Garamond" w:eastAsia="Batang" w:hAnsi="Garamond"/>
          <w:b/>
          <w:sz w:val="26"/>
          <w:szCs w:val="26"/>
        </w:rPr>
        <w:sectPr w:rsidR="00453C5E" w:rsidSect="00453C5E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FC659F" w:rsidRDefault="00FC659F" w:rsidP="005A5D52">
      <w:pPr>
        <w:rPr>
          <w:rFonts w:ascii="Garamond" w:eastAsia="Batang" w:hAnsi="Garamond"/>
          <w:b/>
          <w:sz w:val="26"/>
          <w:szCs w:val="26"/>
        </w:rPr>
      </w:pPr>
    </w:p>
    <w:p w:rsidR="00B517FA" w:rsidRPr="00B14D31" w:rsidRDefault="00B517FA" w:rsidP="005A5D52">
      <w:pPr>
        <w:rPr>
          <w:rFonts w:ascii="Garamond" w:eastAsia="Batang" w:hAnsi="Garamond"/>
          <w:b/>
          <w:sz w:val="26"/>
          <w:szCs w:val="26"/>
        </w:rPr>
      </w:pPr>
      <w:r w:rsidRPr="00B14D31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B14D31">
        <w:rPr>
          <w:rFonts w:ascii="Garamond" w:hAnsi="Garamond"/>
          <w:b/>
          <w:bCs/>
          <w:sz w:val="26"/>
          <w:szCs w:val="26"/>
        </w:rPr>
        <w:t xml:space="preserve">СОГЛАШЕНИЕ О ПРИМЕНЕНИИ ЭЛЕКТРОННОЙ ПОДПИСИ В ТОРГОВОЙ СИСТЕМЕ ОПТОВОГО РЫНКА </w:t>
      </w:r>
      <w:r w:rsidRPr="00B14D31">
        <w:rPr>
          <w:rFonts w:ascii="Garamond" w:eastAsia="Batang" w:hAnsi="Garamond"/>
          <w:b/>
          <w:sz w:val="26"/>
          <w:szCs w:val="26"/>
        </w:rPr>
        <w:t>(Приложение № Д 7 к Договору о присоединении к торговой системе оптового рынка)</w:t>
      </w:r>
    </w:p>
    <w:p w:rsidR="00B517FA" w:rsidRPr="00B14D31" w:rsidRDefault="00B517FA" w:rsidP="00B517FA">
      <w:pPr>
        <w:jc w:val="both"/>
        <w:rPr>
          <w:rFonts w:ascii="Garamond" w:eastAsia="Batang" w:hAnsi="Garamond"/>
          <w:b/>
          <w:sz w:val="26"/>
          <w:szCs w:val="26"/>
        </w:rPr>
      </w:pPr>
    </w:p>
    <w:p w:rsidR="00B517FA" w:rsidRPr="005A5D52" w:rsidRDefault="00B517FA" w:rsidP="00B517FA">
      <w:pPr>
        <w:jc w:val="both"/>
        <w:rPr>
          <w:rFonts w:ascii="Garamond" w:hAnsi="Garamond"/>
          <w:b/>
          <w:iCs/>
        </w:rPr>
      </w:pPr>
      <w:r w:rsidRPr="005A5D52">
        <w:rPr>
          <w:rFonts w:ascii="Garamond" w:hAnsi="Garamond"/>
          <w:b/>
        </w:rPr>
        <w:t>Действующая редакция</w:t>
      </w:r>
      <w:r w:rsidRPr="005A5D52">
        <w:rPr>
          <w:rFonts w:ascii="Garamond" w:hAnsi="Garamond"/>
          <w:b/>
          <w:iCs/>
        </w:rPr>
        <w:t xml:space="preserve"> </w:t>
      </w:r>
    </w:p>
    <w:p w:rsidR="00B517FA" w:rsidRPr="00102AF1" w:rsidRDefault="00B517FA" w:rsidP="00B517FA">
      <w:pPr>
        <w:rPr>
          <w:b/>
          <w:iCs/>
        </w:rPr>
      </w:pPr>
    </w:p>
    <w:tbl>
      <w:tblPr>
        <w:tblW w:w="15306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1260"/>
        <w:gridCol w:w="3960"/>
        <w:gridCol w:w="1260"/>
        <w:gridCol w:w="540"/>
        <w:gridCol w:w="720"/>
        <w:gridCol w:w="720"/>
        <w:gridCol w:w="1125"/>
        <w:gridCol w:w="977"/>
        <w:gridCol w:w="850"/>
        <w:gridCol w:w="1368"/>
        <w:gridCol w:w="1179"/>
        <w:gridCol w:w="1347"/>
      </w:tblGrid>
      <w:tr w:rsidR="00B517FA" w:rsidRPr="00837019" w:rsidTr="000E0AC3">
        <w:trPr>
          <w:trHeight w:val="60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Формат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Срок хранения ЭД в архиве</w:t>
            </w:r>
          </w:p>
        </w:tc>
      </w:tr>
      <w:tr w:rsidR="00B517FA" w:rsidRPr="00837019" w:rsidTr="000E0AC3">
        <w:trPr>
          <w:trHeight w:val="101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FA" w:rsidRPr="00FA4A2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0C0ACB">
              <w:rPr>
                <w:rFonts w:ascii="Arial" w:hAnsi="Arial" w:cs="Arial"/>
                <w:color w:val="000000"/>
                <w:sz w:val="20"/>
                <w:szCs w:val="20"/>
              </w:rPr>
              <w:t>ATS_PART_KPRP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0C0ACB">
              <w:rPr>
                <w:rFonts w:ascii="Arial" w:hAnsi="Arial" w:cs="Arial"/>
                <w:sz w:val="18"/>
                <w:szCs w:val="18"/>
              </w:rPr>
              <w:t>Договор коммерческого представительства для целей заключения договоров купли-продажи электрической энергии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0C0ACB">
              <w:rPr>
                <w:rFonts w:ascii="Arial" w:hAnsi="Arial" w:cs="Arial"/>
                <w:sz w:val="18"/>
                <w:szCs w:val="18"/>
              </w:rPr>
              <w:t xml:space="preserve">Договор о присоединении, </w:t>
            </w:r>
            <w:proofErr w:type="spellStart"/>
            <w:r w:rsidRPr="000C0ACB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0C0ACB">
              <w:rPr>
                <w:rFonts w:ascii="Arial" w:hAnsi="Arial" w:cs="Arial"/>
                <w:sz w:val="18"/>
                <w:szCs w:val="18"/>
              </w:rPr>
              <w:t>. 14.1 и 15.1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A473A9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3A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C872F1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2F1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</w:tr>
      <w:tr w:rsidR="00B517FA" w:rsidRPr="00837019" w:rsidTr="000E0AC3">
        <w:trPr>
          <w:trHeight w:val="101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FA" w:rsidRPr="00FA4A29" w:rsidRDefault="00B517FA" w:rsidP="000E0A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C0ACB">
              <w:rPr>
                <w:rFonts w:ascii="Arial" w:hAnsi="Arial" w:cs="Arial"/>
                <w:color w:val="000000"/>
                <w:sz w:val="20"/>
                <w:szCs w:val="20"/>
              </w:rPr>
              <w:t>PART_ATS_KPRP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0C0ACB">
              <w:rPr>
                <w:rFonts w:ascii="Arial" w:hAnsi="Arial" w:cs="Arial"/>
                <w:sz w:val="18"/>
                <w:szCs w:val="18"/>
              </w:rPr>
              <w:t>Договор коммерческого представительства для целей заключения договоров купли-продажи электрической энергии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0C0ACB">
              <w:rPr>
                <w:rFonts w:ascii="Arial" w:hAnsi="Arial" w:cs="Arial"/>
                <w:sz w:val="18"/>
                <w:szCs w:val="18"/>
              </w:rPr>
              <w:t xml:space="preserve">Договор о присоединении, </w:t>
            </w:r>
            <w:proofErr w:type="spellStart"/>
            <w:r w:rsidRPr="000C0ACB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0C0ACB">
              <w:rPr>
                <w:rFonts w:ascii="Arial" w:hAnsi="Arial" w:cs="Arial"/>
                <w:sz w:val="18"/>
                <w:szCs w:val="18"/>
              </w:rPr>
              <w:t>. 14.1 и 15.1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A473A9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3A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C872F1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2F1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</w:tr>
    </w:tbl>
    <w:p w:rsidR="00B517FA" w:rsidRDefault="00B517FA" w:rsidP="00B517FA">
      <w:pPr>
        <w:ind w:left="708" w:firstLine="708"/>
      </w:pPr>
    </w:p>
    <w:p w:rsidR="00B517FA" w:rsidRDefault="00B517FA" w:rsidP="00B517FA">
      <w:pPr>
        <w:rPr>
          <w:rFonts w:ascii="Garamond" w:hAnsi="Garamond"/>
          <w:b/>
        </w:rPr>
      </w:pPr>
      <w:r w:rsidRPr="00AE41D7">
        <w:rPr>
          <w:rFonts w:ascii="Garamond" w:hAnsi="Garamond"/>
          <w:b/>
        </w:rPr>
        <w:t>Предлагаемая редакция</w:t>
      </w:r>
    </w:p>
    <w:p w:rsidR="00B517FA" w:rsidRPr="00D70085" w:rsidRDefault="00B517FA" w:rsidP="00B517FA">
      <w:pPr>
        <w:rPr>
          <w:b/>
          <w:iCs/>
        </w:rPr>
      </w:pPr>
    </w:p>
    <w:tbl>
      <w:tblPr>
        <w:tblW w:w="1523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1260"/>
        <w:gridCol w:w="3343"/>
        <w:gridCol w:w="1260"/>
        <w:gridCol w:w="540"/>
        <w:gridCol w:w="720"/>
        <w:gridCol w:w="720"/>
        <w:gridCol w:w="1125"/>
        <w:gridCol w:w="977"/>
        <w:gridCol w:w="850"/>
        <w:gridCol w:w="1368"/>
        <w:gridCol w:w="1179"/>
        <w:gridCol w:w="1893"/>
      </w:tblGrid>
      <w:tr w:rsidR="00B517FA" w:rsidRPr="00837019" w:rsidTr="005A5D52">
        <w:trPr>
          <w:trHeight w:val="60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33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Формат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517FA" w:rsidRPr="0083701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019">
              <w:rPr>
                <w:rFonts w:ascii="Arial" w:hAnsi="Arial" w:cs="Arial"/>
                <w:sz w:val="18"/>
                <w:szCs w:val="18"/>
              </w:rPr>
              <w:t>Срок хранения ЭД в архиве</w:t>
            </w:r>
          </w:p>
        </w:tc>
      </w:tr>
      <w:tr w:rsidR="00B517FA" w:rsidRPr="00837019" w:rsidTr="005A5D52">
        <w:trPr>
          <w:trHeight w:val="101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FA" w:rsidRPr="00FA4A2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0C0ACB">
              <w:rPr>
                <w:rFonts w:ascii="Arial" w:hAnsi="Arial" w:cs="Arial"/>
                <w:color w:val="000000"/>
                <w:sz w:val="20"/>
                <w:szCs w:val="20"/>
              </w:rPr>
              <w:t>ATS_PART_KPRP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0C0ACB">
              <w:rPr>
                <w:rFonts w:ascii="Arial" w:hAnsi="Arial" w:cs="Arial"/>
                <w:sz w:val="18"/>
                <w:szCs w:val="18"/>
              </w:rPr>
              <w:t>Договор коммерческого представительства для целей заключения договоров купли-продажи электрической энергии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0C0ACB">
              <w:rPr>
                <w:rFonts w:ascii="Arial" w:hAnsi="Arial" w:cs="Arial"/>
                <w:sz w:val="18"/>
                <w:szCs w:val="18"/>
              </w:rPr>
              <w:t xml:space="preserve">Договор о присоединении, </w:t>
            </w:r>
            <w:proofErr w:type="spellStart"/>
            <w:r w:rsidRPr="000C0ACB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0C0ACB">
              <w:rPr>
                <w:rFonts w:ascii="Arial" w:hAnsi="Arial" w:cs="Arial"/>
                <w:sz w:val="18"/>
                <w:szCs w:val="18"/>
              </w:rPr>
              <w:t>. 14.1 и 15.1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A473A9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3A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0C0ACB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13464">
              <w:rPr>
                <w:rFonts w:ascii="Arial" w:hAnsi="Arial" w:cs="Arial"/>
                <w:sz w:val="18"/>
                <w:szCs w:val="18"/>
              </w:rPr>
              <w:t xml:space="preserve">5 лет </w:t>
            </w:r>
            <w:r w:rsidRPr="000C0ACB">
              <w:rPr>
                <w:rFonts w:ascii="Arial" w:hAnsi="Arial" w:cs="Arial"/>
                <w:sz w:val="18"/>
                <w:szCs w:val="18"/>
                <w:highlight w:val="yellow"/>
              </w:rPr>
              <w:t>с даты прекращения договор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а</w:t>
            </w:r>
            <w:r w:rsidRPr="000C0AC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коммерческо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го</w:t>
            </w:r>
            <w:r w:rsidRPr="000C0AC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представительства</w:t>
            </w:r>
          </w:p>
        </w:tc>
      </w:tr>
      <w:tr w:rsidR="00B517FA" w:rsidRPr="00837019" w:rsidTr="005A5D52">
        <w:trPr>
          <w:trHeight w:val="101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FA" w:rsidRPr="00FA4A29" w:rsidRDefault="00B517FA" w:rsidP="000E0A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C0ACB">
              <w:rPr>
                <w:rFonts w:ascii="Arial" w:hAnsi="Arial" w:cs="Arial"/>
                <w:color w:val="000000"/>
                <w:sz w:val="20"/>
                <w:szCs w:val="20"/>
              </w:rPr>
              <w:t>PART_ATS_KPRP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0C0ACB">
              <w:rPr>
                <w:rFonts w:ascii="Arial" w:hAnsi="Arial" w:cs="Arial"/>
                <w:sz w:val="18"/>
                <w:szCs w:val="18"/>
              </w:rPr>
              <w:t>Договор коммерческого представительства для целей заключения договоров купли-продажи электрической энергии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0C0ACB">
              <w:rPr>
                <w:rFonts w:ascii="Arial" w:hAnsi="Arial" w:cs="Arial"/>
                <w:sz w:val="18"/>
                <w:szCs w:val="18"/>
              </w:rPr>
              <w:t xml:space="preserve">Договор о присоединении, </w:t>
            </w:r>
            <w:proofErr w:type="spellStart"/>
            <w:r w:rsidRPr="000C0ACB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0C0ACB">
              <w:rPr>
                <w:rFonts w:ascii="Arial" w:hAnsi="Arial" w:cs="Arial"/>
                <w:sz w:val="18"/>
                <w:szCs w:val="18"/>
              </w:rPr>
              <w:t>. 14.1 и 15.1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sz w:val="18"/>
                <w:szCs w:val="18"/>
              </w:rPr>
            </w:pPr>
            <w:r w:rsidRPr="00A473A9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3A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7FA" w:rsidRPr="00A473A9" w:rsidRDefault="00B517FA" w:rsidP="000E0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A473A9" w:rsidRDefault="00B517FA" w:rsidP="000E0A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73A9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FA" w:rsidRPr="000C0ACB" w:rsidRDefault="00B517FA" w:rsidP="000E0AC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2C63">
              <w:rPr>
                <w:rFonts w:ascii="Arial" w:hAnsi="Arial" w:cs="Arial"/>
                <w:sz w:val="18"/>
                <w:szCs w:val="18"/>
              </w:rPr>
              <w:t xml:space="preserve">5 лет </w:t>
            </w:r>
            <w:r w:rsidRPr="000C0ACB">
              <w:rPr>
                <w:rFonts w:ascii="Arial" w:hAnsi="Arial" w:cs="Arial"/>
                <w:sz w:val="18"/>
                <w:szCs w:val="18"/>
                <w:highlight w:val="yellow"/>
              </w:rPr>
              <w:t>с даты прекращения договор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а</w:t>
            </w:r>
            <w:r w:rsidRPr="000C0AC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коммерческо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го</w:t>
            </w:r>
            <w:r w:rsidRPr="000C0AC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представительства</w:t>
            </w:r>
          </w:p>
        </w:tc>
      </w:tr>
    </w:tbl>
    <w:p w:rsidR="00B517FA" w:rsidRDefault="00B517FA" w:rsidP="00B517FA"/>
    <w:p w:rsidR="000E0AC3" w:rsidRDefault="000E0AC3"/>
    <w:sectPr w:rsidR="000E0AC3" w:rsidSect="00453C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E6C"/>
    <w:multiLevelType w:val="hybridMultilevel"/>
    <w:tmpl w:val="34D63D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59E8703C">
      <w:start w:val="1"/>
      <w:numFmt w:val="none"/>
      <w:lvlText w:val="4.6"/>
      <w:lvlJc w:val="left"/>
      <w:pPr>
        <w:tabs>
          <w:tab w:val="num" w:pos="2220"/>
        </w:tabs>
        <w:ind w:left="2220" w:hanging="360"/>
      </w:pPr>
      <w:rPr>
        <w:rFonts w:cs="Times New Roman" w:hint="default"/>
        <w:b/>
        <w:i w:val="0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4BF0F98"/>
    <w:multiLevelType w:val="hybridMultilevel"/>
    <w:tmpl w:val="AEC09B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45926208">
      <w:start w:val="1"/>
      <w:numFmt w:val="none"/>
      <w:lvlText w:val="4.7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  <w:i w:val="0"/>
        <w:sz w:val="22"/>
        <w:szCs w:val="22"/>
      </w:rPr>
    </w:lvl>
    <w:lvl w:ilvl="2" w:tplc="2CE6CA46">
      <w:start w:val="1"/>
      <w:numFmt w:val="none"/>
      <w:lvlText w:val="4.8"/>
      <w:lvlJc w:val="left"/>
      <w:pPr>
        <w:tabs>
          <w:tab w:val="num" w:pos="2509"/>
        </w:tabs>
        <w:ind w:left="2509" w:hanging="360"/>
      </w:pPr>
      <w:rPr>
        <w:rFonts w:cs="Times New Roman" w:hint="default"/>
        <w:b/>
        <w:i w:val="0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D547E8"/>
    <w:multiLevelType w:val="hybridMultilevel"/>
    <w:tmpl w:val="924A9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115C"/>
    <w:multiLevelType w:val="hybridMultilevel"/>
    <w:tmpl w:val="FB627B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72CE3F0">
      <w:start w:val="1"/>
      <w:numFmt w:val="none"/>
      <w:lvlText w:val="4.2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2CD"/>
    <w:multiLevelType w:val="hybridMultilevel"/>
    <w:tmpl w:val="E5A69968"/>
    <w:lvl w:ilvl="0" w:tplc="0198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DF37031"/>
    <w:multiLevelType w:val="multilevel"/>
    <w:tmpl w:val="D3A6282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 w15:restartNumberingAfterBreak="0">
    <w:nsid w:val="74820105"/>
    <w:multiLevelType w:val="hybridMultilevel"/>
    <w:tmpl w:val="A288CD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FA"/>
    <w:rsid w:val="00073C97"/>
    <w:rsid w:val="000E0AC3"/>
    <w:rsid w:val="001242D5"/>
    <w:rsid w:val="00164E9B"/>
    <w:rsid w:val="002D55C9"/>
    <w:rsid w:val="002F5F2F"/>
    <w:rsid w:val="00343A24"/>
    <w:rsid w:val="003D0B71"/>
    <w:rsid w:val="00453C5E"/>
    <w:rsid w:val="004B1634"/>
    <w:rsid w:val="00501CC3"/>
    <w:rsid w:val="005A5D52"/>
    <w:rsid w:val="007A4274"/>
    <w:rsid w:val="00A0490F"/>
    <w:rsid w:val="00B32BC9"/>
    <w:rsid w:val="00B517FA"/>
    <w:rsid w:val="00BD278B"/>
    <w:rsid w:val="00EE321E"/>
    <w:rsid w:val="00F30A97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5:chartTrackingRefBased/>
  <w15:docId w15:val="{9BD9CE1F-504F-4D90-AF1B-244E436F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пункта (1.1),h2,h21,5,Reset numbering,222"/>
    <w:basedOn w:val="a"/>
    <w:link w:val="20"/>
    <w:qFormat/>
    <w:rsid w:val="00B517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7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пункта (1.1) Знак,h2 Знак,h21 Знак,5 Знак,Reset numbering Знак,222 Знак"/>
    <w:basedOn w:val="a0"/>
    <w:link w:val="2"/>
    <w:rsid w:val="00B51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17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17F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517FA"/>
    <w:pPr>
      <w:ind w:left="720"/>
      <w:contextualSpacing/>
    </w:pPr>
  </w:style>
  <w:style w:type="character" w:styleId="a4">
    <w:name w:val="annotation reference"/>
    <w:uiPriority w:val="99"/>
    <w:semiHidden/>
    <w:rsid w:val="00B517FA"/>
    <w:rPr>
      <w:rFonts w:cs="Times New Roman"/>
      <w:sz w:val="16"/>
      <w:szCs w:val="16"/>
    </w:rPr>
  </w:style>
  <w:style w:type="paragraph" w:styleId="a5">
    <w:name w:val="annotation text"/>
    <w:basedOn w:val="a"/>
    <w:link w:val="a6"/>
    <w:semiHidden/>
    <w:rsid w:val="00B517F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B51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517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517F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51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17F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B517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049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049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79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8.bin"/><Relationship Id="rId63" Type="http://schemas.openxmlformats.org/officeDocument/2006/relationships/image" Target="media/image18.wmf"/><Relationship Id="rId68" Type="http://schemas.openxmlformats.org/officeDocument/2006/relationships/image" Target="media/image20.wmf"/><Relationship Id="rId84" Type="http://schemas.openxmlformats.org/officeDocument/2006/relationships/oleObject" Target="embeddings/oleObject57.bin"/><Relationship Id="rId89" Type="http://schemas.openxmlformats.org/officeDocument/2006/relationships/oleObject" Target="embeddings/oleObject61.bin"/><Relationship Id="rId112" Type="http://schemas.openxmlformats.org/officeDocument/2006/relationships/oleObject" Target="embeddings/oleObject74.bin"/><Relationship Id="rId16" Type="http://schemas.openxmlformats.org/officeDocument/2006/relationships/image" Target="media/image6.wmf"/><Relationship Id="rId107" Type="http://schemas.openxmlformats.org/officeDocument/2006/relationships/oleObject" Target="embeddings/oleObject70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53" Type="http://schemas.openxmlformats.org/officeDocument/2006/relationships/oleObject" Target="embeddings/oleObject34.bin"/><Relationship Id="rId58" Type="http://schemas.openxmlformats.org/officeDocument/2006/relationships/oleObject" Target="embeddings/oleObject38.bin"/><Relationship Id="rId74" Type="http://schemas.openxmlformats.org/officeDocument/2006/relationships/oleObject" Target="embeddings/oleObject50.bin"/><Relationship Id="rId79" Type="http://schemas.openxmlformats.org/officeDocument/2006/relationships/image" Target="media/image21.wmf"/><Relationship Id="rId102" Type="http://schemas.openxmlformats.org/officeDocument/2006/relationships/image" Target="media/image31.wmf"/><Relationship Id="rId5" Type="http://schemas.openxmlformats.org/officeDocument/2006/relationships/image" Target="media/image1.wmf"/><Relationship Id="rId61" Type="http://schemas.openxmlformats.org/officeDocument/2006/relationships/oleObject" Target="embeddings/oleObject40.bin"/><Relationship Id="rId82" Type="http://schemas.openxmlformats.org/officeDocument/2006/relationships/oleObject" Target="embeddings/oleObject56.bin"/><Relationship Id="rId90" Type="http://schemas.openxmlformats.org/officeDocument/2006/relationships/image" Target="media/image25.wmf"/><Relationship Id="rId95" Type="http://schemas.openxmlformats.org/officeDocument/2006/relationships/oleObject" Target="embeddings/oleObject64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7.bin"/><Relationship Id="rId64" Type="http://schemas.openxmlformats.org/officeDocument/2006/relationships/oleObject" Target="embeddings/oleObject42.bin"/><Relationship Id="rId69" Type="http://schemas.openxmlformats.org/officeDocument/2006/relationships/oleObject" Target="embeddings/oleObject45.bin"/><Relationship Id="rId77" Type="http://schemas.openxmlformats.org/officeDocument/2006/relationships/oleObject" Target="embeddings/oleObject53.bin"/><Relationship Id="rId100" Type="http://schemas.openxmlformats.org/officeDocument/2006/relationships/image" Target="media/image30.wmf"/><Relationship Id="rId105" Type="http://schemas.openxmlformats.org/officeDocument/2006/relationships/oleObject" Target="embeddings/oleObject69.bin"/><Relationship Id="rId113" Type="http://schemas.openxmlformats.org/officeDocument/2006/relationships/oleObject" Target="embeddings/oleObject75.bin"/><Relationship Id="rId118" Type="http://schemas.openxmlformats.org/officeDocument/2006/relationships/oleObject" Target="embeddings/oleObject80.bin"/><Relationship Id="rId8" Type="http://schemas.openxmlformats.org/officeDocument/2006/relationships/image" Target="media/image2.wmf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48.bin"/><Relationship Id="rId80" Type="http://schemas.openxmlformats.org/officeDocument/2006/relationships/oleObject" Target="embeddings/oleObject55.bin"/><Relationship Id="rId85" Type="http://schemas.openxmlformats.org/officeDocument/2006/relationships/oleObject" Target="embeddings/oleObject58.bin"/><Relationship Id="rId93" Type="http://schemas.openxmlformats.org/officeDocument/2006/relationships/oleObject" Target="embeddings/oleObject63.bin"/><Relationship Id="rId98" Type="http://schemas.openxmlformats.org/officeDocument/2006/relationships/image" Target="media/image29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9.bin"/><Relationship Id="rId67" Type="http://schemas.openxmlformats.org/officeDocument/2006/relationships/oleObject" Target="embeddings/oleObject44.bin"/><Relationship Id="rId103" Type="http://schemas.openxmlformats.org/officeDocument/2006/relationships/oleObject" Target="embeddings/oleObject68.bin"/><Relationship Id="rId108" Type="http://schemas.openxmlformats.org/officeDocument/2006/relationships/oleObject" Target="embeddings/oleObject71.bin"/><Relationship Id="rId116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5.bin"/><Relationship Id="rId62" Type="http://schemas.openxmlformats.org/officeDocument/2006/relationships/oleObject" Target="embeddings/oleObject41.bin"/><Relationship Id="rId70" Type="http://schemas.openxmlformats.org/officeDocument/2006/relationships/oleObject" Target="embeddings/oleObject46.bin"/><Relationship Id="rId75" Type="http://schemas.openxmlformats.org/officeDocument/2006/relationships/oleObject" Target="embeddings/oleObject51.bin"/><Relationship Id="rId83" Type="http://schemas.openxmlformats.org/officeDocument/2006/relationships/image" Target="media/image23.wmf"/><Relationship Id="rId88" Type="http://schemas.openxmlformats.org/officeDocument/2006/relationships/image" Target="media/image24.wmf"/><Relationship Id="rId91" Type="http://schemas.openxmlformats.org/officeDocument/2006/relationships/oleObject" Target="embeddings/oleObject62.bin"/><Relationship Id="rId96" Type="http://schemas.openxmlformats.org/officeDocument/2006/relationships/image" Target="media/image28.wmf"/><Relationship Id="rId111" Type="http://schemas.openxmlformats.org/officeDocument/2006/relationships/oleObject" Target="embeddings/oleObject7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30.bin"/><Relationship Id="rId57" Type="http://schemas.openxmlformats.org/officeDocument/2006/relationships/image" Target="media/image16.wmf"/><Relationship Id="rId106" Type="http://schemas.openxmlformats.org/officeDocument/2006/relationships/image" Target="media/image33.wmf"/><Relationship Id="rId114" Type="http://schemas.openxmlformats.org/officeDocument/2006/relationships/oleObject" Target="embeddings/oleObject76.bin"/><Relationship Id="rId119" Type="http://schemas.openxmlformats.org/officeDocument/2006/relationships/image" Target="media/image3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3.bin"/><Relationship Id="rId60" Type="http://schemas.openxmlformats.org/officeDocument/2006/relationships/image" Target="media/image17.wmf"/><Relationship Id="rId65" Type="http://schemas.openxmlformats.org/officeDocument/2006/relationships/image" Target="media/image19.wmf"/><Relationship Id="rId73" Type="http://schemas.openxmlformats.org/officeDocument/2006/relationships/oleObject" Target="embeddings/oleObject49.bin"/><Relationship Id="rId78" Type="http://schemas.openxmlformats.org/officeDocument/2006/relationships/oleObject" Target="embeddings/oleObject54.bin"/><Relationship Id="rId81" Type="http://schemas.openxmlformats.org/officeDocument/2006/relationships/image" Target="media/image22.wmf"/><Relationship Id="rId86" Type="http://schemas.openxmlformats.org/officeDocument/2006/relationships/oleObject" Target="embeddings/oleObject59.bin"/><Relationship Id="rId94" Type="http://schemas.openxmlformats.org/officeDocument/2006/relationships/image" Target="media/image27.wmf"/><Relationship Id="rId99" Type="http://schemas.openxmlformats.org/officeDocument/2006/relationships/oleObject" Target="embeddings/oleObject66.bin"/><Relationship Id="rId101" Type="http://schemas.openxmlformats.org/officeDocument/2006/relationships/oleObject" Target="embeddings/oleObject67.bin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72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31.bin"/><Relationship Id="rId55" Type="http://schemas.openxmlformats.org/officeDocument/2006/relationships/oleObject" Target="embeddings/oleObject36.bin"/><Relationship Id="rId76" Type="http://schemas.openxmlformats.org/officeDocument/2006/relationships/oleObject" Target="embeddings/oleObject52.bin"/><Relationship Id="rId97" Type="http://schemas.openxmlformats.org/officeDocument/2006/relationships/oleObject" Target="embeddings/oleObject65.bin"/><Relationship Id="rId104" Type="http://schemas.openxmlformats.org/officeDocument/2006/relationships/image" Target="media/image32.wmf"/><Relationship Id="rId120" Type="http://schemas.openxmlformats.org/officeDocument/2006/relationships/oleObject" Target="embeddings/oleObject8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7.bin"/><Relationship Id="rId92" Type="http://schemas.openxmlformats.org/officeDocument/2006/relationships/image" Target="media/image26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3.bin"/><Relationship Id="rId87" Type="http://schemas.openxmlformats.org/officeDocument/2006/relationships/oleObject" Target="embeddings/oleObject60.bin"/><Relationship Id="rId110" Type="http://schemas.openxmlformats.org/officeDocument/2006/relationships/image" Target="media/image34.wmf"/><Relationship Id="rId115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20</Pages>
  <Words>8397</Words>
  <Characters>47869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56154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Федяева Адиля Никитична</cp:lastModifiedBy>
  <cp:revision>14</cp:revision>
  <dcterms:created xsi:type="dcterms:W3CDTF">2021-02-08T05:57:00Z</dcterms:created>
  <dcterms:modified xsi:type="dcterms:W3CDTF">2021-02-25T10:40:00Z</dcterms:modified>
</cp:coreProperties>
</file>