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F8B88" w14:textId="79B8B40B" w:rsidR="00BE6C51" w:rsidRDefault="00CD123E" w:rsidP="00CD123E">
      <w:pPr>
        <w:numPr>
          <w:ilvl w:val="1"/>
          <w:numId w:val="0"/>
        </w:num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.1. Изменения, связанные с порядком уче</w:t>
      </w:r>
      <w:r>
        <w:rPr>
          <w:rFonts w:ascii="Garamond" w:hAnsi="Garamond"/>
          <w:b/>
          <w:sz w:val="28"/>
          <w:szCs w:val="28"/>
        </w:rPr>
        <w:t>та обязательств вне уполномоченной кредитной организации и формированием реестра конкурсной задолженности в рамках проведения конкурса на присвоение статуса гарантирующего поставщика</w:t>
      </w:r>
    </w:p>
    <w:p w14:paraId="6FE8C7BB" w14:textId="77777777" w:rsidR="00BE6C51" w:rsidRDefault="00BE6C51" w:rsidP="00CD123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14:paraId="50433D5B" w14:textId="77777777" w:rsidR="00BE6C51" w:rsidRDefault="00CD123E" w:rsidP="00CD123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>5.1</w:t>
      </w:r>
    </w:p>
    <w:p w14:paraId="3E959F9B" w14:textId="77777777" w:rsidR="00BE6C51" w:rsidRDefault="00BE6C51" w:rsidP="00CD123E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4"/>
      </w:tblGrid>
      <w:tr w:rsidR="00BE6C51" w:rsidRPr="00CD123E" w14:paraId="01399E7B" w14:textId="77777777" w:rsidTr="00CD123E">
        <w:tc>
          <w:tcPr>
            <w:tcW w:w="14884" w:type="dxa"/>
          </w:tcPr>
          <w:p w14:paraId="0D18C518" w14:textId="77777777" w:rsidR="00BE6C51" w:rsidRPr="00CD123E" w:rsidRDefault="00CD123E" w:rsidP="00CD123E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D123E"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Pr="00CD123E">
              <w:rPr>
                <w:rFonts w:ascii="Garamond" w:hAnsi="Garamond"/>
                <w:sz w:val="24"/>
                <w:szCs w:val="24"/>
              </w:rPr>
              <w:t>АО</w:t>
            </w:r>
            <w:r w:rsidRPr="00CD123E">
              <w:rPr>
                <w:rFonts w:ascii="Garamond" w:hAnsi="Garamond"/>
                <w:sz w:val="24"/>
                <w:szCs w:val="24"/>
              </w:rPr>
              <w:t xml:space="preserve"> «ЦФР».</w:t>
            </w:r>
          </w:p>
          <w:p w14:paraId="0A4DDDA6" w14:textId="67AFBBA4" w:rsidR="00BE6C51" w:rsidRPr="00CD123E" w:rsidRDefault="00CD123E" w:rsidP="00CD12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CD123E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CD123E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CD123E">
              <w:rPr>
                <w:rFonts w:ascii="Garamond" w:hAnsi="Garamond"/>
                <w:sz w:val="24"/>
                <w:szCs w:val="24"/>
              </w:rPr>
              <w:t>данные изменения направлены на описание действий, связанных с восстановлением и прекращением обязательств, исполнение которых осуществляется вне уполномоченной кредитной организации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Pr="00CD123E">
              <w:rPr>
                <w:rFonts w:ascii="Garamond" w:hAnsi="Garamond"/>
                <w:sz w:val="24"/>
                <w:szCs w:val="24"/>
              </w:rPr>
              <w:t xml:space="preserve"> в случае вступления в силу судебного акта, а также с </w:t>
            </w:r>
            <w:r w:rsidRPr="00CD123E">
              <w:rPr>
                <w:rFonts w:ascii="Garamond" w:hAnsi="Garamond"/>
                <w:sz w:val="24"/>
                <w:szCs w:val="24"/>
              </w:rPr>
              <w:t>формированием реестра конкурсной задолженности в рамках проведения конкурса на присвоение статуса гарантирующего поставщика</w:t>
            </w:r>
            <w:r w:rsidRPr="00CD123E">
              <w:rPr>
                <w:rFonts w:ascii="Garamond" w:hAnsi="Garamond"/>
                <w:bCs/>
                <w:sz w:val="24"/>
                <w:szCs w:val="24"/>
                <w:lang w:eastAsia="ru-RU"/>
              </w:rPr>
              <w:t>.</w:t>
            </w:r>
          </w:p>
          <w:p w14:paraId="683CD80F" w14:textId="2744DCE7" w:rsidR="00BE6C51" w:rsidRPr="00CD123E" w:rsidRDefault="00CD123E" w:rsidP="00CD12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CD123E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="00B3009F" w:rsidRPr="00CD123E">
              <w:rPr>
                <w:rFonts w:ascii="Garamond" w:hAnsi="Garamond"/>
                <w:sz w:val="24"/>
                <w:szCs w:val="24"/>
              </w:rPr>
              <w:t>21 июля 2023 года.</w:t>
            </w:r>
          </w:p>
        </w:tc>
      </w:tr>
    </w:tbl>
    <w:p w14:paraId="4B46D380" w14:textId="77777777" w:rsidR="00CD123E" w:rsidRDefault="00CD123E" w:rsidP="00CD123E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p w14:paraId="1A817ECC" w14:textId="546895C7" w:rsidR="00BE6C51" w:rsidRDefault="00CD123E" w:rsidP="00CD123E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 xml:space="preserve">Регламент финансовых расчетов на оптовом </w:t>
      </w:r>
      <w:r>
        <w:rPr>
          <w:rFonts w:ascii="Garamond" w:hAnsi="Garamond"/>
          <w:b/>
          <w:caps/>
          <w:sz w:val="26"/>
          <w:szCs w:val="26"/>
        </w:rPr>
        <w:t>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14:paraId="74EA0EBB" w14:textId="77777777" w:rsidR="00BE6C51" w:rsidRDefault="00BE6C51" w:rsidP="00CD123E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7229"/>
      </w:tblGrid>
      <w:tr w:rsidR="00BE6C51" w14:paraId="3D6D22A5" w14:textId="77777777" w:rsidTr="00CD123E">
        <w:tc>
          <w:tcPr>
            <w:tcW w:w="993" w:type="dxa"/>
            <w:vAlign w:val="center"/>
          </w:tcPr>
          <w:p w14:paraId="5244113C" w14:textId="77777777" w:rsidR="00BE6C51" w:rsidRDefault="00CD123E" w:rsidP="00CD123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14:paraId="1855FF3E" w14:textId="77777777" w:rsidR="00BE6C51" w:rsidRDefault="00CD123E" w:rsidP="00CD123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62DBC33" w14:textId="77777777" w:rsidR="00BE6C51" w:rsidRDefault="00CD123E" w:rsidP="00CD123E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1399BFBB" w14:textId="77777777" w:rsidR="00BE6C51" w:rsidRDefault="00CD123E" w:rsidP="00CD123E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C5D1C30" w14:textId="77777777" w:rsidR="00BE6C51" w:rsidRDefault="00CD123E" w:rsidP="00CD123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6B0F1A34" w14:textId="77777777" w:rsidR="00BE6C51" w:rsidRDefault="00CD123E" w:rsidP="00CD123E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BE6C51" w14:paraId="23C90EE2" w14:textId="77777777" w:rsidTr="00CD123E">
        <w:tc>
          <w:tcPr>
            <w:tcW w:w="993" w:type="dxa"/>
            <w:vAlign w:val="center"/>
          </w:tcPr>
          <w:p w14:paraId="1ED6E132" w14:textId="77777777" w:rsidR="00BE6C51" w:rsidRDefault="00CD123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19.3.3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489F90E" w14:textId="77777777" w:rsidR="00BE6C51" w:rsidRDefault="00CD123E" w:rsidP="00CD123E">
            <w:pPr>
              <w:spacing w:before="120" w:after="120"/>
              <w:ind w:firstLine="567"/>
              <w:jc w:val="both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ЦФР информирует </w:t>
            </w:r>
            <w:r>
              <w:rPr>
                <w:rFonts w:ascii="Garamond" w:eastAsia="Calibri" w:hAnsi="Garamond" w:cs="Times New Roman"/>
                <w:highlight w:val="yellow"/>
              </w:rPr>
              <w:t xml:space="preserve">продавца и </w:t>
            </w:r>
            <w:r>
              <w:rPr>
                <w:rFonts w:ascii="Garamond" w:eastAsia="Calibri" w:hAnsi="Garamond" w:cs="Times New Roman"/>
                <w:highlight w:val="yellow"/>
              </w:rPr>
              <w:t>покупателя</w:t>
            </w:r>
            <w:r>
              <w:rPr>
                <w:rFonts w:ascii="Garamond" w:eastAsia="Calibri" w:hAnsi="Garamond" w:cs="Times New Roman"/>
              </w:rPr>
              <w:t xml:space="preserve"> об учете </w:t>
            </w:r>
            <w:r>
              <w:rPr>
                <w:rFonts w:ascii="Garamond" w:eastAsia="Calibri" w:hAnsi="Garamond" w:cs="Times New Roman"/>
                <w:highlight w:val="yellow"/>
              </w:rPr>
              <w:t>исполнения</w:t>
            </w:r>
            <w:r>
              <w:rPr>
                <w:rFonts w:ascii="Garamond" w:eastAsia="Calibri" w:hAnsi="Garamond" w:cs="Times New Roman"/>
              </w:rPr>
              <w:t xml:space="preserve"> обязательств путем публикации в разделе с ограниченным в соответствии с Правилами </w:t>
            </w:r>
            <w:proofErr w:type="spellStart"/>
            <w:r>
              <w:rPr>
                <w:rFonts w:ascii="Garamond" w:eastAsia="Calibri" w:hAnsi="Garamond" w:cs="Times New Roman"/>
              </w:rPr>
              <w:t>ЭДО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>
              <w:rPr>
                <w:rFonts w:ascii="Garamond" w:eastAsia="Calibri" w:hAnsi="Garamond" w:cs="Times New Roman"/>
              </w:rPr>
              <w:t>СЭД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</w:t>
            </w:r>
            <w:proofErr w:type="gramStart"/>
            <w:r>
              <w:rPr>
                <w:rFonts w:ascii="Garamond" w:eastAsia="Calibri" w:hAnsi="Garamond" w:cs="Times New Roman"/>
              </w:rPr>
              <w:t>КО доступом</w:t>
            </w:r>
            <w:proofErr w:type="gramEnd"/>
            <w:r>
              <w:rPr>
                <w:rFonts w:ascii="Garamond" w:eastAsia="Calibri" w:hAnsi="Garamond" w:cs="Times New Roman"/>
              </w:rPr>
              <w:t xml:space="preserve"> на сайте КО Отчета о состоянии обязательств (приложение 16 к настоящему Регламенту). </w:t>
            </w:r>
          </w:p>
          <w:p w14:paraId="2C246946" w14:textId="77777777" w:rsidR="00BE6C51" w:rsidRDefault="00BE6C51" w:rsidP="00CD123E">
            <w:pPr>
              <w:widowControl w:val="0"/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AEA90FD" w14:textId="11734B7F" w:rsidR="00BE6C51" w:rsidRPr="00CD123E" w:rsidRDefault="00CD123E" w:rsidP="00CD123E">
            <w:pPr>
              <w:spacing w:before="120" w:after="120"/>
              <w:ind w:firstLine="567"/>
              <w:jc w:val="both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ЦФР информирует </w:t>
            </w:r>
            <w:r>
              <w:rPr>
                <w:rFonts w:ascii="Garamond" w:eastAsia="Calibri" w:hAnsi="Garamond" w:cs="Times New Roman"/>
                <w:highlight w:val="yellow"/>
              </w:rPr>
              <w:t>кредитора и должника</w:t>
            </w:r>
            <w:r>
              <w:rPr>
                <w:rFonts w:ascii="Garamond" w:eastAsia="Calibri" w:hAnsi="Garamond" w:cs="Times New Roman"/>
              </w:rPr>
              <w:t xml:space="preserve"> об учете </w:t>
            </w:r>
            <w:r>
              <w:rPr>
                <w:rFonts w:ascii="Garamond" w:eastAsia="Calibri" w:hAnsi="Garamond" w:cs="Times New Roman"/>
                <w:highlight w:val="yellow"/>
              </w:rPr>
              <w:t>прекращения</w:t>
            </w:r>
            <w:r>
              <w:rPr>
                <w:rFonts w:ascii="Garamond" w:eastAsia="Calibri" w:hAnsi="Garamond" w:cs="Times New Roman"/>
              </w:rPr>
              <w:t xml:space="preserve"> обязательств путем публикации в разделе с ограниченным в соответствии с Правилами </w:t>
            </w:r>
            <w:proofErr w:type="spellStart"/>
            <w:r>
              <w:rPr>
                <w:rFonts w:ascii="Garamond" w:eastAsia="Calibri" w:hAnsi="Garamond" w:cs="Times New Roman"/>
              </w:rPr>
              <w:t>ЭДО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>
              <w:rPr>
                <w:rFonts w:ascii="Garamond" w:eastAsia="Calibri" w:hAnsi="Garamond" w:cs="Times New Roman"/>
              </w:rPr>
              <w:t>СЭД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</w:t>
            </w:r>
            <w:proofErr w:type="gramStart"/>
            <w:r>
              <w:rPr>
                <w:rFonts w:ascii="Garamond" w:eastAsia="Calibri" w:hAnsi="Garamond" w:cs="Times New Roman"/>
              </w:rPr>
              <w:t>КО доступом</w:t>
            </w:r>
            <w:proofErr w:type="gramEnd"/>
            <w:r>
              <w:rPr>
                <w:rFonts w:ascii="Garamond" w:eastAsia="Calibri" w:hAnsi="Garamond" w:cs="Times New Roman"/>
              </w:rPr>
              <w:t xml:space="preserve"> на сайте КО отчета о состоянии обязательств (приложение 16 к настоящему Регламенту) </w:t>
            </w:r>
            <w:r>
              <w:rPr>
                <w:rFonts w:ascii="Garamond" w:eastAsia="Calibri" w:hAnsi="Garamond" w:cs="Times New Roman"/>
                <w:highlight w:val="yellow"/>
              </w:rPr>
              <w:t xml:space="preserve">и отчетов </w:t>
            </w:r>
            <w:r>
              <w:rPr>
                <w:rFonts w:ascii="Garamond" w:eastAsia="Calibri" w:hAnsi="Garamond"/>
                <w:highlight w:val="yellow"/>
              </w:rPr>
              <w:t>по договорам уступки прав (цессии), ук</w:t>
            </w:r>
            <w:r>
              <w:rPr>
                <w:rFonts w:ascii="Garamond" w:eastAsia="Calibri" w:hAnsi="Garamond"/>
                <w:highlight w:val="yellow"/>
              </w:rPr>
              <w:t>азанных в п. 14.5 настоящего Регламента</w:t>
            </w:r>
            <w:r>
              <w:rPr>
                <w:rFonts w:ascii="Garamond" w:eastAsia="Calibri" w:hAnsi="Garamond" w:cs="Times New Roman"/>
              </w:rPr>
              <w:t xml:space="preserve">. </w:t>
            </w:r>
          </w:p>
        </w:tc>
      </w:tr>
      <w:tr w:rsidR="00BE6C51" w14:paraId="59780E86" w14:textId="77777777" w:rsidTr="00CD123E">
        <w:tc>
          <w:tcPr>
            <w:tcW w:w="993" w:type="dxa"/>
            <w:vAlign w:val="center"/>
          </w:tcPr>
          <w:p w14:paraId="5EA8EBBB" w14:textId="34D86113" w:rsidR="00BE6C51" w:rsidRDefault="00CD123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19.3.5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0202123" w14:textId="77777777" w:rsidR="00CD123E" w:rsidRDefault="00CD123E" w:rsidP="00CD123E">
            <w:pPr>
              <w:widowControl w:val="0"/>
              <w:spacing w:before="120" w:after="120" w:line="240" w:lineRule="auto"/>
              <w:rPr>
                <w:rFonts w:ascii="Garamond" w:hAnsi="Garamond"/>
                <w:b/>
              </w:rPr>
            </w:pPr>
          </w:p>
          <w:p w14:paraId="323DCA07" w14:textId="4251330C" w:rsidR="00CD123E" w:rsidRDefault="00CD123E" w:rsidP="00CD123E">
            <w:pPr>
              <w:widowControl w:val="0"/>
              <w:spacing w:before="120" w:after="12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Добавить пункт </w:t>
            </w:r>
          </w:p>
          <w:p w14:paraId="1168412C" w14:textId="77777777" w:rsidR="00BE6C51" w:rsidRDefault="00BE6C51" w:rsidP="00CD123E">
            <w:pPr>
              <w:pStyle w:val="a3"/>
              <w:shd w:val="clear" w:color="auto" w:fill="FFFFFF"/>
              <w:ind w:firstLine="567"/>
              <w:rPr>
                <w:rFonts w:ascii="Garamond" w:hAnsi="Garamond" w:cs="Garamond"/>
                <w:b/>
                <w:bCs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798FF76" w14:textId="7CC97082" w:rsidR="00BE6C51" w:rsidRDefault="00CD123E" w:rsidP="00CD123E">
            <w:pPr>
              <w:pStyle w:val="a3"/>
              <w:shd w:val="clear" w:color="auto" w:fill="FFFFFF"/>
              <w:ind w:firstLine="567"/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</w:pP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>При получении от кредитора или должника</w:t>
            </w: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>, в отношении которого возбуждено дело о банкротстве и введена одна из процедур банкрот</w:t>
            </w:r>
            <w:r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>ства (далее – должник-банкрот),</w:t>
            </w:r>
            <w:bookmarkStart w:id="0" w:name="_GoBack"/>
            <w:bookmarkEnd w:id="0"/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 xml:space="preserve"> </w:t>
            </w: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 xml:space="preserve">копии </w:t>
            </w: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 xml:space="preserve">вступившего в законную силу </w:t>
            </w: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 xml:space="preserve">судебного акта о признании недействительными сделок по перечислению денежных средств </w:t>
            </w: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>должником</w:t>
            </w: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 xml:space="preserve">-банкротом и восстановлении права требования кредитора к </w:t>
            </w: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>должнику</w:t>
            </w: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>-банкроту</w:t>
            </w: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 xml:space="preserve"> и документов, подтверждающих исполнение в соответствии с у</w:t>
            </w:r>
            <w:r w:rsidRPr="00CD123E"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 xml:space="preserve">казанным судебным актом, ЦФР восстанавливает </w:t>
            </w:r>
            <w:r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>учет прекращенных обязательств по оплате по соответствующему договору, заключенному на оптовом рынке, за расчетные периоды, указанные в судебном акте,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в течение 5 рабочих дней с даты поступления указанных докуме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нтов в ЦФР</w:t>
            </w:r>
            <w:r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  <w:t>.</w:t>
            </w:r>
          </w:p>
          <w:p w14:paraId="738D40D5" w14:textId="77777777" w:rsidR="00BE6C51" w:rsidRDefault="00CD123E" w:rsidP="00CD123E">
            <w:pPr>
              <w:pStyle w:val="a3"/>
              <w:shd w:val="clear" w:color="auto" w:fill="FFFFFF"/>
              <w:ind w:firstLine="567"/>
              <w:rPr>
                <w:rFonts w:ascii="Garamond" w:eastAsia="Calibri" w:hAnsi="Garamond" w:cstheme="minorBidi"/>
                <w:szCs w:val="22"/>
                <w:highlight w:val="yellow"/>
                <w:lang w:val="ru-RU"/>
              </w:rPr>
            </w:pPr>
            <w:r>
              <w:rPr>
                <w:rFonts w:ascii="Garamond" w:eastAsia="Calibri" w:hAnsi="Garamond"/>
                <w:highlight w:val="yellow"/>
                <w:lang w:val="ru-RU"/>
              </w:rPr>
              <w:lastRenderedPageBreak/>
              <w:t xml:space="preserve">ЦФР информирует кредитора и должника-банкрота о восстановленных обязательствах путем публикации отчета о состоянии обязательств (приложение 16 к настоящему Регламенту) и </w:t>
            </w:r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t>отчета о состоянии обязательств по договорам уступки прав требования (цесс</w:t>
            </w:r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t>ии) (приложение 13.1 к настоящему Регламенту)</w:t>
            </w:r>
            <w:r>
              <w:rPr>
                <w:rFonts w:ascii="Garamond" w:eastAsia="Calibri" w:hAnsi="Garamond"/>
                <w:highlight w:val="yellow"/>
                <w:lang w:val="ru-RU"/>
              </w:rPr>
              <w:t xml:space="preserve"> в разделе с ограниченным в соответствии с Правилами </w:t>
            </w:r>
            <w:proofErr w:type="spellStart"/>
            <w:r>
              <w:rPr>
                <w:rFonts w:ascii="Garamond" w:eastAsia="Calibri" w:hAnsi="Garamond"/>
                <w:highlight w:val="yellow"/>
                <w:lang w:val="ru-RU"/>
              </w:rPr>
              <w:t>ЭДО</w:t>
            </w:r>
            <w:proofErr w:type="spellEnd"/>
            <w:r>
              <w:rPr>
                <w:rFonts w:ascii="Garamond" w:eastAsia="Calibri" w:hAnsi="Garamond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highlight w:val="yellow"/>
                <w:lang w:val="ru-RU"/>
              </w:rPr>
              <w:t>СЭД</w:t>
            </w:r>
            <w:proofErr w:type="spellEnd"/>
            <w:r>
              <w:rPr>
                <w:rFonts w:ascii="Garamond" w:eastAsia="Calibri" w:hAnsi="Garamond"/>
                <w:highlight w:val="yellow"/>
                <w:lang w:val="ru-RU"/>
              </w:rPr>
              <w:t xml:space="preserve"> </w:t>
            </w:r>
            <w:proofErr w:type="gramStart"/>
            <w:r>
              <w:rPr>
                <w:rFonts w:ascii="Garamond" w:eastAsia="Calibri" w:hAnsi="Garamond"/>
                <w:highlight w:val="yellow"/>
                <w:lang w:val="ru-RU"/>
              </w:rPr>
              <w:t>КО доступом</w:t>
            </w:r>
            <w:proofErr w:type="gramEnd"/>
            <w:r>
              <w:rPr>
                <w:rFonts w:ascii="Garamond" w:eastAsia="Calibri" w:hAnsi="Garamond"/>
                <w:highlight w:val="yellow"/>
                <w:lang w:val="ru-RU"/>
              </w:rPr>
              <w:t xml:space="preserve"> на сайте КО. </w:t>
            </w:r>
          </w:p>
          <w:p w14:paraId="0CFD2BF6" w14:textId="77777777" w:rsidR="00BE6C51" w:rsidRDefault="00CD123E" w:rsidP="00CD123E">
            <w:pPr>
              <w:pStyle w:val="a3"/>
              <w:shd w:val="clear" w:color="auto" w:fill="FFFFFF"/>
              <w:ind w:firstLine="602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В случае если обязательства восстановлены </w:t>
            </w:r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после даты, на которую сформирован направленный ЦФР в Совет рынка реестр конкурсной задолженности в соответствии с п. 23.1.2 настоящего Регламента, то ЦФР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прекращает их учет.</w:t>
            </w:r>
          </w:p>
          <w:p w14:paraId="0653D752" w14:textId="73AB1B2F" w:rsidR="00BE6C51" w:rsidRPr="00CD123E" w:rsidRDefault="00CD123E" w:rsidP="00CD123E">
            <w:pPr>
              <w:pStyle w:val="a3"/>
              <w:shd w:val="clear" w:color="auto" w:fill="FFFFFF"/>
              <w:ind w:firstLine="602"/>
              <w:rPr>
                <w:rFonts w:ascii="Garamond" w:eastAsia="Calibri" w:hAnsi="Garamond"/>
                <w:szCs w:val="22"/>
                <w:lang w:val="ru-RU"/>
              </w:rPr>
            </w:pPr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t>ЦФР информирует о дате, на которую сформирован направленный ЦФР в Совет рынка рее</w:t>
            </w:r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стр конкурсной задолженности, </w:t>
            </w:r>
            <w:r>
              <w:rPr>
                <w:rFonts w:ascii="Garamond" w:eastAsia="Calibri" w:hAnsi="Garamond"/>
                <w:highlight w:val="yellow"/>
                <w:lang w:val="ru-RU"/>
              </w:rPr>
              <w:t xml:space="preserve">путем публикации на </w:t>
            </w:r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t>сайте ЦФР.</w:t>
            </w:r>
          </w:p>
        </w:tc>
      </w:tr>
      <w:tr w:rsidR="00BE6C51" w14:paraId="61DB4119" w14:textId="77777777" w:rsidTr="00CD123E">
        <w:tc>
          <w:tcPr>
            <w:tcW w:w="993" w:type="dxa"/>
            <w:vAlign w:val="center"/>
          </w:tcPr>
          <w:p w14:paraId="6DD20B2F" w14:textId="77777777" w:rsidR="00BE6C51" w:rsidRDefault="00CD123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23.1.2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E04087B" w14:textId="77777777" w:rsidR="00BE6C51" w:rsidRDefault="00CD123E" w:rsidP="00CD123E">
            <w:pPr>
              <w:pStyle w:val="a3"/>
              <w:ind w:firstLine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ЦФР направляет в Совет рынка не позднее 5 рабочих дней, считая со дня получения от Совета рынка запроса в соответствии с пунктом 23.1.1 настоящего Регламента, ответ, содержащий сведения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о наличии (отсутствии) у организации, утратившей статус гарантирующего поставщика, задолженности по оплате услуг организаций коммерческой и технологической инфраструктуры, расчеты по которым осуществляются в соответствии с </w:t>
            </w:r>
            <w:r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Договором о присоединении к торго</w:t>
            </w:r>
            <w:r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вой системе оптового рынка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, электрической энергии, мощности, приобретенных на оптовом рынке по договорам, по которым расчет денежных обязательств сторон производится организациями коммерческой инфраструктуры оптового рынка, а также сводный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 xml:space="preserve">реестр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>конкурсной задолженности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с разбивкой по кредиторам суммы такой задолженности, в том числе перед АТС, ЦФР и перед сетевыми организациями (на основании информации, поступившей от Совета рынка) по договорам оказания услуг по передаче электрической энергии (да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лее – реестр конкурсной задолженности) с учетом особенностей пункта 23.1.2.1 настоящего Регламента.</w:t>
            </w:r>
          </w:p>
          <w:p w14:paraId="6BC61AA4" w14:textId="77777777" w:rsidR="00BE6C51" w:rsidRDefault="00CD123E" w:rsidP="00CD123E">
            <w:pPr>
              <w:pStyle w:val="a3"/>
              <w:ind w:firstLine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Сведения о задолженности перед кредиторами – участниками оптового рынка формируются с учетом следующих особенностей:</w:t>
            </w:r>
          </w:p>
          <w:p w14:paraId="29F8FC1E" w14:textId="77777777" w:rsidR="00BE6C51" w:rsidRDefault="00CD123E" w:rsidP="00CD123E">
            <w:pPr>
              <w:pStyle w:val="a3"/>
              <w:numPr>
                <w:ilvl w:val="0"/>
                <w:numId w:val="8"/>
              </w:numPr>
              <w:tabs>
                <w:tab w:val="left" w:pos="1031"/>
              </w:tabs>
              <w:ind w:left="0" w:firstLine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ответ должен содержать сведения о налич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ии (отсутствии) по состоянию на дату формирования ответа задолженности по соответствующим договорам за расчетные периоды, прошедшие до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lastRenderedPageBreak/>
              <w:t>даты лишения организации статуса гарантирующего поставщика, по которым сформированы фактические обязательства, в том числ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е по обязательствам, срок исполнения которых не наступил;</w:t>
            </w:r>
          </w:p>
          <w:p w14:paraId="4FECCC29" w14:textId="77777777" w:rsidR="00BE6C51" w:rsidRDefault="00CD123E" w:rsidP="00CD123E">
            <w:pPr>
              <w:pStyle w:val="a3"/>
              <w:numPr>
                <w:ilvl w:val="0"/>
                <w:numId w:val="8"/>
              </w:numPr>
              <w:tabs>
                <w:tab w:val="left" w:pos="1031"/>
              </w:tabs>
              <w:ind w:left="0" w:firstLine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сведения о задолженности по договорам, по которым исполнение обязательств по оплате осуществлялось вне уполномоченной кредитной организации, указываются на основании информации, поступившей от участ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ников оптового рынка в ЦФР в соответствии с положениями настоящего Регламента на дату формирования ответа. Ответственность за достоверность указанных сведений несут поставщики и покупатели оптового рынка, в том числе предоставившие сведения несвоевременно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и (или) предоставившие недостоверные сведения, либо не предоставившие сведения для учета проведения платежей по соответствующим договорам;</w:t>
            </w:r>
          </w:p>
          <w:p w14:paraId="0B7F0222" w14:textId="4E3B1885" w:rsidR="00BE6C51" w:rsidRPr="00CD123E" w:rsidRDefault="00CD123E" w:rsidP="00CD123E">
            <w:pPr>
              <w:pStyle w:val="a3"/>
              <w:tabs>
                <w:tab w:val="left" w:pos="1031"/>
              </w:tabs>
              <w:ind w:left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…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28198C9" w14:textId="77777777" w:rsidR="00BE6C51" w:rsidRDefault="00CD123E" w:rsidP="00CD123E">
            <w:pPr>
              <w:pStyle w:val="a3"/>
              <w:ind w:firstLine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lastRenderedPageBreak/>
              <w:t>Ц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ФР направляет в Совет рынка не позднее 5 рабочих дней, считая со дня получения от Совета рынка запроса в соответствии с пунктом 23.1.1 настоящего Регламента, ответ, содержащий сведения о наличии (отсутствии) у организации, утратившей статус гарантирующего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поставщика, задолженности по оплате услуг организаций коммерческой и технологической инфраструктуры, расчеты по которым осуществляются в соответствии с </w:t>
            </w:r>
            <w:r>
              <w:rPr>
                <w:rFonts w:ascii="Garamond" w:hAnsi="Garamond"/>
                <w:i/>
                <w:color w:val="000000"/>
                <w:spacing w:val="1"/>
                <w:szCs w:val="22"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, электрической энергии, мощности, приобрете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нных на оптовом рынке по договорам, по которым расчет денежных обязательств сторон производится организациями коммерческой инфраструктуры оптового рынка, а также сводный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>реестр конкурсной задолженности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с разбивкой по кредиторам суммы такой задолженности, в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том числе перед АТС, ЦФР и перед сетевыми организациями (на основании информации, поступившей от Совета рынка) по договорам оказания услуг по передаче электрической энергии (далее – реестр конкурсной задолженности) с учетом особенностей пункта 23.1.2.1 на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стоящего Регламента.</w:t>
            </w:r>
          </w:p>
          <w:p w14:paraId="60CF26F7" w14:textId="77777777" w:rsidR="00BE6C51" w:rsidRDefault="00CD123E" w:rsidP="00CD123E">
            <w:pPr>
              <w:pStyle w:val="a3"/>
              <w:ind w:firstLine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Сведения о задолженности перед кредиторами – участниками оптового рынка формируются с учетом следующих особенностей:</w:t>
            </w:r>
          </w:p>
          <w:p w14:paraId="0616CAAB" w14:textId="77777777" w:rsidR="00BE6C51" w:rsidRDefault="00CD123E" w:rsidP="00CD123E">
            <w:pPr>
              <w:pStyle w:val="a3"/>
              <w:numPr>
                <w:ilvl w:val="0"/>
                <w:numId w:val="8"/>
              </w:numPr>
              <w:tabs>
                <w:tab w:val="left" w:pos="1031"/>
              </w:tabs>
              <w:ind w:left="0" w:firstLine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ответ должен содержать сведения о наличии (отсутствии) по состоянию на дату формирования ответа задолженности по соотв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етствующим договорам за расчетные периоды, прошедшие до даты лишения организации статуса гарантирующего поставщика, по которым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lastRenderedPageBreak/>
              <w:t>сформированы фактические обязательства, в том числе по обязательствам, срок исполнения которых не наступил;</w:t>
            </w:r>
          </w:p>
          <w:p w14:paraId="3369BC0B" w14:textId="77777777" w:rsidR="00BE6C51" w:rsidRDefault="00CD123E" w:rsidP="00CD123E">
            <w:pPr>
              <w:pStyle w:val="a3"/>
              <w:numPr>
                <w:ilvl w:val="0"/>
                <w:numId w:val="8"/>
              </w:numPr>
              <w:tabs>
                <w:tab w:val="left" w:pos="1031"/>
              </w:tabs>
              <w:ind w:left="0" w:firstLine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сведения о задолженно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сти по договорам, по которым исполнение обязательств по оплате осуществлялось вне уполномоченной кредитной организации, указываются на основании информации, поступившей от участников оптового рынка </w:t>
            </w:r>
            <w:r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и учтенной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ЦФР в соответствии с положениями настоящего Рег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ламента на дату формирования ответа. Ответственность за достоверность указанных сведений несут поставщики и покупатели оптового рынка, в том числе предоставившие сведения несвоевременно и (или) предоставившие недостоверные сведения, либо не предоставившие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сведения для учета проведения платежей по соответствующим договорам;</w:t>
            </w:r>
          </w:p>
          <w:p w14:paraId="7A5FB521" w14:textId="77777777" w:rsidR="00BE6C51" w:rsidRDefault="00CD123E" w:rsidP="00CD123E">
            <w:pPr>
              <w:pStyle w:val="a3"/>
              <w:tabs>
                <w:tab w:val="left" w:pos="1031"/>
              </w:tabs>
              <w:ind w:left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…</w:t>
            </w:r>
          </w:p>
          <w:p w14:paraId="44B4A99A" w14:textId="77777777" w:rsidR="00BE6C51" w:rsidRDefault="00BE6C51" w:rsidP="00CD123E">
            <w:pPr>
              <w:spacing w:before="120" w:after="120"/>
              <w:ind w:firstLine="567"/>
              <w:jc w:val="both"/>
              <w:rPr>
                <w:rFonts w:ascii="Garamond" w:eastAsia="Calibri" w:hAnsi="Garamond" w:cs="Times New Roman"/>
                <w:highlight w:val="green"/>
              </w:rPr>
            </w:pPr>
          </w:p>
        </w:tc>
      </w:tr>
    </w:tbl>
    <w:p w14:paraId="335D5937" w14:textId="77777777" w:rsidR="00BE6C51" w:rsidRDefault="00BE6C51"/>
    <w:p w14:paraId="1F34537F" w14:textId="77777777" w:rsidR="00BE6C51" w:rsidRDefault="00BE6C51">
      <w:pPr>
        <w:tabs>
          <w:tab w:val="left" w:pos="10348"/>
        </w:tabs>
        <w:ind w:left="1701"/>
        <w:rPr>
          <w:rFonts w:ascii="Garamond" w:hAnsi="Garamond" w:cs="Times New Roman"/>
          <w:b/>
          <w:sz w:val="24"/>
          <w:szCs w:val="24"/>
        </w:rPr>
      </w:pPr>
    </w:p>
    <w:sectPr w:rsidR="00BE6C51" w:rsidSect="00CD123E">
      <w:pgSz w:w="16838" w:h="11906" w:orient="landscape"/>
      <w:pgMar w:top="1134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6A6"/>
    <w:multiLevelType w:val="hybridMultilevel"/>
    <w:tmpl w:val="97228AA2"/>
    <w:lvl w:ilvl="0" w:tplc="DDA820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0160CB"/>
    <w:multiLevelType w:val="hybridMultilevel"/>
    <w:tmpl w:val="1090B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3A4948"/>
    <w:multiLevelType w:val="hybridMultilevel"/>
    <w:tmpl w:val="2CBC9CB4"/>
    <w:lvl w:ilvl="0" w:tplc="4BF09996">
      <w:start w:val="1"/>
      <w:numFmt w:val="bullet"/>
      <w:lvlText w:val="−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0332D6D"/>
    <w:multiLevelType w:val="hybridMultilevel"/>
    <w:tmpl w:val="90EC3020"/>
    <w:lvl w:ilvl="0" w:tplc="FFFFFFFF">
      <w:start w:val="1"/>
      <w:numFmt w:val="bullet"/>
      <w:lvlText w:val="–"/>
      <w:lvlJc w:val="left"/>
      <w:pPr>
        <w:ind w:left="13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4" w15:restartNumberingAfterBreak="0">
    <w:nsid w:val="1B7469C3"/>
    <w:multiLevelType w:val="hybridMultilevel"/>
    <w:tmpl w:val="3B581BEA"/>
    <w:lvl w:ilvl="0" w:tplc="46D010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2426FB"/>
    <w:multiLevelType w:val="hybridMultilevel"/>
    <w:tmpl w:val="32A43DF2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8681A"/>
    <w:multiLevelType w:val="hybridMultilevel"/>
    <w:tmpl w:val="764A5B24"/>
    <w:lvl w:ilvl="0" w:tplc="4BF09996">
      <w:start w:val="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5F729D"/>
    <w:multiLevelType w:val="hybridMultilevel"/>
    <w:tmpl w:val="830E4B38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0" w15:restartNumberingAfterBreak="0">
    <w:nsid w:val="79090E46"/>
    <w:multiLevelType w:val="multilevel"/>
    <w:tmpl w:val="8CCE4B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824C84"/>
    <w:multiLevelType w:val="hybridMultilevel"/>
    <w:tmpl w:val="48AA19DE"/>
    <w:lvl w:ilvl="0" w:tplc="EFD2CA96">
      <w:start w:val="1"/>
      <w:numFmt w:val="decimal"/>
      <w:lvlText w:val="%1."/>
      <w:lvlJc w:val="left"/>
      <w:pPr>
        <w:ind w:left="720" w:hanging="360"/>
      </w:pPr>
      <w:rPr>
        <w:color w:val="auto"/>
        <w:sz w:val="12"/>
      </w:rPr>
    </w:lvl>
    <w:lvl w:ilvl="1" w:tplc="703639BC">
      <w:start w:val="1"/>
      <w:numFmt w:val="lowerLetter"/>
      <w:lvlText w:val="%2."/>
      <w:lvlJc w:val="left"/>
      <w:pPr>
        <w:ind w:left="1440" w:hanging="360"/>
      </w:pPr>
    </w:lvl>
    <w:lvl w:ilvl="2" w:tplc="4A18FDA2">
      <w:start w:val="1"/>
      <w:numFmt w:val="lowerRoman"/>
      <w:lvlText w:val="%3."/>
      <w:lvlJc w:val="right"/>
      <w:pPr>
        <w:ind w:left="2160" w:hanging="180"/>
      </w:pPr>
    </w:lvl>
    <w:lvl w:ilvl="3" w:tplc="E4A05CA0">
      <w:start w:val="1"/>
      <w:numFmt w:val="decimal"/>
      <w:lvlText w:val="%4."/>
      <w:lvlJc w:val="left"/>
      <w:pPr>
        <w:ind w:left="2880" w:hanging="360"/>
      </w:pPr>
    </w:lvl>
    <w:lvl w:ilvl="4" w:tplc="DC649402">
      <w:start w:val="1"/>
      <w:numFmt w:val="lowerLetter"/>
      <w:lvlText w:val="%5."/>
      <w:lvlJc w:val="left"/>
      <w:pPr>
        <w:ind w:left="3600" w:hanging="360"/>
      </w:pPr>
    </w:lvl>
    <w:lvl w:ilvl="5" w:tplc="8970114E">
      <w:start w:val="1"/>
      <w:numFmt w:val="lowerRoman"/>
      <w:lvlText w:val="%6."/>
      <w:lvlJc w:val="right"/>
      <w:pPr>
        <w:ind w:left="4320" w:hanging="180"/>
      </w:pPr>
    </w:lvl>
    <w:lvl w:ilvl="6" w:tplc="62AE39FA">
      <w:start w:val="1"/>
      <w:numFmt w:val="decimal"/>
      <w:lvlText w:val="%7."/>
      <w:lvlJc w:val="left"/>
      <w:pPr>
        <w:ind w:left="5040" w:hanging="360"/>
      </w:pPr>
    </w:lvl>
    <w:lvl w:ilvl="7" w:tplc="933ABA8A">
      <w:start w:val="1"/>
      <w:numFmt w:val="lowerLetter"/>
      <w:lvlText w:val="%8."/>
      <w:lvlJc w:val="left"/>
      <w:pPr>
        <w:ind w:left="5760" w:hanging="360"/>
      </w:pPr>
    </w:lvl>
    <w:lvl w:ilvl="8" w:tplc="BCB4BE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11D5A"/>
    <w:multiLevelType w:val="multilevel"/>
    <w:tmpl w:val="9F52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51"/>
    <w:rsid w:val="00B3009F"/>
    <w:rsid w:val="00BE6C51"/>
    <w:rsid w:val="00C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872B"/>
  <w15:chartTrackingRefBased/>
  <w15:docId w15:val="{3EFFCF55-1A77-4D77-8CC6-675943B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tabs>
        <w:tab w:val="num" w:pos="0"/>
      </w:tabs>
      <w:spacing w:before="120" w:after="120" w:line="240" w:lineRule="auto"/>
      <w:jc w:val="both"/>
      <w:outlineLvl w:val="2"/>
    </w:pPr>
    <w:rPr>
      <w:rFonts w:ascii="Garamond" w:eastAsia="Times New Roman" w:hAnsi="Garamond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paragraph" w:styleId="aa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Pr>
      <w:b/>
      <w:bCs/>
      <w:sz w:val="20"/>
      <w:szCs w:val="20"/>
    </w:rPr>
  </w:style>
  <w:style w:type="paragraph" w:styleId="ac">
    <w:name w:val="List Paragraph"/>
    <w:basedOn w:val="a"/>
    <w:link w:val="ad"/>
    <w:uiPriority w:val="34"/>
    <w:qFormat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d">
    <w:name w:val="Абзац списка Знак"/>
    <w:link w:val="ac"/>
    <w:uiPriority w:val="34"/>
    <w:rPr>
      <w:rFonts w:ascii="Times New Roman" w:eastAsia="Calibri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Times New Roman" w:hAnsi="Garamond" w:cs="Times New Roman"/>
      <w:color w:val="000000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e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5"/>
      </w:numPr>
    </w:pPr>
  </w:style>
  <w:style w:type="paragraph" w:customStyle="1" w:styleId="msolistparagraph0">
    <w:name w:val="msolist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inorEastAsia"/>
      <w:color w:val="5A5A5A" w:themeColor="text1" w:themeTint="A5"/>
      <w:spacing w:val="15"/>
    </w:rPr>
  </w:style>
  <w:style w:type="paragraph" w:styleId="af6">
    <w:name w:val="Body Text Indent"/>
    <w:basedOn w:val="a"/>
    <w:link w:val="af7"/>
    <w:uiPriority w:val="99"/>
    <w:unhideWhenUsed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rFonts w:ascii="Times New Roman" w:eastAsia="Calibri" w:hAnsi="Times New Roman" w:cs="Times New Roman"/>
      <w:sz w:val="24"/>
    </w:rPr>
  </w:style>
  <w:style w:type="character" w:styleId="af8">
    <w:name w:val="Hyperlink"/>
    <w:basedOn w:val="a0"/>
    <w:uiPriority w:val="99"/>
    <w:semiHidden/>
    <w:unhideWhenUsed/>
    <w:rPr>
      <w:color w:val="0563C1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i/>
      <w:iCs/>
      <w:sz w:val="16"/>
      <w:szCs w:val="16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5">
    <w:name w:val="xl85"/>
    <w:basedOn w:val="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fa">
    <w:name w:val="Table Grid"/>
    <w:basedOn w:val="a1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E219E-8FE7-4F19-B5EE-226C3395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Дряницын Евгений Алексеевич</dc:creator>
  <cp:keywords/>
  <dc:description/>
  <cp:lastModifiedBy>Пряхина Ирина Игоревна</cp:lastModifiedBy>
  <cp:revision>5</cp:revision>
  <dcterms:created xsi:type="dcterms:W3CDTF">2023-07-12T14:13:00Z</dcterms:created>
  <dcterms:modified xsi:type="dcterms:W3CDTF">2023-07-18T12:43:00Z</dcterms:modified>
</cp:coreProperties>
</file>