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B07" w:rsidRPr="00AE7B07" w:rsidRDefault="00AE7B07" w:rsidP="00AE7B07">
      <w:pPr>
        <w:widowControl w:val="0"/>
        <w:spacing w:before="0" w:after="0"/>
        <w:ind w:left="5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AE7B07">
        <w:rPr>
          <w:rFonts w:ascii="Times New Roman" w:hAnsi="Times New Roman"/>
          <w:caps/>
          <w:sz w:val="24"/>
          <w:szCs w:val="24"/>
          <w:lang w:eastAsia="ru-RU"/>
        </w:rPr>
        <w:t>При</w:t>
      </w:r>
      <w:bookmarkStart w:id="0" w:name="_GoBack"/>
      <w:bookmarkEnd w:id="0"/>
      <w:r w:rsidRPr="00AE7B07">
        <w:rPr>
          <w:rFonts w:ascii="Times New Roman" w:hAnsi="Times New Roman"/>
          <w:caps/>
          <w:sz w:val="24"/>
          <w:szCs w:val="24"/>
          <w:lang w:eastAsia="ru-RU"/>
        </w:rPr>
        <w:t>ложение</w:t>
      </w:r>
      <w:r w:rsidRPr="00AE7B07">
        <w:rPr>
          <w:rFonts w:ascii="Times New Roman" w:hAnsi="Times New Roman"/>
          <w:sz w:val="24"/>
          <w:szCs w:val="24"/>
          <w:lang w:eastAsia="ru-RU"/>
        </w:rPr>
        <w:t xml:space="preserve"> № 1</w:t>
      </w:r>
    </w:p>
    <w:p w:rsidR="00AE7B07" w:rsidRPr="00AE7B07" w:rsidRDefault="00AE7B07" w:rsidP="00AE7B07">
      <w:pPr>
        <w:widowControl w:val="0"/>
        <w:spacing w:before="0" w:after="0"/>
        <w:ind w:left="57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 Протоколу № 2/2021</w:t>
      </w:r>
      <w:r w:rsidRPr="00AE7B07">
        <w:rPr>
          <w:rFonts w:ascii="Times New Roman" w:hAnsi="Times New Roman"/>
          <w:sz w:val="24"/>
          <w:szCs w:val="24"/>
          <w:lang w:eastAsia="ru-RU"/>
        </w:rPr>
        <w:t xml:space="preserve"> заседания Наблюдательного совета </w:t>
      </w:r>
    </w:p>
    <w:p w:rsidR="00AE7B07" w:rsidRPr="00AE7B07" w:rsidRDefault="00AE7B07" w:rsidP="00AE7B07">
      <w:pPr>
        <w:widowControl w:val="0"/>
        <w:spacing w:before="0" w:after="0" w:line="276" w:lineRule="auto"/>
        <w:jc w:val="right"/>
        <w:rPr>
          <w:b/>
          <w:sz w:val="28"/>
          <w:szCs w:val="28"/>
          <w:lang w:eastAsia="ru-RU"/>
        </w:rPr>
      </w:pPr>
      <w:r w:rsidRPr="00AE7B07">
        <w:rPr>
          <w:rFonts w:ascii="Times New Roman" w:hAnsi="Times New Roman"/>
          <w:sz w:val="24"/>
          <w:szCs w:val="24"/>
          <w:lang w:eastAsia="ru-RU"/>
        </w:rPr>
        <w:t xml:space="preserve">Ассоциации «НП Совет рынка» от </w:t>
      </w:r>
      <w:r>
        <w:rPr>
          <w:rFonts w:ascii="Times New Roman" w:hAnsi="Times New Roman"/>
          <w:sz w:val="24"/>
          <w:szCs w:val="24"/>
          <w:lang w:eastAsia="ru-RU"/>
        </w:rPr>
        <w:t>21 января</w:t>
      </w:r>
      <w:r w:rsidRPr="00AE7B07">
        <w:rPr>
          <w:rFonts w:ascii="Times New Roman" w:hAnsi="Times New Roman"/>
          <w:sz w:val="24"/>
          <w:szCs w:val="24"/>
          <w:lang w:eastAsia="ru-RU"/>
        </w:rPr>
        <w:t xml:space="preserve"> 202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Pr="00AE7B07">
        <w:rPr>
          <w:rFonts w:ascii="Times New Roman" w:hAnsi="Times New Roman"/>
          <w:sz w:val="24"/>
          <w:szCs w:val="24"/>
          <w:lang w:eastAsia="ru-RU"/>
        </w:rPr>
        <w:t xml:space="preserve"> года.</w:t>
      </w:r>
    </w:p>
    <w:p w:rsidR="00AE7B07" w:rsidRDefault="00AE7B07" w:rsidP="00E14492">
      <w:pPr>
        <w:spacing w:before="0" w:after="0"/>
        <w:ind w:left="284"/>
        <w:rPr>
          <w:b/>
          <w:sz w:val="28"/>
          <w:szCs w:val="28"/>
        </w:rPr>
      </w:pPr>
    </w:p>
    <w:p w:rsidR="00857A6A" w:rsidRDefault="00BB1494" w:rsidP="002F3BF5">
      <w:pPr>
        <w:spacing w:before="0" w:after="0"/>
        <w:ind w:left="284"/>
        <w:rPr>
          <w:b/>
          <w:sz w:val="28"/>
          <w:szCs w:val="28"/>
        </w:rPr>
      </w:pPr>
      <w:r w:rsidRPr="00636329">
        <w:rPr>
          <w:b/>
          <w:sz w:val="28"/>
          <w:szCs w:val="28"/>
        </w:rPr>
        <w:t>Изменения, связанные</w:t>
      </w:r>
      <w:r w:rsidR="00857A6A">
        <w:rPr>
          <w:b/>
          <w:sz w:val="28"/>
          <w:szCs w:val="28"/>
        </w:rPr>
        <w:t xml:space="preserve"> </w:t>
      </w:r>
      <w:r w:rsidR="00857A6A">
        <w:rPr>
          <w:b/>
          <w:sz w:val="28"/>
          <w:szCs w:val="28"/>
          <w:lang w:val="en-US"/>
        </w:rPr>
        <w:t>c</w:t>
      </w:r>
      <w:r w:rsidR="00857A6A" w:rsidRPr="00857A6A">
        <w:rPr>
          <w:b/>
          <w:sz w:val="28"/>
          <w:szCs w:val="28"/>
        </w:rPr>
        <w:t xml:space="preserve"> распределени</w:t>
      </w:r>
      <w:r w:rsidR="0057441A">
        <w:rPr>
          <w:b/>
          <w:sz w:val="28"/>
          <w:szCs w:val="28"/>
        </w:rPr>
        <w:t>ем</w:t>
      </w:r>
      <w:r w:rsidR="00857A6A" w:rsidRPr="00857A6A">
        <w:rPr>
          <w:b/>
          <w:sz w:val="28"/>
          <w:szCs w:val="28"/>
        </w:rPr>
        <w:t xml:space="preserve"> </w:t>
      </w:r>
      <w:r w:rsidR="0057441A">
        <w:rPr>
          <w:b/>
          <w:sz w:val="28"/>
          <w:szCs w:val="28"/>
        </w:rPr>
        <w:t xml:space="preserve">балансовых </w:t>
      </w:r>
      <w:r w:rsidR="00857A6A" w:rsidRPr="00857A6A">
        <w:rPr>
          <w:b/>
          <w:sz w:val="28"/>
          <w:szCs w:val="28"/>
        </w:rPr>
        <w:t xml:space="preserve">значений </w:t>
      </w:r>
      <w:r w:rsidR="0057441A">
        <w:rPr>
          <w:b/>
          <w:sz w:val="28"/>
          <w:szCs w:val="28"/>
        </w:rPr>
        <w:t>пос</w:t>
      </w:r>
      <w:r w:rsidR="004B5B00">
        <w:rPr>
          <w:b/>
          <w:sz w:val="28"/>
          <w:szCs w:val="28"/>
        </w:rPr>
        <w:t>тавки по РД для приведения их в </w:t>
      </w:r>
      <w:r w:rsidR="0057441A">
        <w:rPr>
          <w:b/>
          <w:sz w:val="28"/>
          <w:szCs w:val="28"/>
        </w:rPr>
        <w:t>соответствие с тарифным решением</w:t>
      </w:r>
    </w:p>
    <w:p w:rsidR="0075636F" w:rsidRDefault="0075636F" w:rsidP="002F3BF5">
      <w:pPr>
        <w:spacing w:before="0" w:after="0"/>
        <w:jc w:val="right"/>
        <w:rPr>
          <w:b/>
          <w:sz w:val="28"/>
          <w:szCs w:val="28"/>
        </w:rPr>
      </w:pPr>
    </w:p>
    <w:p w:rsidR="00BB1494" w:rsidRDefault="000C55AC" w:rsidP="002F3BF5">
      <w:pPr>
        <w:spacing w:before="0" w:after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 1</w:t>
      </w:r>
    </w:p>
    <w:p w:rsidR="002F3BF5" w:rsidRDefault="002F3BF5" w:rsidP="002F3BF5">
      <w:pPr>
        <w:spacing w:before="0" w:after="0"/>
        <w:ind w:left="12036"/>
        <w:rPr>
          <w:b/>
          <w:sz w:val="28"/>
          <w:szCs w:val="28"/>
        </w:rPr>
      </w:pPr>
    </w:p>
    <w:tbl>
      <w:tblPr>
        <w:tblW w:w="5000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0"/>
      </w:tblGrid>
      <w:tr w:rsidR="002F3BF5" w:rsidRPr="00544D31" w:rsidTr="002F3BF5">
        <w:trPr>
          <w:trHeight w:val="567"/>
        </w:trPr>
        <w:tc>
          <w:tcPr>
            <w:tcW w:w="5000" w:type="pct"/>
          </w:tcPr>
          <w:p w:rsidR="002F3BF5" w:rsidRPr="00544D31" w:rsidRDefault="002F3BF5" w:rsidP="002F3BF5">
            <w:pPr>
              <w:keepNext/>
              <w:spacing w:before="0" w:after="0"/>
              <w:jc w:val="both"/>
              <w:rPr>
                <w:rFonts w:cs="Gautami"/>
                <w:sz w:val="24"/>
                <w:szCs w:val="24"/>
              </w:rPr>
            </w:pPr>
            <w:r w:rsidRPr="00544D31">
              <w:rPr>
                <w:rFonts w:cs="Gautami"/>
                <w:b/>
                <w:sz w:val="24"/>
                <w:szCs w:val="24"/>
              </w:rPr>
              <w:t>Инициатор:</w:t>
            </w:r>
            <w:r w:rsidRPr="00544D31">
              <w:rPr>
                <w:sz w:val="24"/>
                <w:szCs w:val="24"/>
              </w:rPr>
              <w:t xml:space="preserve"> </w:t>
            </w:r>
            <w:r w:rsidRPr="00544D31">
              <w:rPr>
                <w:rFonts w:cs="Gautami"/>
                <w:sz w:val="24"/>
                <w:szCs w:val="24"/>
              </w:rPr>
              <w:t>АО «АТС».</w:t>
            </w:r>
          </w:p>
          <w:p w:rsidR="002F3BF5" w:rsidRDefault="002F3BF5" w:rsidP="002F3B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cs="Gautami"/>
                <w:sz w:val="24"/>
                <w:szCs w:val="24"/>
              </w:rPr>
            </w:pPr>
            <w:r w:rsidRPr="00544D31">
              <w:rPr>
                <w:rFonts w:cs="Gautami"/>
                <w:b/>
                <w:sz w:val="24"/>
                <w:szCs w:val="24"/>
              </w:rPr>
              <w:t>Обоснование:</w:t>
            </w:r>
            <w:r>
              <w:rPr>
                <w:rFonts w:cs="Gautami"/>
                <w:b/>
                <w:sz w:val="24"/>
                <w:szCs w:val="24"/>
              </w:rPr>
              <w:t xml:space="preserve"> </w:t>
            </w:r>
            <w:r w:rsidRPr="00F7223C">
              <w:rPr>
                <w:rFonts w:cs="Gautami"/>
                <w:sz w:val="24"/>
                <w:szCs w:val="24"/>
              </w:rPr>
              <w:t>в балансовом решении ФАС России на 2021 год имеется ряд значений объемов поставки электрической энергии и мощности, которые однозначно не соотносятся с тарифными решениями, принятыми в отношении</w:t>
            </w:r>
            <w:r w:rsidRPr="00E33A4E">
              <w:rPr>
                <w:rFonts w:cs="Gautami"/>
                <w:sz w:val="24"/>
                <w:szCs w:val="24"/>
              </w:rPr>
              <w:t xml:space="preserve"> </w:t>
            </w:r>
            <w:r>
              <w:rPr>
                <w:rFonts w:cs="Gautami"/>
                <w:sz w:val="24"/>
                <w:szCs w:val="24"/>
              </w:rPr>
              <w:t>ряда станций</w:t>
            </w:r>
            <w:r w:rsidRPr="00F7223C">
              <w:rPr>
                <w:rFonts w:cs="Gautami"/>
                <w:sz w:val="24"/>
                <w:szCs w:val="24"/>
              </w:rPr>
              <w:t>. Данное изменение позволяет проводить распределение объемов электрической энергии и мощности из балансового решения ФАС России таким образом, чтобы строки баланса с указанным генерирующим оборудованием соответствовали строкам тарифного решения для возможности расчета схемы прикрепления по РД.</w:t>
            </w:r>
          </w:p>
          <w:p w:rsidR="002F3BF5" w:rsidRPr="00171A3E" w:rsidRDefault="002F3BF5" w:rsidP="002F3BF5">
            <w:pPr>
              <w:pStyle w:val="a5"/>
              <w:spacing w:after="0" w:line="240" w:lineRule="auto"/>
              <w:rPr>
                <w:rFonts w:ascii="Garamond" w:hAnsi="Garamond" w:cs="Gautami"/>
                <w:sz w:val="24"/>
                <w:szCs w:val="24"/>
                <w:lang w:val="ru-RU"/>
              </w:rPr>
            </w:pPr>
            <w:r w:rsidRPr="00D27B49">
              <w:rPr>
                <w:rFonts w:ascii="Garamond" w:hAnsi="Garamond" w:cs="Gautami"/>
                <w:b/>
                <w:sz w:val="24"/>
                <w:szCs w:val="24"/>
              </w:rPr>
              <w:t>Дата вступления в силу</w:t>
            </w:r>
            <w:r w:rsidRPr="00262993">
              <w:rPr>
                <w:rFonts w:ascii="Garamond" w:hAnsi="Garamond" w:cs="Gautami"/>
                <w:b/>
                <w:sz w:val="24"/>
                <w:szCs w:val="24"/>
              </w:rPr>
              <w:t>:</w:t>
            </w:r>
            <w:r w:rsidRPr="00D27B49">
              <w:rPr>
                <w:rFonts w:ascii="Garamond" w:hAnsi="Garamond" w:cs="Gautami"/>
                <w:sz w:val="24"/>
                <w:szCs w:val="24"/>
              </w:rPr>
              <w:t xml:space="preserve"> </w:t>
            </w:r>
            <w:r w:rsidRPr="003E2226">
              <w:rPr>
                <w:rFonts w:ascii="Garamond" w:eastAsia="Times New Roman" w:hAnsi="Garamond" w:cs="Gautami"/>
                <w:sz w:val="24"/>
                <w:szCs w:val="24"/>
                <w:lang w:val="ru-RU"/>
              </w:rPr>
              <w:t>с 21 января 2021 года</w:t>
            </w:r>
            <w:r w:rsidRPr="00E33A4E">
              <w:rPr>
                <w:rFonts w:ascii="Garamond" w:eastAsia="Times New Roman" w:hAnsi="Garamond" w:cs="Gautami"/>
                <w:sz w:val="24"/>
                <w:szCs w:val="24"/>
                <w:lang w:val="ru-RU"/>
              </w:rPr>
              <w:t>,</w:t>
            </w:r>
            <w:r w:rsidRPr="003E2226">
              <w:rPr>
                <w:rFonts w:ascii="Garamond" w:eastAsia="Times New Roman" w:hAnsi="Garamond" w:cs="Gautami"/>
                <w:sz w:val="24"/>
                <w:szCs w:val="24"/>
                <w:lang w:val="ru-RU"/>
              </w:rPr>
              <w:t xml:space="preserve"> распространяют свое действие на отношения сторон по Договору о присоединении к торговой системе оптового рынка, возникшие с 1 января 2021 года</w:t>
            </w:r>
            <w:r w:rsidRPr="00855A9A">
              <w:rPr>
                <w:rFonts w:ascii="Garamond" w:eastAsia="Times New Roman" w:hAnsi="Garamond" w:cs="Gautami"/>
                <w:sz w:val="24"/>
                <w:szCs w:val="24"/>
                <w:lang w:val="ru-RU"/>
              </w:rPr>
              <w:t>,</w:t>
            </w:r>
            <w:r w:rsidRPr="00E33A4E">
              <w:rPr>
                <w:rFonts w:ascii="Garamond" w:eastAsia="Times New Roman" w:hAnsi="Garamond" w:cs="Gautam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aramond" w:hAnsi="Garamond" w:cs="Gautami"/>
                <w:sz w:val="24"/>
                <w:szCs w:val="24"/>
                <w:lang w:val="ru-RU"/>
              </w:rPr>
              <w:t xml:space="preserve">и действуют по </w:t>
            </w:r>
            <w:r>
              <w:rPr>
                <w:rFonts w:ascii="Garamond" w:hAnsi="Garamond" w:cs="Gautami"/>
                <w:sz w:val="24"/>
                <w:szCs w:val="24"/>
              </w:rPr>
              <w:t>31 декабря 20</w:t>
            </w:r>
            <w:r>
              <w:rPr>
                <w:rFonts w:ascii="Garamond" w:hAnsi="Garamond" w:cs="Gautami"/>
                <w:sz w:val="24"/>
                <w:szCs w:val="24"/>
                <w:lang w:val="ru-RU"/>
              </w:rPr>
              <w:t>21</w:t>
            </w:r>
            <w:r>
              <w:rPr>
                <w:rFonts w:ascii="Garamond" w:hAnsi="Garamond" w:cs="Gautami"/>
                <w:sz w:val="24"/>
                <w:szCs w:val="24"/>
              </w:rPr>
              <w:t xml:space="preserve"> года</w:t>
            </w:r>
            <w:r>
              <w:rPr>
                <w:rFonts w:ascii="Garamond" w:hAnsi="Garamond" w:cs="Gautami"/>
                <w:sz w:val="24"/>
                <w:szCs w:val="24"/>
                <w:lang w:val="ru-RU"/>
              </w:rPr>
              <w:t xml:space="preserve"> (включительно)</w:t>
            </w:r>
            <w:r w:rsidRPr="003E2226">
              <w:rPr>
                <w:rFonts w:ascii="Garamond" w:eastAsia="Times New Roman" w:hAnsi="Garamond" w:cs="Gautami"/>
                <w:sz w:val="24"/>
                <w:szCs w:val="24"/>
                <w:lang w:val="ru-RU"/>
              </w:rPr>
              <w:t>.</w:t>
            </w:r>
          </w:p>
        </w:tc>
      </w:tr>
    </w:tbl>
    <w:p w:rsidR="002F3BF5" w:rsidRDefault="002F3BF5" w:rsidP="002F3BF5">
      <w:pPr>
        <w:pStyle w:val="a3"/>
        <w:spacing w:before="0"/>
        <w:jc w:val="left"/>
        <w:rPr>
          <w:sz w:val="26"/>
          <w:szCs w:val="26"/>
        </w:rPr>
      </w:pPr>
    </w:p>
    <w:p w:rsidR="00BF079A" w:rsidRDefault="00BF079A" w:rsidP="00E14492">
      <w:pPr>
        <w:pStyle w:val="a3"/>
        <w:spacing w:before="0"/>
        <w:ind w:left="284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Предложения по изменениям и дополнениям в приложение 3 к </w:t>
      </w:r>
      <w:r>
        <w:rPr>
          <w:caps/>
          <w:sz w:val="26"/>
          <w:szCs w:val="26"/>
        </w:rPr>
        <w:t xml:space="preserve">Регламенту регистрации регулируемых договоров купли-продажи электроэнергии и мощности </w:t>
      </w:r>
      <w:r>
        <w:rPr>
          <w:sz w:val="26"/>
          <w:szCs w:val="26"/>
        </w:rPr>
        <w:t xml:space="preserve">(Приложение № 6.2 к Договору о присоединении к торговой системе оптового рынка) </w:t>
      </w:r>
    </w:p>
    <w:p w:rsidR="00942667" w:rsidRDefault="00942667" w:rsidP="003579D3">
      <w:pPr>
        <w:pStyle w:val="a3"/>
        <w:spacing w:before="0"/>
        <w:jc w:val="left"/>
        <w:rPr>
          <w:sz w:val="26"/>
          <w:szCs w:val="26"/>
        </w:rPr>
      </w:pPr>
    </w:p>
    <w:tbl>
      <w:tblPr>
        <w:tblW w:w="5000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7"/>
        <w:gridCol w:w="6395"/>
        <w:gridCol w:w="7268"/>
      </w:tblGrid>
      <w:tr w:rsidR="00942667" w:rsidRPr="003579D3" w:rsidTr="00E14492">
        <w:trPr>
          <w:trHeight w:val="435"/>
        </w:trPr>
        <w:tc>
          <w:tcPr>
            <w:tcW w:w="308" w:type="pct"/>
          </w:tcPr>
          <w:p w:rsidR="00942667" w:rsidRPr="003579D3" w:rsidRDefault="00942667" w:rsidP="003579D3">
            <w:pPr>
              <w:spacing w:before="0" w:after="0"/>
              <w:jc w:val="center"/>
              <w:rPr>
                <w:b/>
                <w:bCs/>
                <w:szCs w:val="22"/>
              </w:rPr>
            </w:pPr>
            <w:r w:rsidRPr="003579D3">
              <w:rPr>
                <w:b/>
                <w:bCs/>
                <w:szCs w:val="22"/>
              </w:rPr>
              <w:t>№ пункта</w:t>
            </w:r>
          </w:p>
        </w:tc>
        <w:tc>
          <w:tcPr>
            <w:tcW w:w="2196" w:type="pct"/>
          </w:tcPr>
          <w:p w:rsidR="00942667" w:rsidRPr="003579D3" w:rsidRDefault="00942667" w:rsidP="003579D3">
            <w:pPr>
              <w:spacing w:before="0" w:after="0"/>
              <w:jc w:val="center"/>
              <w:rPr>
                <w:b/>
                <w:szCs w:val="22"/>
              </w:rPr>
            </w:pPr>
            <w:r w:rsidRPr="003579D3">
              <w:rPr>
                <w:b/>
                <w:szCs w:val="22"/>
              </w:rPr>
              <w:t>Редакция, действующая на момент</w:t>
            </w:r>
          </w:p>
          <w:p w:rsidR="00942667" w:rsidRPr="003579D3" w:rsidRDefault="00942667" w:rsidP="003579D3">
            <w:pPr>
              <w:spacing w:before="0" w:after="0"/>
              <w:jc w:val="center"/>
              <w:rPr>
                <w:b/>
                <w:bCs/>
                <w:szCs w:val="22"/>
              </w:rPr>
            </w:pPr>
            <w:r w:rsidRPr="003579D3">
              <w:rPr>
                <w:b/>
                <w:szCs w:val="22"/>
              </w:rPr>
              <w:t xml:space="preserve"> вступления в силу изменений</w:t>
            </w:r>
          </w:p>
        </w:tc>
        <w:tc>
          <w:tcPr>
            <w:tcW w:w="2496" w:type="pct"/>
          </w:tcPr>
          <w:p w:rsidR="00173470" w:rsidRDefault="00942667" w:rsidP="00173470">
            <w:pPr>
              <w:spacing w:before="0" w:after="0"/>
              <w:ind w:firstLine="33"/>
              <w:jc w:val="center"/>
              <w:rPr>
                <w:b/>
                <w:bCs/>
                <w:szCs w:val="22"/>
              </w:rPr>
            </w:pPr>
            <w:r w:rsidRPr="003579D3">
              <w:rPr>
                <w:b/>
                <w:bCs/>
                <w:szCs w:val="22"/>
              </w:rPr>
              <w:t>Предлагаемая редакция</w:t>
            </w:r>
          </w:p>
          <w:p w:rsidR="00942667" w:rsidRPr="003579D3" w:rsidRDefault="00942667" w:rsidP="00173470">
            <w:pPr>
              <w:spacing w:before="0" w:after="0"/>
              <w:ind w:firstLine="33"/>
              <w:jc w:val="center"/>
              <w:rPr>
                <w:b/>
                <w:bCs/>
                <w:szCs w:val="22"/>
              </w:rPr>
            </w:pPr>
            <w:r w:rsidRPr="003579D3">
              <w:rPr>
                <w:szCs w:val="22"/>
              </w:rPr>
              <w:t>(изменения выделены цветом)</w:t>
            </w:r>
          </w:p>
        </w:tc>
      </w:tr>
      <w:tr w:rsidR="00942667" w:rsidRPr="003579D3" w:rsidTr="00E14492">
        <w:trPr>
          <w:trHeight w:val="435"/>
        </w:trPr>
        <w:tc>
          <w:tcPr>
            <w:tcW w:w="308" w:type="pct"/>
          </w:tcPr>
          <w:p w:rsidR="00942667" w:rsidRPr="003579D3" w:rsidRDefault="00942667" w:rsidP="00587600">
            <w:pPr>
              <w:spacing w:before="120" w:after="120"/>
              <w:jc w:val="center"/>
              <w:rPr>
                <w:b/>
                <w:bCs/>
                <w:szCs w:val="22"/>
              </w:rPr>
            </w:pPr>
            <w:r w:rsidRPr="003579D3">
              <w:rPr>
                <w:b/>
                <w:bCs/>
                <w:szCs w:val="22"/>
              </w:rPr>
              <w:t>2.2.1</w:t>
            </w:r>
          </w:p>
        </w:tc>
        <w:tc>
          <w:tcPr>
            <w:tcW w:w="2196" w:type="pct"/>
          </w:tcPr>
          <w:p w:rsidR="00942667" w:rsidRPr="003579D3" w:rsidRDefault="00942667" w:rsidP="004B5B00">
            <w:pPr>
              <w:pStyle w:val="3"/>
              <w:numPr>
                <w:ilvl w:val="0"/>
                <w:numId w:val="0"/>
              </w:numPr>
              <w:spacing w:before="120" w:after="120"/>
              <w:ind w:firstLine="567"/>
              <w:rPr>
                <w:rFonts w:ascii="Garamond" w:hAnsi="Garamond"/>
                <w:sz w:val="22"/>
                <w:szCs w:val="22"/>
              </w:rPr>
            </w:pPr>
            <w:r w:rsidRPr="003579D3">
              <w:rPr>
                <w:rFonts w:ascii="Garamond" w:hAnsi="Garamond"/>
                <w:sz w:val="22"/>
                <w:szCs w:val="22"/>
              </w:rPr>
              <w:t>Расчет помесячных значений объемов поставки электрической энергии</w:t>
            </w:r>
          </w:p>
          <w:p w:rsidR="00914117" w:rsidRPr="003579D3" w:rsidRDefault="00914117" w:rsidP="004B5B00">
            <w:pPr>
              <w:spacing w:before="120" w:after="120"/>
              <w:jc w:val="both"/>
              <w:rPr>
                <w:szCs w:val="22"/>
              </w:rPr>
            </w:pPr>
            <w:r w:rsidRPr="003579D3">
              <w:rPr>
                <w:szCs w:val="22"/>
              </w:rPr>
              <w:t>…</w:t>
            </w:r>
          </w:p>
          <w:p w:rsidR="00914117" w:rsidRPr="003579D3" w:rsidRDefault="00914117" w:rsidP="0075636F">
            <w:pPr>
              <w:spacing w:before="120" w:after="120"/>
              <w:ind w:firstLine="554"/>
              <w:jc w:val="both"/>
              <w:rPr>
                <w:bCs/>
                <w:iCs/>
                <w:szCs w:val="22"/>
              </w:rPr>
            </w:pPr>
            <w:r w:rsidRPr="003579D3">
              <w:rPr>
                <w:bCs/>
                <w:iCs/>
                <w:szCs w:val="22"/>
              </w:rPr>
              <w:t xml:space="preserve">При этом: </w:t>
            </w:r>
          </w:p>
          <w:p w:rsidR="00914117" w:rsidRPr="003579D3" w:rsidRDefault="00914117" w:rsidP="0075636F">
            <w:pPr>
              <w:spacing w:before="120" w:after="120"/>
              <w:ind w:firstLine="554"/>
              <w:jc w:val="both"/>
              <w:rPr>
                <w:b/>
                <w:bCs/>
                <w:iCs/>
                <w:szCs w:val="22"/>
              </w:rPr>
            </w:pPr>
            <w:r w:rsidRPr="003579D3">
              <w:rPr>
                <w:bCs/>
                <w:iCs/>
                <w:szCs w:val="22"/>
              </w:rPr>
              <w:t xml:space="preserve">Для генерирующего оборудования, которое относится к генерирующим объектам, поставляющим мощность в вынужденном режиме, если окончание срока действия решения Правительства Российской Федерации об отнесении указанного генерирующего оборудования к генерирующим объектам, поставляющим мощность в вынужденном режиме, или окончание срока, на который в соответствии с требованием уполномоченного органа </w:t>
            </w:r>
            <w:r w:rsidRPr="003579D3">
              <w:rPr>
                <w:bCs/>
                <w:iCs/>
                <w:szCs w:val="22"/>
              </w:rPr>
              <w:lastRenderedPageBreak/>
              <w:t>приостановлен вывод из эксплуатации указанного генерирующего оборудования, приходится на расчетный период, то начиная с месяца наступления данного события m’ и до окончания расчетного периода значения сальдо перетока электрической энергии в отношении указанного генерирующего оборудования при расчете исходных данных для формирования схемы прикрепления по РД принимаются равными нулю (</w:t>
            </w:r>
            <w:r w:rsidRPr="003579D3">
              <w:rPr>
                <w:bCs/>
                <w:iCs/>
                <w:szCs w:val="22"/>
              </w:rPr>
              <w:object w:dxaOrig="80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1pt;height:20.4pt" o:ole="">
                  <v:imagedata r:id="rId7" o:title=""/>
                </v:shape>
                <o:OLEObject Type="Embed" ProgID="Equation.3" ShapeID="_x0000_i1025" DrawAspect="Content" ObjectID="_1672074817" r:id="rId8"/>
              </w:object>
            </w:r>
            <w:r w:rsidRPr="003579D3">
              <w:rPr>
                <w:bCs/>
                <w:iCs/>
                <w:szCs w:val="22"/>
              </w:rPr>
              <w:t>,</w:t>
            </w:r>
            <w:r w:rsidRPr="003579D3">
              <w:rPr>
                <w:bCs/>
                <w:iCs/>
                <w:szCs w:val="22"/>
              </w:rPr>
              <w:object w:dxaOrig="740" w:dyaOrig="279">
                <v:shape id="_x0000_i1026" type="#_x0000_t75" style="width:36.7pt;height:14.25pt" o:ole="">
                  <v:imagedata r:id="rId9" o:title=""/>
                </v:shape>
                <o:OLEObject Type="Embed" ProgID="Equation.3" ShapeID="_x0000_i1026" DrawAspect="Content" ObjectID="_1672074818" r:id="rId10"/>
              </w:object>
            </w:r>
            <w:r w:rsidRPr="003579D3">
              <w:rPr>
                <w:bCs/>
                <w:iCs/>
                <w:szCs w:val="22"/>
              </w:rPr>
              <w:t>).</w:t>
            </w:r>
          </w:p>
          <w:p w:rsidR="00942667" w:rsidRPr="003579D3" w:rsidRDefault="00942667" w:rsidP="004B5B00">
            <w:pPr>
              <w:spacing w:before="120" w:after="120"/>
              <w:ind w:firstLine="567"/>
              <w:jc w:val="both"/>
              <w:outlineLvl w:val="2"/>
              <w:rPr>
                <w:b/>
                <w:szCs w:val="22"/>
              </w:rPr>
            </w:pPr>
            <w:r w:rsidRPr="003579D3">
              <w:rPr>
                <w:i/>
                <w:szCs w:val="22"/>
              </w:rPr>
              <w:t>…</w:t>
            </w:r>
          </w:p>
        </w:tc>
        <w:tc>
          <w:tcPr>
            <w:tcW w:w="2496" w:type="pct"/>
          </w:tcPr>
          <w:p w:rsidR="00942667" w:rsidRPr="003579D3" w:rsidRDefault="00942667" w:rsidP="004B5B00">
            <w:pPr>
              <w:pStyle w:val="3"/>
              <w:numPr>
                <w:ilvl w:val="0"/>
                <w:numId w:val="0"/>
              </w:numPr>
              <w:spacing w:before="120" w:after="120"/>
              <w:ind w:firstLine="567"/>
              <w:rPr>
                <w:rFonts w:ascii="Garamond" w:hAnsi="Garamond"/>
                <w:sz w:val="22"/>
                <w:szCs w:val="22"/>
              </w:rPr>
            </w:pPr>
            <w:r w:rsidRPr="003579D3">
              <w:rPr>
                <w:rFonts w:ascii="Garamond" w:hAnsi="Garamond"/>
                <w:sz w:val="22"/>
                <w:szCs w:val="22"/>
              </w:rPr>
              <w:lastRenderedPageBreak/>
              <w:t>Расчет помесячных значений объемов поставки электрической энергии</w:t>
            </w:r>
          </w:p>
          <w:p w:rsidR="00914117" w:rsidRPr="003579D3" w:rsidRDefault="00914117" w:rsidP="004B5B00">
            <w:pPr>
              <w:spacing w:before="120" w:after="120"/>
              <w:jc w:val="both"/>
              <w:rPr>
                <w:szCs w:val="22"/>
              </w:rPr>
            </w:pPr>
            <w:r w:rsidRPr="003579D3">
              <w:rPr>
                <w:szCs w:val="22"/>
              </w:rPr>
              <w:t>…</w:t>
            </w:r>
          </w:p>
          <w:p w:rsidR="00914117" w:rsidRPr="003579D3" w:rsidRDefault="00914117" w:rsidP="004B5B00">
            <w:pPr>
              <w:spacing w:before="120" w:after="120"/>
              <w:ind w:firstLine="664"/>
              <w:jc w:val="both"/>
              <w:rPr>
                <w:szCs w:val="22"/>
                <w:highlight w:val="yellow"/>
              </w:rPr>
            </w:pPr>
            <w:r w:rsidRPr="003579D3">
              <w:rPr>
                <w:bCs/>
                <w:iCs/>
                <w:szCs w:val="22"/>
              </w:rPr>
              <w:t xml:space="preserve">При этом: </w:t>
            </w:r>
          </w:p>
          <w:p w:rsidR="00942667" w:rsidRPr="003579D3" w:rsidRDefault="00942667" w:rsidP="004B5B00">
            <w:pPr>
              <w:spacing w:before="120" w:after="120"/>
              <w:ind w:firstLine="664"/>
              <w:jc w:val="both"/>
              <w:rPr>
                <w:bCs/>
                <w:iCs/>
                <w:szCs w:val="22"/>
                <w:highlight w:val="yellow"/>
              </w:rPr>
            </w:pPr>
            <w:r w:rsidRPr="003579D3">
              <w:rPr>
                <w:bCs/>
                <w:iCs/>
                <w:szCs w:val="22"/>
                <w:highlight w:val="yellow"/>
              </w:rPr>
              <w:t xml:space="preserve">В случае если в балансовом решении ФАС России имеются строки, содержащие значения объемов поставки электрической энергии и мощности, которые однозначно не соотносятся со строками </w:t>
            </w:r>
            <w:r w:rsidR="00DC4764" w:rsidRPr="003579D3">
              <w:rPr>
                <w:bCs/>
                <w:iCs/>
                <w:szCs w:val="22"/>
                <w:highlight w:val="yellow"/>
              </w:rPr>
              <w:t xml:space="preserve">в </w:t>
            </w:r>
            <w:r w:rsidRPr="003579D3">
              <w:rPr>
                <w:bCs/>
                <w:iCs/>
                <w:szCs w:val="22"/>
                <w:highlight w:val="yellow"/>
              </w:rPr>
              <w:t>тарифны</w:t>
            </w:r>
            <w:r w:rsidR="00DC4764" w:rsidRPr="003579D3">
              <w:rPr>
                <w:bCs/>
                <w:iCs/>
                <w:szCs w:val="22"/>
                <w:highlight w:val="yellow"/>
              </w:rPr>
              <w:t>х</w:t>
            </w:r>
            <w:r w:rsidRPr="003579D3">
              <w:rPr>
                <w:bCs/>
                <w:iCs/>
                <w:szCs w:val="22"/>
                <w:highlight w:val="yellow"/>
              </w:rPr>
              <w:t xml:space="preserve"> решения</w:t>
            </w:r>
            <w:r w:rsidR="00DC4764" w:rsidRPr="003579D3">
              <w:rPr>
                <w:bCs/>
                <w:iCs/>
                <w:szCs w:val="22"/>
                <w:highlight w:val="yellow"/>
              </w:rPr>
              <w:t>х</w:t>
            </w:r>
            <w:r w:rsidRPr="003579D3">
              <w:rPr>
                <w:bCs/>
                <w:iCs/>
                <w:szCs w:val="22"/>
                <w:highlight w:val="yellow"/>
              </w:rPr>
              <w:t>, указанные балансовые объ</w:t>
            </w:r>
            <w:r w:rsidR="003579D3">
              <w:rPr>
                <w:bCs/>
                <w:iCs/>
                <w:szCs w:val="22"/>
                <w:highlight w:val="yellow"/>
              </w:rPr>
              <w:t>е</w:t>
            </w:r>
            <w:r w:rsidRPr="003579D3">
              <w:rPr>
                <w:bCs/>
                <w:iCs/>
                <w:szCs w:val="22"/>
                <w:highlight w:val="yellow"/>
              </w:rPr>
              <w:t>мы распределяются следующим образом:</w:t>
            </w:r>
          </w:p>
          <w:p w:rsidR="00942667" w:rsidRPr="003579D3" w:rsidRDefault="00942667" w:rsidP="004B5B00">
            <w:pPr>
              <w:spacing w:before="120" w:after="120"/>
              <w:ind w:firstLine="664"/>
              <w:jc w:val="both"/>
              <w:rPr>
                <w:bCs/>
                <w:iCs/>
                <w:szCs w:val="22"/>
                <w:highlight w:val="yellow"/>
              </w:rPr>
            </w:pPr>
            <w:r w:rsidRPr="003579D3">
              <w:rPr>
                <w:bCs/>
                <w:iCs/>
                <w:szCs w:val="22"/>
                <w:highlight w:val="yellow"/>
              </w:rPr>
              <w:t xml:space="preserve">Каждая строка </w:t>
            </w:r>
            <m:oMath>
              <m:r>
                <w:rPr>
                  <w:rFonts w:ascii="Cambria Math" w:hAnsi="Cambria Math"/>
                  <w:szCs w:val="22"/>
                  <w:highlight w:val="yellow"/>
                </w:rPr>
                <m:t>i</m:t>
              </m:r>
            </m:oMath>
            <w:r w:rsidRPr="003579D3">
              <w:rPr>
                <w:bCs/>
                <w:iCs/>
                <w:szCs w:val="22"/>
                <w:highlight w:val="yellow"/>
              </w:rPr>
              <w:t xml:space="preserve"> баланса разделяется на несколько строк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bCs/>
                      <w:iCs/>
                      <w:szCs w:val="22"/>
                      <w:highlight w:val="yellow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Cs/>
                          <w:szCs w:val="22"/>
                          <w:highlight w:val="yellow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2"/>
                          <w:highlight w:val="yellow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szCs w:val="22"/>
                          <w:highlight w:val="yellow"/>
                        </w:rPr>
                        <m:t>k</m:t>
                      </m:r>
                    </m:sub>
                  </m:sSub>
                </m:e>
              </m:d>
            </m:oMath>
            <w:r w:rsidRPr="003579D3">
              <w:rPr>
                <w:bCs/>
                <w:iCs/>
                <w:szCs w:val="22"/>
                <w:highlight w:val="yellow"/>
              </w:rPr>
              <w:t xml:space="preserve"> таким образом, чтобы </w:t>
            </w:r>
            <w:r w:rsidR="003579D3" w:rsidRPr="003579D3">
              <w:rPr>
                <w:szCs w:val="22"/>
                <w:highlight w:val="yellow"/>
              </w:rPr>
              <w:t>генерирующе</w:t>
            </w:r>
            <w:r w:rsidR="003579D3">
              <w:rPr>
                <w:szCs w:val="22"/>
                <w:highlight w:val="yellow"/>
              </w:rPr>
              <w:t>е</w:t>
            </w:r>
            <w:r w:rsidR="003579D3" w:rsidRPr="003579D3">
              <w:rPr>
                <w:szCs w:val="22"/>
                <w:highlight w:val="yellow"/>
              </w:rPr>
              <w:t xml:space="preserve"> </w:t>
            </w:r>
            <w:r w:rsidRPr="003579D3">
              <w:rPr>
                <w:bCs/>
                <w:iCs/>
                <w:szCs w:val="22"/>
                <w:highlight w:val="yellow"/>
              </w:rPr>
              <w:t xml:space="preserve">оборудование, входящее в состав каждой </w:t>
            </w:r>
            <w:r w:rsidRPr="003579D3">
              <w:rPr>
                <w:bCs/>
                <w:iCs/>
                <w:szCs w:val="22"/>
                <w:highlight w:val="yellow"/>
              </w:rPr>
              <w:lastRenderedPageBreak/>
              <w:t>раздел</w:t>
            </w:r>
            <w:r w:rsidR="003579D3">
              <w:rPr>
                <w:bCs/>
                <w:iCs/>
                <w:szCs w:val="22"/>
                <w:highlight w:val="yellow"/>
              </w:rPr>
              <w:t>е</w:t>
            </w:r>
            <w:r w:rsidRPr="003579D3">
              <w:rPr>
                <w:bCs/>
                <w:iCs/>
                <w:szCs w:val="22"/>
                <w:highlight w:val="yellow"/>
              </w:rPr>
              <w:t xml:space="preserve">нной строки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Cs/>
                      <w:szCs w:val="22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k</m:t>
                  </m:r>
                </m:sub>
              </m:sSub>
            </m:oMath>
            <w:r w:rsidR="003579D3">
              <w:rPr>
                <w:bCs/>
                <w:iCs/>
                <w:szCs w:val="22"/>
                <w:highlight w:val="yellow"/>
              </w:rPr>
              <w:t>,</w:t>
            </w:r>
            <w:r w:rsidRPr="003579D3">
              <w:rPr>
                <w:bCs/>
                <w:iCs/>
                <w:szCs w:val="22"/>
                <w:highlight w:val="yellow"/>
              </w:rPr>
              <w:t xml:space="preserve"> было представлено только в одной строке тарифного решения.</w:t>
            </w:r>
          </w:p>
          <w:p w:rsidR="00942667" w:rsidRPr="003579D3" w:rsidRDefault="00942667" w:rsidP="004B5B00">
            <w:pPr>
              <w:spacing w:before="120" w:after="120"/>
              <w:ind w:firstLine="664"/>
              <w:jc w:val="both"/>
              <w:rPr>
                <w:bCs/>
                <w:iCs/>
                <w:szCs w:val="22"/>
                <w:highlight w:val="yellow"/>
              </w:rPr>
            </w:pPr>
            <w:r w:rsidRPr="003579D3">
              <w:rPr>
                <w:bCs/>
                <w:iCs/>
                <w:szCs w:val="22"/>
                <w:highlight w:val="yellow"/>
              </w:rPr>
              <w:t xml:space="preserve">Объем электрической энергии, указанный в строке </w:t>
            </w:r>
            <m:oMath>
              <m:r>
                <w:rPr>
                  <w:rFonts w:ascii="Cambria Math" w:hAnsi="Cambria Math"/>
                  <w:szCs w:val="22"/>
                  <w:highlight w:val="yellow"/>
                </w:rPr>
                <m:t>i,</m:t>
              </m:r>
            </m:oMath>
            <w:r w:rsidR="003579D3">
              <w:rPr>
                <w:szCs w:val="22"/>
                <w:highlight w:val="yellow"/>
              </w:rPr>
              <w:t xml:space="preserve"> </w:t>
            </w:r>
            <w:r w:rsidRPr="003579D3">
              <w:rPr>
                <w:bCs/>
                <w:iCs/>
                <w:szCs w:val="22"/>
                <w:highlight w:val="yellow"/>
              </w:rPr>
              <w:t xml:space="preserve">распределяется по строкам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bCs/>
                      <w:iCs/>
                      <w:szCs w:val="22"/>
                      <w:highlight w:val="yellow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Cs/>
                          <w:szCs w:val="22"/>
                          <w:highlight w:val="yellow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2"/>
                          <w:highlight w:val="yellow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szCs w:val="22"/>
                          <w:highlight w:val="yellow"/>
                        </w:rPr>
                        <m:t>k</m:t>
                      </m:r>
                    </m:sub>
                  </m:sSub>
                </m:e>
              </m:d>
            </m:oMath>
            <w:r w:rsidRPr="003579D3">
              <w:rPr>
                <w:bCs/>
                <w:iCs/>
                <w:szCs w:val="22"/>
                <w:highlight w:val="yellow"/>
              </w:rPr>
              <w:t xml:space="preserve"> пропорционально объему установленной мощности по состоянию на 1 октября года, предшествующего расчетному, приходящейся на </w:t>
            </w:r>
            <w:r w:rsidR="00E14492" w:rsidRPr="003579D3">
              <w:rPr>
                <w:szCs w:val="22"/>
                <w:highlight w:val="yellow"/>
              </w:rPr>
              <w:t>генерирующе</w:t>
            </w:r>
            <w:r w:rsidR="00E14492">
              <w:rPr>
                <w:szCs w:val="22"/>
                <w:highlight w:val="yellow"/>
              </w:rPr>
              <w:t>е</w:t>
            </w:r>
            <w:r w:rsidR="00E14492" w:rsidRPr="003579D3">
              <w:rPr>
                <w:szCs w:val="22"/>
                <w:highlight w:val="yellow"/>
              </w:rPr>
              <w:t xml:space="preserve"> </w:t>
            </w:r>
            <w:r w:rsidRPr="003579D3">
              <w:rPr>
                <w:bCs/>
                <w:iCs/>
                <w:szCs w:val="22"/>
                <w:highlight w:val="yellow"/>
              </w:rPr>
              <w:t xml:space="preserve">оборудование, указанное в разнесенной строке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Cs/>
                      <w:szCs w:val="22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k</m:t>
                  </m:r>
                </m:sub>
              </m:sSub>
            </m:oMath>
            <w:r w:rsidR="00E14492">
              <w:rPr>
                <w:bCs/>
                <w:iCs/>
                <w:szCs w:val="22"/>
                <w:highlight w:val="yellow"/>
              </w:rPr>
              <w:t>:</w:t>
            </w:r>
            <w:r w:rsidRPr="003579D3">
              <w:rPr>
                <w:bCs/>
                <w:iCs/>
                <w:szCs w:val="22"/>
                <w:highlight w:val="yellow"/>
              </w:rPr>
              <w:t xml:space="preserve"> </w:t>
            </w:r>
          </w:p>
          <w:p w:rsidR="00942667" w:rsidRPr="003579D3" w:rsidRDefault="006070D7" w:rsidP="004B5B00">
            <w:pPr>
              <w:spacing w:before="120" w:after="120"/>
              <w:ind w:firstLine="664"/>
              <w:jc w:val="both"/>
              <w:rPr>
                <w:bCs/>
                <w:iCs/>
                <w:szCs w:val="22"/>
                <w:highlight w:val="yellow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Cs/>
                        <w:iCs/>
                        <w:szCs w:val="22"/>
                        <w:highlight w:val="yellow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2"/>
                        <w:highlight w:val="yellow"/>
                      </w:rPr>
                      <m:t>V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Cs/>
                            <w:szCs w:val="22"/>
                            <w:highlight w:val="yellow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2"/>
                            <w:highlight w:val="yellow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2"/>
                            <w:highlight w:val="yellow"/>
                          </w:rPr>
                          <m:t>k</m:t>
                        </m:r>
                      </m:sub>
                    </m:sSub>
                    <m:r>
                      <w:rPr>
                        <w:rFonts w:ascii="Cambria Math" w:hAnsi="Cambria Math"/>
                        <w:szCs w:val="22"/>
                        <w:highlight w:val="yellow"/>
                      </w:rPr>
                      <m:t>m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  <w:highlight w:val="yellow"/>
                      </w:rPr>
                      <m:t>пос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Cs/>
                            <w:szCs w:val="22"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2"/>
                            <w:highlight w:val="yellow"/>
                          </w:rPr>
                          <m:t>т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2"/>
                            <w:highlight w:val="yellow"/>
                          </w:rPr>
                          <m:t>РД</m:t>
                        </m:r>
                      </m:sub>
                    </m:sSub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szCs w:val="22"/>
                    <w:highlight w:val="yellow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Cs/>
                        <w:szCs w:val="22"/>
                        <w:highlight w:val="yellow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bCs/>
                            <w:iCs/>
                            <w:szCs w:val="22"/>
                            <w:highlight w:val="yellow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Cs w:val="22"/>
                            <w:highlight w:val="yellow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2"/>
                            <w:highlight w:val="yellow"/>
                          </w:rPr>
                          <m:t>im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2"/>
                            <w:highlight w:val="yellow"/>
                          </w:rPr>
                          <m:t>пост_РД</m:t>
                        </m:r>
                      </m:sup>
                    </m:sSubSup>
                    <m:r>
                      <w:rPr>
                        <w:rFonts w:ascii="Cambria Math" w:hAnsi="Cambria Math"/>
                        <w:szCs w:val="22"/>
                        <w:highlight w:val="yellow"/>
                      </w:rPr>
                      <m:t>∙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bCs/>
                            <w:iCs/>
                            <w:szCs w:val="22"/>
                            <w:highlight w:val="yellow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Cs w:val="22"/>
                            <w:highlight w:val="yellow"/>
                          </w:rPr>
                          <m:t>P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2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2"/>
                              </w:rPr>
                              <m:t>k</m:t>
                            </m:r>
                          </m:sub>
                        </m:sSub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2"/>
                            <w:highlight w:val="yellow"/>
                          </w:rPr>
                          <m:t>уст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bCs/>
                            <w:iCs/>
                            <w:szCs w:val="22"/>
                            <w:highlight w:val="yellow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Cs w:val="22"/>
                            <w:highlight w:val="yellow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2"/>
                            <w:highlight w:val="yellow"/>
                          </w:rPr>
                          <m:t>i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2"/>
                            <w:highlight w:val="yellow"/>
                          </w:rPr>
                          <m:t>уст</m:t>
                        </m:r>
                      </m:sup>
                    </m:sSubSup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Cs w:val="22"/>
                    <w:highlight w:val="yellow"/>
                  </w:rPr>
                  <m:t xml:space="preserve">, </m:t>
                </m:r>
              </m:oMath>
            </m:oMathPara>
          </w:p>
          <w:p w:rsidR="00942667" w:rsidRPr="003579D3" w:rsidRDefault="00942667" w:rsidP="004B5B00">
            <w:pPr>
              <w:spacing w:before="120" w:after="120"/>
              <w:jc w:val="both"/>
              <w:rPr>
                <w:bCs/>
                <w:iCs/>
                <w:szCs w:val="22"/>
                <w:highlight w:val="yellow"/>
              </w:rPr>
            </w:pPr>
            <w:r w:rsidRPr="003579D3">
              <w:rPr>
                <w:bCs/>
                <w:iCs/>
                <w:szCs w:val="22"/>
                <w:highlight w:val="yellow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bCs/>
                      <w:iCs/>
                      <w:szCs w:val="22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P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2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szCs w:val="22"/>
                        </w:rPr>
                        <m:t>k</m:t>
                      </m:r>
                    </m:sub>
                  </m:sSub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  <w:highlight w:val="yellow"/>
                    </w:rPr>
                    <m:t>уст</m:t>
                  </m:r>
                </m:sup>
              </m:sSubSup>
            </m:oMath>
            <w:r w:rsidRPr="003579D3">
              <w:rPr>
                <w:bCs/>
                <w:iCs/>
                <w:szCs w:val="22"/>
                <w:highlight w:val="yellow"/>
              </w:rPr>
              <w:t xml:space="preserve"> </w:t>
            </w:r>
            <w:r w:rsidR="003579D3" w:rsidRPr="003579D3">
              <w:rPr>
                <w:bCs/>
                <w:iCs/>
                <w:szCs w:val="22"/>
                <w:highlight w:val="yellow"/>
              </w:rPr>
              <w:t>–</w:t>
            </w:r>
            <w:r w:rsidRPr="003579D3">
              <w:rPr>
                <w:bCs/>
                <w:iCs/>
                <w:szCs w:val="22"/>
                <w:highlight w:val="yellow"/>
              </w:rPr>
              <w:t xml:space="preserve"> объем установленной мощности, приходящейся на </w:t>
            </w:r>
            <w:r w:rsidR="00E14492" w:rsidRPr="003579D3">
              <w:rPr>
                <w:szCs w:val="22"/>
                <w:highlight w:val="yellow"/>
              </w:rPr>
              <w:t>генерирующе</w:t>
            </w:r>
            <w:r w:rsidR="00E14492">
              <w:rPr>
                <w:szCs w:val="22"/>
                <w:highlight w:val="yellow"/>
              </w:rPr>
              <w:t>е</w:t>
            </w:r>
            <w:r w:rsidR="00E14492" w:rsidRPr="003579D3">
              <w:rPr>
                <w:szCs w:val="22"/>
                <w:highlight w:val="yellow"/>
              </w:rPr>
              <w:t xml:space="preserve"> </w:t>
            </w:r>
            <w:r w:rsidRPr="003579D3">
              <w:rPr>
                <w:bCs/>
                <w:iCs/>
                <w:szCs w:val="22"/>
                <w:highlight w:val="yellow"/>
              </w:rPr>
              <w:t xml:space="preserve">оборудование, указанное в разнесенной строке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Cs/>
                      <w:szCs w:val="22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k</m:t>
                  </m:r>
                </m:sub>
              </m:sSub>
            </m:oMath>
            <w:r w:rsidR="00E14492">
              <w:rPr>
                <w:bCs/>
                <w:iCs/>
                <w:szCs w:val="22"/>
                <w:highlight w:val="yellow"/>
              </w:rPr>
              <w:t>;</w:t>
            </w:r>
          </w:p>
          <w:p w:rsidR="00942667" w:rsidRPr="003579D3" w:rsidRDefault="006070D7" w:rsidP="004B5B00">
            <w:pPr>
              <w:spacing w:before="120" w:after="120"/>
              <w:jc w:val="both"/>
              <w:rPr>
                <w:szCs w:val="22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bCs/>
                      <w:iCs/>
                      <w:szCs w:val="22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  <w:highlight w:val="yellow"/>
                    </w:rPr>
                    <m:t>уст</m:t>
                  </m:r>
                </m:sup>
              </m:sSubSup>
            </m:oMath>
            <w:r w:rsidR="00942667" w:rsidRPr="003579D3">
              <w:rPr>
                <w:bCs/>
                <w:iCs/>
                <w:szCs w:val="22"/>
                <w:highlight w:val="yellow"/>
              </w:rPr>
              <w:t xml:space="preserve"> = </w:t>
            </w:r>
            <m:oMath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bCs/>
                      <w:i/>
                      <w:iCs/>
                      <w:szCs w:val="22"/>
                      <w:highlight w:val="yellow"/>
                    </w:rPr>
                  </m:ctrlPr>
                </m:naryPr>
                <m:sub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k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bCs/>
                          <w:iCs/>
                          <w:szCs w:val="22"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Cs w:val="22"/>
                          <w:highlight w:val="yellow"/>
                        </w:rPr>
                        <m:t>P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2"/>
                              <w:highlight w:val="yellow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2"/>
                              <w:highlight w:val="yellow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2"/>
                              <w:highlight w:val="yellow"/>
                            </w:rPr>
                            <m:t>k</m:t>
                          </m:r>
                        </m:sub>
                      </m:sSub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2"/>
                          <w:highlight w:val="yellow"/>
                        </w:rPr>
                        <m:t>уст</m:t>
                      </m:r>
                    </m:sup>
                  </m:sSubSup>
                </m:e>
              </m:nary>
            </m:oMath>
            <w:r w:rsidR="00E14492">
              <w:rPr>
                <w:bCs/>
                <w:iCs/>
                <w:szCs w:val="22"/>
                <w:highlight w:val="yellow"/>
              </w:rPr>
              <w:t xml:space="preserve"> – </w:t>
            </w:r>
            <w:r w:rsidR="00942667" w:rsidRPr="003579D3">
              <w:rPr>
                <w:bCs/>
                <w:iCs/>
                <w:szCs w:val="22"/>
                <w:highlight w:val="yellow"/>
              </w:rPr>
              <w:t xml:space="preserve">объем установленной мощности, приходящейся на </w:t>
            </w:r>
            <w:r w:rsidR="00E14492" w:rsidRPr="003579D3">
              <w:rPr>
                <w:szCs w:val="22"/>
                <w:highlight w:val="yellow"/>
              </w:rPr>
              <w:t>генерирующе</w:t>
            </w:r>
            <w:r w:rsidR="00E14492">
              <w:rPr>
                <w:szCs w:val="22"/>
                <w:highlight w:val="yellow"/>
              </w:rPr>
              <w:t>е</w:t>
            </w:r>
            <w:r w:rsidR="00942667" w:rsidRPr="003579D3">
              <w:rPr>
                <w:bCs/>
                <w:iCs/>
                <w:szCs w:val="22"/>
                <w:highlight w:val="yellow"/>
              </w:rPr>
              <w:t xml:space="preserve"> оборудование, </w:t>
            </w:r>
            <w:r w:rsidR="00E14492">
              <w:rPr>
                <w:bCs/>
                <w:iCs/>
                <w:szCs w:val="22"/>
                <w:highlight w:val="yellow"/>
              </w:rPr>
              <w:t>указанное в не</w:t>
            </w:r>
            <w:r w:rsidR="00942667" w:rsidRPr="003579D3">
              <w:rPr>
                <w:bCs/>
                <w:iCs/>
                <w:szCs w:val="22"/>
                <w:highlight w:val="yellow"/>
              </w:rPr>
              <w:t>разнес</w:t>
            </w:r>
            <w:r w:rsidR="003579D3">
              <w:rPr>
                <w:bCs/>
                <w:iCs/>
                <w:szCs w:val="22"/>
                <w:highlight w:val="yellow"/>
              </w:rPr>
              <w:t>е</w:t>
            </w:r>
            <w:r w:rsidR="00942667" w:rsidRPr="003579D3">
              <w:rPr>
                <w:bCs/>
                <w:iCs/>
                <w:szCs w:val="22"/>
                <w:highlight w:val="yellow"/>
              </w:rPr>
              <w:t xml:space="preserve">нной строке </w:t>
            </w:r>
            <m:oMath>
              <m:r>
                <w:rPr>
                  <w:rFonts w:ascii="Cambria Math" w:hAnsi="Cambria Math"/>
                  <w:szCs w:val="22"/>
                  <w:highlight w:val="yellow"/>
                </w:rPr>
                <m:t>i</m:t>
              </m:r>
            </m:oMath>
            <w:r w:rsidR="00FA6722" w:rsidRPr="003579D3">
              <w:rPr>
                <w:szCs w:val="22"/>
              </w:rPr>
              <w:t>.</w:t>
            </w:r>
          </w:p>
          <w:p w:rsidR="00914117" w:rsidRPr="003579D3" w:rsidRDefault="00914117" w:rsidP="004B5B00">
            <w:pPr>
              <w:spacing w:before="120" w:after="120"/>
              <w:ind w:firstLine="664"/>
              <w:jc w:val="both"/>
              <w:rPr>
                <w:b/>
                <w:bCs/>
                <w:iCs/>
                <w:szCs w:val="22"/>
              </w:rPr>
            </w:pPr>
            <w:r w:rsidRPr="003579D3">
              <w:rPr>
                <w:bCs/>
                <w:iCs/>
                <w:szCs w:val="22"/>
              </w:rPr>
              <w:t>Для генерирующего оборудования, которое относится к генерирующим объектам, поставляющим мощность в вынужденном режиме, если окончание срока действия решения Правительства Российской Федерации об отнесении указанного генерирующего оборудования к генерирующим объектам, поставляющим мощность в вынужденном режиме, или окончание срока, на который в соответствии с требованием уполномоченного органа приостановлен вывод из эксплуатации указанного генерирующего оборудования, приходится на расчетный период, то начиная с месяца наступления данного события m’ и до окончания расчетного периода значения сальдо перетока электрической энергии в отношении указанного генерирующего оборудования при расчете исходных данных для формирования схемы прикрепления по РД принимаются равными нулю (</w:t>
            </w:r>
            <w:r w:rsidRPr="003579D3">
              <w:rPr>
                <w:bCs/>
                <w:iCs/>
                <w:szCs w:val="22"/>
              </w:rPr>
              <w:object w:dxaOrig="800" w:dyaOrig="400">
                <v:shape id="_x0000_i1027" type="#_x0000_t75" style="width:40.1pt;height:20.4pt" o:ole="">
                  <v:imagedata r:id="rId7" o:title=""/>
                </v:shape>
                <o:OLEObject Type="Embed" ProgID="Equation.3" ShapeID="_x0000_i1027" DrawAspect="Content" ObjectID="_1672074819" r:id="rId11"/>
              </w:object>
            </w:r>
            <w:r w:rsidRPr="003579D3">
              <w:rPr>
                <w:bCs/>
                <w:iCs/>
                <w:szCs w:val="22"/>
              </w:rPr>
              <w:t>,</w:t>
            </w:r>
            <w:r w:rsidRPr="003579D3">
              <w:rPr>
                <w:bCs/>
                <w:iCs/>
                <w:szCs w:val="22"/>
              </w:rPr>
              <w:object w:dxaOrig="740" w:dyaOrig="279">
                <v:shape id="_x0000_i1028" type="#_x0000_t75" style="width:36.7pt;height:14.25pt" o:ole="">
                  <v:imagedata r:id="rId9" o:title=""/>
                </v:shape>
                <o:OLEObject Type="Embed" ProgID="Equation.3" ShapeID="_x0000_i1028" DrawAspect="Content" ObjectID="_1672074820" r:id="rId12"/>
              </w:object>
            </w:r>
            <w:r w:rsidRPr="003579D3">
              <w:rPr>
                <w:bCs/>
                <w:iCs/>
                <w:szCs w:val="22"/>
              </w:rPr>
              <w:t>).</w:t>
            </w:r>
          </w:p>
          <w:p w:rsidR="00942667" w:rsidRPr="003579D3" w:rsidRDefault="00914117" w:rsidP="004B5B00">
            <w:pPr>
              <w:spacing w:before="120" w:after="120"/>
              <w:ind w:left="720"/>
              <w:jc w:val="both"/>
              <w:rPr>
                <w:szCs w:val="22"/>
                <w:lang w:val="en-US"/>
              </w:rPr>
            </w:pPr>
            <w:r w:rsidRPr="003579D3">
              <w:rPr>
                <w:szCs w:val="22"/>
                <w:lang w:val="en-US"/>
              </w:rPr>
              <w:t>…</w:t>
            </w:r>
          </w:p>
        </w:tc>
      </w:tr>
      <w:tr w:rsidR="00942667" w:rsidRPr="003579D3" w:rsidTr="00E14492">
        <w:trPr>
          <w:trHeight w:val="435"/>
        </w:trPr>
        <w:tc>
          <w:tcPr>
            <w:tcW w:w="308" w:type="pct"/>
          </w:tcPr>
          <w:p w:rsidR="00942667" w:rsidRPr="003579D3" w:rsidRDefault="00942667" w:rsidP="00587600">
            <w:pPr>
              <w:spacing w:before="120" w:after="120"/>
              <w:jc w:val="center"/>
              <w:rPr>
                <w:b/>
                <w:bCs/>
                <w:szCs w:val="22"/>
              </w:rPr>
            </w:pPr>
            <w:r w:rsidRPr="003579D3">
              <w:rPr>
                <w:b/>
                <w:bCs/>
                <w:szCs w:val="22"/>
              </w:rPr>
              <w:lastRenderedPageBreak/>
              <w:t>2.2.2</w:t>
            </w:r>
          </w:p>
        </w:tc>
        <w:tc>
          <w:tcPr>
            <w:tcW w:w="2196" w:type="pct"/>
          </w:tcPr>
          <w:p w:rsidR="00942667" w:rsidRPr="003579D3" w:rsidRDefault="00942667" w:rsidP="004B5B00">
            <w:pPr>
              <w:pStyle w:val="3"/>
              <w:numPr>
                <w:ilvl w:val="0"/>
                <w:numId w:val="0"/>
              </w:numPr>
              <w:spacing w:before="120" w:after="120"/>
              <w:ind w:firstLine="567"/>
              <w:rPr>
                <w:rFonts w:ascii="Garamond" w:hAnsi="Garamond"/>
                <w:sz w:val="22"/>
                <w:szCs w:val="22"/>
              </w:rPr>
            </w:pPr>
            <w:r w:rsidRPr="003579D3">
              <w:rPr>
                <w:rFonts w:ascii="Garamond" w:hAnsi="Garamond"/>
                <w:sz w:val="22"/>
                <w:szCs w:val="22"/>
              </w:rPr>
              <w:t>Расчет предварительных месячных объемов поставки мощности для поставщиков</w:t>
            </w:r>
          </w:p>
          <w:p w:rsidR="006214B1" w:rsidRPr="003579D3" w:rsidRDefault="006214B1" w:rsidP="004B5B00">
            <w:pPr>
              <w:pStyle w:val="3"/>
              <w:widowControl w:val="0"/>
              <w:numPr>
                <w:ilvl w:val="0"/>
                <w:numId w:val="0"/>
              </w:numPr>
              <w:spacing w:before="120" w:after="120"/>
              <w:ind w:left="720" w:hanging="720"/>
              <w:rPr>
                <w:rFonts w:ascii="Garamond" w:hAnsi="Garamond"/>
                <w:b w:val="0"/>
                <w:sz w:val="22"/>
                <w:szCs w:val="22"/>
              </w:rPr>
            </w:pPr>
            <w:r w:rsidRPr="003579D3">
              <w:rPr>
                <w:rFonts w:ascii="Garamond" w:hAnsi="Garamond"/>
                <w:b w:val="0"/>
                <w:sz w:val="22"/>
                <w:szCs w:val="22"/>
              </w:rPr>
              <w:t>…</w:t>
            </w:r>
          </w:p>
          <w:p w:rsidR="006214B1" w:rsidRPr="003579D3" w:rsidRDefault="006214B1" w:rsidP="004B5B00">
            <w:pPr>
              <w:pStyle w:val="3"/>
              <w:widowControl w:val="0"/>
              <w:numPr>
                <w:ilvl w:val="0"/>
                <w:numId w:val="0"/>
              </w:numPr>
              <w:spacing w:before="120" w:after="120"/>
              <w:ind w:firstLine="567"/>
              <w:rPr>
                <w:rFonts w:ascii="Garamond" w:hAnsi="Garamond"/>
                <w:b w:val="0"/>
                <w:bCs w:val="0"/>
                <w:iCs w:val="0"/>
                <w:sz w:val="22"/>
                <w:szCs w:val="22"/>
              </w:rPr>
            </w:pPr>
            <w:r w:rsidRPr="003579D3">
              <w:rPr>
                <w:rFonts w:ascii="Garamond" w:hAnsi="Garamond"/>
                <w:b w:val="0"/>
                <w:sz w:val="22"/>
                <w:szCs w:val="22"/>
              </w:rPr>
              <w:t xml:space="preserve">В иных случаях КО проводит расчет предварительных месячных объемов поставки мощности по РД для поставщиков в соответствующем месяце на основании значений, указанных в </w:t>
            </w:r>
            <w:r w:rsidRPr="003579D3">
              <w:rPr>
                <w:rFonts w:ascii="Garamond" w:hAnsi="Garamond"/>
                <w:b w:val="0"/>
                <w:sz w:val="22"/>
                <w:szCs w:val="22"/>
              </w:rPr>
              <w:lastRenderedPageBreak/>
              <w:t>Сводном прогнозном балансе:</w:t>
            </w:r>
          </w:p>
          <w:p w:rsidR="006214B1" w:rsidRPr="003579D3" w:rsidRDefault="006214B1" w:rsidP="004B5B00">
            <w:pPr>
              <w:pStyle w:val="3"/>
              <w:numPr>
                <w:ilvl w:val="0"/>
                <w:numId w:val="0"/>
              </w:numPr>
              <w:spacing w:before="120" w:after="120"/>
              <w:ind w:firstLine="567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 w:rsidRPr="003579D3">
              <w:rPr>
                <w:rFonts w:ascii="Garamond" w:hAnsi="Garamond"/>
                <w:position w:val="-90"/>
                <w:sz w:val="22"/>
                <w:szCs w:val="22"/>
              </w:rPr>
              <w:object w:dxaOrig="3920" w:dyaOrig="1920">
                <v:shape id="_x0000_i1029" type="#_x0000_t75" style="width:194.95pt;height:93.75pt" o:ole="">
                  <v:imagedata r:id="rId13" o:title=""/>
                </v:shape>
                <o:OLEObject Type="Embed" ProgID="Equation.3" ShapeID="_x0000_i1029" DrawAspect="Content" ObjectID="_1672074821" r:id="rId14"/>
              </w:object>
            </w:r>
          </w:p>
          <w:p w:rsidR="006214B1" w:rsidRPr="003579D3" w:rsidRDefault="006214B1" w:rsidP="004B5B00">
            <w:pPr>
              <w:spacing w:before="120" w:after="120"/>
              <w:rPr>
                <w:szCs w:val="22"/>
              </w:rPr>
            </w:pPr>
          </w:p>
          <w:p w:rsidR="006214B1" w:rsidRPr="003579D3" w:rsidRDefault="006214B1" w:rsidP="004B5B00">
            <w:pPr>
              <w:pStyle w:val="3"/>
              <w:widowControl w:val="0"/>
              <w:numPr>
                <w:ilvl w:val="0"/>
                <w:numId w:val="0"/>
              </w:numPr>
              <w:spacing w:before="120" w:after="120"/>
              <w:ind w:firstLine="567"/>
              <w:rPr>
                <w:rFonts w:ascii="Garamond" w:hAnsi="Garamond"/>
                <w:b w:val="0"/>
                <w:bCs w:val="0"/>
                <w:iCs w:val="0"/>
                <w:sz w:val="22"/>
                <w:szCs w:val="22"/>
              </w:rPr>
            </w:pPr>
            <w:r w:rsidRPr="003579D3">
              <w:rPr>
                <w:rFonts w:ascii="Garamond" w:hAnsi="Garamond"/>
                <w:b w:val="0"/>
                <w:sz w:val="22"/>
                <w:szCs w:val="22"/>
              </w:rPr>
              <w:t>При этом для генерирующего оборудования, которое относится к генерирующим объектам, поставляющим мощность в вынужденном режиме:</w:t>
            </w:r>
          </w:p>
          <w:p w:rsidR="00942667" w:rsidRPr="003579D3" w:rsidRDefault="00942667" w:rsidP="004B5B00">
            <w:pPr>
              <w:pStyle w:val="3"/>
              <w:numPr>
                <w:ilvl w:val="0"/>
                <w:numId w:val="0"/>
              </w:numPr>
              <w:spacing w:before="120" w:after="120"/>
              <w:ind w:firstLine="567"/>
              <w:rPr>
                <w:rFonts w:ascii="Garamond" w:hAnsi="Garamond"/>
                <w:sz w:val="22"/>
                <w:szCs w:val="22"/>
              </w:rPr>
            </w:pPr>
            <w:r w:rsidRPr="003579D3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2496" w:type="pct"/>
          </w:tcPr>
          <w:p w:rsidR="00942667" w:rsidRPr="003579D3" w:rsidRDefault="00942667" w:rsidP="004B5B00">
            <w:pPr>
              <w:pStyle w:val="3"/>
              <w:numPr>
                <w:ilvl w:val="0"/>
                <w:numId w:val="0"/>
              </w:numPr>
              <w:spacing w:before="120" w:after="120"/>
              <w:ind w:firstLine="567"/>
              <w:rPr>
                <w:rFonts w:ascii="Garamond" w:hAnsi="Garamond"/>
                <w:sz w:val="22"/>
                <w:szCs w:val="22"/>
              </w:rPr>
            </w:pPr>
            <w:r w:rsidRPr="003579D3">
              <w:rPr>
                <w:rFonts w:ascii="Garamond" w:hAnsi="Garamond"/>
                <w:sz w:val="22"/>
                <w:szCs w:val="22"/>
              </w:rPr>
              <w:lastRenderedPageBreak/>
              <w:t>Расчет предварительных месячных объемов поставки мощности для поставщиков</w:t>
            </w:r>
          </w:p>
          <w:p w:rsidR="006214B1" w:rsidRPr="003579D3" w:rsidRDefault="006214B1" w:rsidP="004B5B00">
            <w:pPr>
              <w:pStyle w:val="3"/>
              <w:widowControl w:val="0"/>
              <w:numPr>
                <w:ilvl w:val="0"/>
                <w:numId w:val="0"/>
              </w:numPr>
              <w:spacing w:before="120" w:after="120"/>
              <w:ind w:left="720" w:hanging="720"/>
              <w:rPr>
                <w:rFonts w:ascii="Garamond" w:hAnsi="Garamond"/>
                <w:b w:val="0"/>
                <w:sz w:val="22"/>
                <w:szCs w:val="22"/>
              </w:rPr>
            </w:pPr>
            <w:r w:rsidRPr="003579D3">
              <w:rPr>
                <w:rFonts w:ascii="Garamond" w:hAnsi="Garamond"/>
                <w:b w:val="0"/>
                <w:sz w:val="22"/>
                <w:szCs w:val="22"/>
              </w:rPr>
              <w:t>…</w:t>
            </w:r>
          </w:p>
          <w:p w:rsidR="006214B1" w:rsidRPr="003579D3" w:rsidRDefault="006214B1" w:rsidP="004B5B00">
            <w:pPr>
              <w:pStyle w:val="3"/>
              <w:widowControl w:val="0"/>
              <w:numPr>
                <w:ilvl w:val="0"/>
                <w:numId w:val="0"/>
              </w:numPr>
              <w:spacing w:before="120" w:after="120"/>
              <w:ind w:firstLine="567"/>
              <w:rPr>
                <w:rFonts w:ascii="Garamond" w:hAnsi="Garamond"/>
                <w:b w:val="0"/>
                <w:bCs w:val="0"/>
                <w:iCs w:val="0"/>
                <w:sz w:val="22"/>
                <w:szCs w:val="22"/>
              </w:rPr>
            </w:pPr>
            <w:r w:rsidRPr="003579D3">
              <w:rPr>
                <w:rFonts w:ascii="Garamond" w:hAnsi="Garamond"/>
                <w:b w:val="0"/>
                <w:sz w:val="22"/>
                <w:szCs w:val="22"/>
              </w:rPr>
              <w:t xml:space="preserve">В иных случаях КО проводит расчет предварительных месячных объемов поставки мощности по РД для поставщиков в соответствующем </w:t>
            </w:r>
            <w:r w:rsidRPr="003579D3">
              <w:rPr>
                <w:rFonts w:ascii="Garamond" w:hAnsi="Garamond"/>
                <w:b w:val="0"/>
                <w:sz w:val="22"/>
                <w:szCs w:val="22"/>
              </w:rPr>
              <w:lastRenderedPageBreak/>
              <w:t>месяце на основании значений, указанных в Сводном прогнозном балансе:</w:t>
            </w:r>
          </w:p>
          <w:p w:rsidR="006214B1" w:rsidRPr="003579D3" w:rsidRDefault="006214B1" w:rsidP="004B5B00">
            <w:pPr>
              <w:pStyle w:val="3"/>
              <w:numPr>
                <w:ilvl w:val="0"/>
                <w:numId w:val="0"/>
              </w:numPr>
              <w:spacing w:before="120" w:after="120"/>
              <w:ind w:firstLine="567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 w:rsidRPr="003579D3">
              <w:rPr>
                <w:rFonts w:ascii="Garamond" w:hAnsi="Garamond"/>
                <w:position w:val="-90"/>
                <w:sz w:val="22"/>
                <w:szCs w:val="22"/>
              </w:rPr>
              <w:object w:dxaOrig="3920" w:dyaOrig="1920">
                <v:shape id="_x0000_i1030" type="#_x0000_t75" style="width:194.95pt;height:93.75pt" o:ole="">
                  <v:imagedata r:id="rId13" o:title=""/>
                </v:shape>
                <o:OLEObject Type="Embed" ProgID="Equation.3" ShapeID="_x0000_i1030" DrawAspect="Content" ObjectID="_1672074822" r:id="rId15"/>
              </w:object>
            </w:r>
          </w:p>
          <w:p w:rsidR="00942667" w:rsidRPr="003579D3" w:rsidRDefault="00942667" w:rsidP="004B5B00">
            <w:pPr>
              <w:spacing w:before="120" w:after="120"/>
              <w:ind w:firstLine="538"/>
              <w:jc w:val="both"/>
              <w:rPr>
                <w:bCs/>
                <w:iCs/>
                <w:szCs w:val="22"/>
                <w:highlight w:val="yellow"/>
              </w:rPr>
            </w:pPr>
            <w:r w:rsidRPr="003579D3">
              <w:rPr>
                <w:bCs/>
                <w:iCs/>
                <w:szCs w:val="22"/>
                <w:highlight w:val="yellow"/>
              </w:rPr>
              <w:t>В случае если в балансовом решении ФАС России имеются строки, содержащие значения объемов поставки электрической энергии и мощности, которые однозначно не соотносятся со строками</w:t>
            </w:r>
            <w:r w:rsidR="00DC4764" w:rsidRPr="003579D3">
              <w:rPr>
                <w:bCs/>
                <w:iCs/>
                <w:szCs w:val="22"/>
                <w:highlight w:val="yellow"/>
              </w:rPr>
              <w:t xml:space="preserve"> в</w:t>
            </w:r>
            <w:r w:rsidRPr="003579D3">
              <w:rPr>
                <w:bCs/>
                <w:iCs/>
                <w:szCs w:val="22"/>
                <w:highlight w:val="yellow"/>
              </w:rPr>
              <w:t xml:space="preserve"> тарифны</w:t>
            </w:r>
            <w:r w:rsidR="00DC4764" w:rsidRPr="003579D3">
              <w:rPr>
                <w:bCs/>
                <w:iCs/>
                <w:szCs w:val="22"/>
                <w:highlight w:val="yellow"/>
              </w:rPr>
              <w:t>х</w:t>
            </w:r>
            <w:r w:rsidRPr="003579D3">
              <w:rPr>
                <w:bCs/>
                <w:iCs/>
                <w:szCs w:val="22"/>
                <w:highlight w:val="yellow"/>
              </w:rPr>
              <w:t xml:space="preserve"> решения</w:t>
            </w:r>
            <w:r w:rsidR="00DC4764" w:rsidRPr="003579D3">
              <w:rPr>
                <w:bCs/>
                <w:iCs/>
                <w:szCs w:val="22"/>
                <w:highlight w:val="yellow"/>
              </w:rPr>
              <w:t>х</w:t>
            </w:r>
            <w:r w:rsidRPr="003579D3">
              <w:rPr>
                <w:bCs/>
                <w:iCs/>
                <w:szCs w:val="22"/>
                <w:highlight w:val="yellow"/>
              </w:rPr>
              <w:t>, указанные балансовые объ</w:t>
            </w:r>
            <w:r w:rsidR="00E14492">
              <w:rPr>
                <w:bCs/>
                <w:iCs/>
                <w:szCs w:val="22"/>
                <w:highlight w:val="yellow"/>
              </w:rPr>
              <w:t>е</w:t>
            </w:r>
            <w:r w:rsidRPr="003579D3">
              <w:rPr>
                <w:bCs/>
                <w:iCs/>
                <w:szCs w:val="22"/>
                <w:highlight w:val="yellow"/>
              </w:rPr>
              <w:t>мы распределяются следующим образом:</w:t>
            </w:r>
          </w:p>
          <w:p w:rsidR="00942667" w:rsidRPr="003579D3" w:rsidRDefault="00942667" w:rsidP="004B5B00">
            <w:pPr>
              <w:spacing w:before="120" w:after="120"/>
              <w:ind w:firstLine="538"/>
              <w:jc w:val="both"/>
              <w:rPr>
                <w:bCs/>
                <w:iCs/>
                <w:szCs w:val="22"/>
                <w:highlight w:val="yellow"/>
              </w:rPr>
            </w:pPr>
            <w:r w:rsidRPr="003579D3">
              <w:rPr>
                <w:bCs/>
                <w:iCs/>
                <w:szCs w:val="22"/>
                <w:highlight w:val="yellow"/>
              </w:rPr>
              <w:t xml:space="preserve">Каждая строка </w:t>
            </w:r>
            <m:oMath>
              <m:r>
                <w:rPr>
                  <w:rFonts w:ascii="Cambria Math" w:hAnsi="Cambria Math"/>
                  <w:szCs w:val="22"/>
                  <w:highlight w:val="yellow"/>
                </w:rPr>
                <m:t>i</m:t>
              </m:r>
            </m:oMath>
            <w:r w:rsidRPr="003579D3">
              <w:rPr>
                <w:bCs/>
                <w:iCs/>
                <w:szCs w:val="22"/>
                <w:highlight w:val="yellow"/>
              </w:rPr>
              <w:t xml:space="preserve"> баланса разделяется на несколько строк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bCs/>
                      <w:iCs/>
                      <w:szCs w:val="22"/>
                      <w:highlight w:val="yellow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Cs/>
                          <w:szCs w:val="22"/>
                          <w:highlight w:val="yellow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2"/>
                          <w:highlight w:val="yellow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szCs w:val="22"/>
                          <w:highlight w:val="yellow"/>
                        </w:rPr>
                        <m:t>k</m:t>
                      </m:r>
                    </m:sub>
                  </m:sSub>
                </m:e>
              </m:d>
            </m:oMath>
            <w:r w:rsidRPr="003579D3">
              <w:rPr>
                <w:bCs/>
                <w:iCs/>
                <w:szCs w:val="22"/>
                <w:highlight w:val="yellow"/>
              </w:rPr>
              <w:t xml:space="preserve"> таким образом, чтобы </w:t>
            </w:r>
            <w:r w:rsidR="00E14492" w:rsidRPr="003579D3">
              <w:rPr>
                <w:szCs w:val="22"/>
                <w:highlight w:val="yellow"/>
              </w:rPr>
              <w:t>генерирующе</w:t>
            </w:r>
            <w:r w:rsidR="00E14492">
              <w:rPr>
                <w:szCs w:val="22"/>
                <w:highlight w:val="yellow"/>
              </w:rPr>
              <w:t>е</w:t>
            </w:r>
            <w:r w:rsidR="00E14492" w:rsidRPr="003579D3">
              <w:rPr>
                <w:szCs w:val="22"/>
                <w:highlight w:val="yellow"/>
              </w:rPr>
              <w:t xml:space="preserve"> </w:t>
            </w:r>
            <w:r w:rsidRPr="003579D3">
              <w:rPr>
                <w:bCs/>
                <w:iCs/>
                <w:szCs w:val="22"/>
                <w:highlight w:val="yellow"/>
              </w:rPr>
              <w:t>оборудование, входящее в состав каждой раздел</w:t>
            </w:r>
            <w:r w:rsidR="00E14492">
              <w:rPr>
                <w:bCs/>
                <w:iCs/>
                <w:szCs w:val="22"/>
                <w:highlight w:val="yellow"/>
              </w:rPr>
              <w:t>е</w:t>
            </w:r>
            <w:r w:rsidRPr="003579D3">
              <w:rPr>
                <w:bCs/>
                <w:iCs/>
                <w:szCs w:val="22"/>
                <w:highlight w:val="yellow"/>
              </w:rPr>
              <w:t xml:space="preserve">нной строки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Cs/>
                      <w:szCs w:val="22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k</m:t>
                  </m:r>
                </m:sub>
              </m:sSub>
              <m:r>
                <w:rPr>
                  <w:rFonts w:ascii="Cambria Math" w:hAnsi="Cambria Math"/>
                  <w:szCs w:val="22"/>
                  <w:highlight w:val="yellow"/>
                </w:rPr>
                <m:t>,</m:t>
              </m:r>
            </m:oMath>
            <w:r w:rsidRPr="003579D3">
              <w:rPr>
                <w:bCs/>
                <w:iCs/>
                <w:szCs w:val="22"/>
                <w:highlight w:val="yellow"/>
              </w:rPr>
              <w:t xml:space="preserve"> было представлено только в одной строке тарифного решения.</w:t>
            </w:r>
          </w:p>
          <w:p w:rsidR="00942667" w:rsidRPr="003579D3" w:rsidRDefault="00942667" w:rsidP="004B5B00">
            <w:pPr>
              <w:spacing w:before="120" w:after="120"/>
              <w:ind w:firstLine="538"/>
              <w:jc w:val="both"/>
              <w:rPr>
                <w:bCs/>
                <w:iCs/>
                <w:szCs w:val="22"/>
                <w:highlight w:val="yellow"/>
              </w:rPr>
            </w:pPr>
            <w:r w:rsidRPr="003579D3">
              <w:rPr>
                <w:bCs/>
                <w:iCs/>
                <w:szCs w:val="22"/>
                <w:highlight w:val="yellow"/>
              </w:rPr>
              <w:t xml:space="preserve">Объем мощности, указанный в строке </w:t>
            </w:r>
            <m:oMath>
              <m:r>
                <w:rPr>
                  <w:rFonts w:ascii="Cambria Math" w:hAnsi="Cambria Math"/>
                  <w:szCs w:val="22"/>
                  <w:highlight w:val="yellow"/>
                </w:rPr>
                <m:t>i,</m:t>
              </m:r>
              <m:r>
                <m:rPr>
                  <m:sty m:val="p"/>
                </m:rPr>
                <w:rPr>
                  <w:rFonts w:ascii="Cambria Math" w:hAnsi="Cambria Math"/>
                  <w:szCs w:val="22"/>
                  <w:highlight w:val="yellow"/>
                </w:rPr>
                <m:t xml:space="preserve"> </m:t>
              </m:r>
            </m:oMath>
            <w:r w:rsidRPr="003579D3">
              <w:rPr>
                <w:bCs/>
                <w:iCs/>
                <w:szCs w:val="22"/>
                <w:highlight w:val="yellow"/>
              </w:rPr>
              <w:t xml:space="preserve">распределяется по строкам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bCs/>
                      <w:iCs/>
                      <w:szCs w:val="22"/>
                      <w:highlight w:val="yellow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Cs/>
                          <w:szCs w:val="22"/>
                          <w:highlight w:val="yellow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2"/>
                          <w:highlight w:val="yellow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szCs w:val="22"/>
                          <w:highlight w:val="yellow"/>
                        </w:rPr>
                        <m:t>k</m:t>
                      </m:r>
                    </m:sub>
                  </m:sSub>
                </m:e>
              </m:d>
            </m:oMath>
            <w:r w:rsidRPr="003579D3">
              <w:rPr>
                <w:bCs/>
                <w:iCs/>
                <w:szCs w:val="22"/>
                <w:highlight w:val="yellow"/>
              </w:rPr>
              <w:t xml:space="preserve"> пропорционально </w:t>
            </w:r>
            <w:r w:rsidR="00625E8A" w:rsidRPr="003579D3">
              <w:rPr>
                <w:bCs/>
                <w:iCs/>
                <w:szCs w:val="22"/>
                <w:highlight w:val="yellow"/>
              </w:rPr>
              <w:t xml:space="preserve">суммарному годовому объему </w:t>
            </w:r>
            <w:r w:rsidR="007B2F8F" w:rsidRPr="003579D3">
              <w:rPr>
                <w:bCs/>
                <w:iCs/>
                <w:szCs w:val="22"/>
                <w:highlight w:val="yellow"/>
              </w:rPr>
              <w:t>располагаемой мощности ЕГО, указанно</w:t>
            </w:r>
            <w:r w:rsidR="00625E8A" w:rsidRPr="003579D3">
              <w:rPr>
                <w:bCs/>
                <w:iCs/>
                <w:szCs w:val="22"/>
                <w:highlight w:val="yellow"/>
              </w:rPr>
              <w:t>му</w:t>
            </w:r>
            <w:r w:rsidR="007B2F8F" w:rsidRPr="003579D3">
              <w:rPr>
                <w:bCs/>
                <w:iCs/>
                <w:szCs w:val="22"/>
                <w:highlight w:val="yellow"/>
              </w:rPr>
              <w:t xml:space="preserve"> в ценовой заявке КОМ</w:t>
            </w:r>
            <w:r w:rsidRPr="003579D3">
              <w:rPr>
                <w:bCs/>
                <w:iCs/>
                <w:szCs w:val="22"/>
                <w:highlight w:val="yellow"/>
              </w:rPr>
              <w:t xml:space="preserve"> на расчетный год, приходящейся на </w:t>
            </w:r>
            <w:r w:rsidR="00E14492" w:rsidRPr="003579D3">
              <w:rPr>
                <w:szCs w:val="22"/>
                <w:highlight w:val="yellow"/>
              </w:rPr>
              <w:t>генерирующе</w:t>
            </w:r>
            <w:r w:rsidR="00E14492">
              <w:rPr>
                <w:szCs w:val="22"/>
                <w:highlight w:val="yellow"/>
              </w:rPr>
              <w:t>е</w:t>
            </w:r>
            <w:r w:rsidR="00E14492" w:rsidRPr="003579D3">
              <w:rPr>
                <w:szCs w:val="22"/>
                <w:highlight w:val="yellow"/>
              </w:rPr>
              <w:t xml:space="preserve"> </w:t>
            </w:r>
            <w:r w:rsidRPr="003579D3">
              <w:rPr>
                <w:bCs/>
                <w:iCs/>
                <w:szCs w:val="22"/>
                <w:highlight w:val="yellow"/>
              </w:rPr>
              <w:t xml:space="preserve">оборудование, указанное в разнесенной строке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Cs/>
                      <w:szCs w:val="22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k</m:t>
                  </m:r>
                </m:sub>
              </m:sSub>
            </m:oMath>
            <w:r w:rsidR="00E14492">
              <w:rPr>
                <w:bCs/>
                <w:iCs/>
                <w:szCs w:val="22"/>
                <w:highlight w:val="yellow"/>
              </w:rPr>
              <w:t>:</w:t>
            </w:r>
            <w:r w:rsidRPr="003579D3">
              <w:rPr>
                <w:bCs/>
                <w:iCs/>
                <w:szCs w:val="22"/>
                <w:highlight w:val="yellow"/>
              </w:rPr>
              <w:t xml:space="preserve"> </w:t>
            </w:r>
          </w:p>
          <w:p w:rsidR="00942667" w:rsidRPr="003579D3" w:rsidRDefault="006070D7" w:rsidP="004B5B00">
            <w:pPr>
              <w:spacing w:before="120" w:after="120"/>
              <w:ind w:left="720"/>
              <w:jc w:val="both"/>
              <w:rPr>
                <w:bCs/>
                <w:iCs/>
                <w:szCs w:val="22"/>
                <w:highlight w:val="yellow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Cs/>
                        <w:iCs/>
                        <w:szCs w:val="22"/>
                        <w:highlight w:val="yellow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2"/>
                        <w:highlight w:val="yellow"/>
                      </w:rPr>
                      <m:t>P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Cs/>
                            <w:szCs w:val="22"/>
                            <w:highlight w:val="yellow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2"/>
                            <w:highlight w:val="yellow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2"/>
                            <w:highlight w:val="yellow"/>
                          </w:rPr>
                          <m:t>k</m:t>
                        </m:r>
                      </m:sub>
                    </m:sSub>
                    <m:r>
                      <w:rPr>
                        <w:rFonts w:ascii="Cambria Math" w:hAnsi="Cambria Math"/>
                        <w:szCs w:val="22"/>
                        <w:highlight w:val="yellow"/>
                      </w:rPr>
                      <m:t>m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  <w:highlight w:val="yellow"/>
                      </w:rPr>
                      <m:t>пост_РД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szCs w:val="22"/>
                    <w:highlight w:val="yellow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Cs/>
                        <w:szCs w:val="22"/>
                        <w:highlight w:val="yellow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bCs/>
                            <w:iCs/>
                            <w:szCs w:val="22"/>
                            <w:highlight w:val="yellow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Cs w:val="22"/>
                            <w:highlight w:val="yellow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2"/>
                            <w:highlight w:val="yellow"/>
                          </w:rPr>
                          <m:t>im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2"/>
                            <w:highlight w:val="yellow"/>
                          </w:rPr>
                          <m:t>пост_РД</m:t>
                        </m:r>
                      </m:sup>
                    </m:sSubSup>
                    <m:r>
                      <w:rPr>
                        <w:rFonts w:ascii="Cambria Math" w:hAnsi="Cambria Math"/>
                        <w:szCs w:val="22"/>
                        <w:highlight w:val="yellow"/>
                      </w:rPr>
                      <m:t>∙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bCs/>
                            <w:iCs/>
                            <w:szCs w:val="22"/>
                            <w:highlight w:val="yellow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Cs w:val="22"/>
                            <w:highlight w:val="yellow"/>
                          </w:rPr>
                          <m:t>P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Cs w:val="22"/>
                                <w:lang w:val="en-US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Cs w:val="22"/>
                              </w:rPr>
                              <m:t>k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/>
                            <w:szCs w:val="22"/>
                            <w:highlight w:val="yellow"/>
                          </w:rPr>
                          <m:t>расп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bCs/>
                            <w:iCs/>
                            <w:szCs w:val="22"/>
                            <w:highlight w:val="yellow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Cs w:val="22"/>
                            <w:highlight w:val="yellow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2"/>
                            <w:highlight w:val="yellow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Cs w:val="22"/>
                            <w:highlight w:val="yellow"/>
                          </w:rPr>
                          <m:t>расп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Cs w:val="22"/>
                    <w:highlight w:val="yellow"/>
                  </w:rPr>
                  <m:t>,</m:t>
                </m:r>
              </m:oMath>
            </m:oMathPara>
          </w:p>
          <w:p w:rsidR="00942667" w:rsidRPr="003579D3" w:rsidRDefault="00942667" w:rsidP="004B5B00">
            <w:pPr>
              <w:spacing w:before="120" w:after="120"/>
              <w:jc w:val="both"/>
              <w:rPr>
                <w:bCs/>
                <w:iCs/>
                <w:szCs w:val="22"/>
                <w:highlight w:val="yellow"/>
              </w:rPr>
            </w:pPr>
            <w:r w:rsidRPr="003579D3">
              <w:rPr>
                <w:bCs/>
                <w:iCs/>
                <w:szCs w:val="22"/>
                <w:highlight w:val="yellow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bCs/>
                      <w:iCs/>
                      <w:szCs w:val="22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P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2"/>
                          <w:lang w:val="en-US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szCs w:val="22"/>
                        </w:rPr>
                        <m:t>k</m:t>
                      </m:r>
                    </m:sub>
                  </m:sSub>
                </m:sub>
                <m:sup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расп</m:t>
                  </m:r>
                </m:sup>
              </m:sSubSup>
            </m:oMath>
            <w:r w:rsidRPr="003579D3">
              <w:rPr>
                <w:bCs/>
                <w:iCs/>
                <w:szCs w:val="22"/>
                <w:highlight w:val="yellow"/>
              </w:rPr>
              <w:t xml:space="preserve"> </w:t>
            </w:r>
            <w:r w:rsidR="00625E8A" w:rsidRPr="003579D3">
              <w:rPr>
                <w:bCs/>
                <w:iCs/>
                <w:szCs w:val="22"/>
                <w:highlight w:val="yellow"/>
              </w:rPr>
              <w:t>–</w:t>
            </w:r>
            <w:r w:rsidRPr="003579D3">
              <w:rPr>
                <w:bCs/>
                <w:iCs/>
                <w:szCs w:val="22"/>
                <w:highlight w:val="yellow"/>
              </w:rPr>
              <w:t xml:space="preserve"> </w:t>
            </w:r>
            <w:r w:rsidR="00625E8A" w:rsidRPr="003579D3">
              <w:rPr>
                <w:bCs/>
                <w:iCs/>
                <w:szCs w:val="22"/>
                <w:highlight w:val="yellow"/>
              </w:rPr>
              <w:t xml:space="preserve">суммарный годовой </w:t>
            </w:r>
            <w:r w:rsidRPr="003579D3">
              <w:rPr>
                <w:bCs/>
                <w:iCs/>
                <w:szCs w:val="22"/>
                <w:highlight w:val="yellow"/>
              </w:rPr>
              <w:t xml:space="preserve">объем </w:t>
            </w:r>
            <w:r w:rsidR="007B2F8F" w:rsidRPr="003579D3">
              <w:rPr>
                <w:bCs/>
                <w:iCs/>
                <w:szCs w:val="22"/>
                <w:highlight w:val="yellow"/>
              </w:rPr>
              <w:t>располагаемой мощности ЕГО, указанн</w:t>
            </w:r>
            <w:r w:rsidR="00625E8A" w:rsidRPr="003579D3">
              <w:rPr>
                <w:bCs/>
                <w:iCs/>
                <w:szCs w:val="22"/>
                <w:highlight w:val="yellow"/>
              </w:rPr>
              <w:t>ый</w:t>
            </w:r>
            <w:r w:rsidR="007B2F8F" w:rsidRPr="003579D3">
              <w:rPr>
                <w:bCs/>
                <w:iCs/>
                <w:szCs w:val="22"/>
                <w:highlight w:val="yellow"/>
              </w:rPr>
              <w:t xml:space="preserve"> в ценовой заявке КОМ на расчетный год</w:t>
            </w:r>
            <w:r w:rsidRPr="003579D3">
              <w:rPr>
                <w:bCs/>
                <w:iCs/>
                <w:szCs w:val="22"/>
                <w:highlight w:val="yellow"/>
              </w:rPr>
              <w:t xml:space="preserve">, приходящейся на </w:t>
            </w:r>
            <w:r w:rsidR="00E14492" w:rsidRPr="003579D3">
              <w:rPr>
                <w:szCs w:val="22"/>
                <w:highlight w:val="yellow"/>
              </w:rPr>
              <w:t>генерирующе</w:t>
            </w:r>
            <w:r w:rsidR="00E14492">
              <w:rPr>
                <w:szCs w:val="22"/>
                <w:highlight w:val="yellow"/>
              </w:rPr>
              <w:t>е</w:t>
            </w:r>
            <w:r w:rsidR="00E14492" w:rsidRPr="003579D3">
              <w:rPr>
                <w:szCs w:val="22"/>
                <w:highlight w:val="yellow"/>
              </w:rPr>
              <w:t xml:space="preserve"> </w:t>
            </w:r>
            <w:r w:rsidRPr="003579D3">
              <w:rPr>
                <w:bCs/>
                <w:iCs/>
                <w:szCs w:val="22"/>
                <w:highlight w:val="yellow"/>
              </w:rPr>
              <w:t>оборудование, указанное в разнесенной строке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Cs/>
                      <w:szCs w:val="22"/>
                      <w:highlight w:val="yellow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  <w:highlight w:val="yellow"/>
                    </w:rPr>
                    <m:t xml:space="preserve"> </m:t>
                  </m:r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k</m:t>
                  </m:r>
                </m:sub>
              </m:sSub>
            </m:oMath>
            <w:r w:rsidR="00E14492">
              <w:rPr>
                <w:bCs/>
                <w:iCs/>
                <w:szCs w:val="22"/>
                <w:highlight w:val="yellow"/>
              </w:rPr>
              <w:t>;</w:t>
            </w:r>
          </w:p>
          <w:p w:rsidR="00942667" w:rsidRPr="003579D3" w:rsidRDefault="006070D7" w:rsidP="004B5B00">
            <w:pPr>
              <w:spacing w:before="120" w:after="120"/>
              <w:jc w:val="both"/>
              <w:rPr>
                <w:bCs/>
                <w:iCs/>
                <w:szCs w:val="22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bCs/>
                      <w:iCs/>
                      <w:szCs w:val="22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  <w:szCs w:val="22"/>
                      <w:highlight w:val="yellow"/>
                    </w:rPr>
                    <m:t>расп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Cs w:val="22"/>
                  <w:highlight w:val="yellow"/>
                </w:rPr>
                <m:t>=</m:t>
              </m:r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bCs/>
                      <w:i/>
                      <w:iCs/>
                      <w:szCs w:val="22"/>
                    </w:rPr>
                  </m:ctrlPr>
                </m:naryPr>
                <m:sub>
                  <m:r>
                    <w:rPr>
                      <w:rFonts w:ascii="Cambria Math" w:hAnsi="Cambria Math"/>
                      <w:szCs w:val="22"/>
                      <w:lang w:val="en-US"/>
                    </w:rPr>
                    <m:t>k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bCs/>
                          <w:iCs/>
                          <w:szCs w:val="22"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Cs w:val="22"/>
                          <w:highlight w:val="yellow"/>
                        </w:rPr>
                        <m:t>P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2"/>
                              <w:lang w:val="en-US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2"/>
                            </w:rPr>
                            <m:t>k</m:t>
                          </m:r>
                        </m:sub>
                      </m:sSub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2"/>
                          <w:highlight w:val="yellow"/>
                        </w:rPr>
                        <m:t>расп</m:t>
                      </m:r>
                    </m:sup>
                  </m:sSubSup>
                </m:e>
              </m:nary>
            </m:oMath>
            <w:r w:rsidR="00942667" w:rsidRPr="003579D3">
              <w:rPr>
                <w:bCs/>
                <w:iCs/>
                <w:szCs w:val="22"/>
                <w:highlight w:val="yellow"/>
              </w:rPr>
              <w:t xml:space="preserve"> </w:t>
            </w:r>
            <w:r w:rsidR="00E14492">
              <w:rPr>
                <w:bCs/>
                <w:iCs/>
                <w:szCs w:val="22"/>
                <w:highlight w:val="yellow"/>
              </w:rPr>
              <w:t xml:space="preserve">– </w:t>
            </w:r>
            <w:r w:rsidR="00625E8A" w:rsidRPr="003579D3">
              <w:rPr>
                <w:bCs/>
                <w:iCs/>
                <w:szCs w:val="22"/>
                <w:highlight w:val="yellow"/>
              </w:rPr>
              <w:t xml:space="preserve">суммарный годовой </w:t>
            </w:r>
            <w:r w:rsidR="00942667" w:rsidRPr="003579D3">
              <w:rPr>
                <w:bCs/>
                <w:iCs/>
                <w:szCs w:val="22"/>
                <w:highlight w:val="yellow"/>
              </w:rPr>
              <w:t>объем</w:t>
            </w:r>
            <w:r w:rsidR="007B2F8F" w:rsidRPr="003579D3">
              <w:rPr>
                <w:bCs/>
                <w:iCs/>
                <w:szCs w:val="22"/>
                <w:highlight w:val="yellow"/>
              </w:rPr>
              <w:t xml:space="preserve"> располагаемой мощности ЕГО, указанн</w:t>
            </w:r>
            <w:r w:rsidR="00625E8A" w:rsidRPr="003579D3">
              <w:rPr>
                <w:bCs/>
                <w:iCs/>
                <w:szCs w:val="22"/>
                <w:highlight w:val="yellow"/>
              </w:rPr>
              <w:t>ый</w:t>
            </w:r>
            <w:r w:rsidR="007B2F8F" w:rsidRPr="003579D3">
              <w:rPr>
                <w:bCs/>
                <w:iCs/>
                <w:szCs w:val="22"/>
                <w:highlight w:val="yellow"/>
              </w:rPr>
              <w:t xml:space="preserve"> в ценовой заявке КОМ на расчетный год</w:t>
            </w:r>
            <w:r w:rsidR="00942667" w:rsidRPr="003579D3">
              <w:rPr>
                <w:bCs/>
                <w:iCs/>
                <w:szCs w:val="22"/>
                <w:highlight w:val="yellow"/>
              </w:rPr>
              <w:t xml:space="preserve">, приходящейся на </w:t>
            </w:r>
            <w:r w:rsidR="00E14492" w:rsidRPr="003579D3">
              <w:rPr>
                <w:szCs w:val="22"/>
                <w:highlight w:val="yellow"/>
              </w:rPr>
              <w:t>генерирующе</w:t>
            </w:r>
            <w:r w:rsidR="00E14492">
              <w:rPr>
                <w:szCs w:val="22"/>
                <w:highlight w:val="yellow"/>
              </w:rPr>
              <w:t>е</w:t>
            </w:r>
            <w:r w:rsidR="00E14492" w:rsidRPr="003579D3">
              <w:rPr>
                <w:szCs w:val="22"/>
                <w:highlight w:val="yellow"/>
              </w:rPr>
              <w:t xml:space="preserve"> </w:t>
            </w:r>
            <w:r w:rsidR="00942667" w:rsidRPr="003579D3">
              <w:rPr>
                <w:bCs/>
                <w:iCs/>
                <w:szCs w:val="22"/>
                <w:highlight w:val="yellow"/>
              </w:rPr>
              <w:t>оборудование, указанное в неразнес</w:t>
            </w:r>
            <w:r w:rsidR="00E14492">
              <w:rPr>
                <w:bCs/>
                <w:iCs/>
                <w:szCs w:val="22"/>
                <w:highlight w:val="yellow"/>
              </w:rPr>
              <w:t>е</w:t>
            </w:r>
            <w:r w:rsidR="00942667" w:rsidRPr="003579D3">
              <w:rPr>
                <w:bCs/>
                <w:iCs/>
                <w:szCs w:val="22"/>
                <w:highlight w:val="yellow"/>
              </w:rPr>
              <w:t xml:space="preserve">нной строке </w:t>
            </w:r>
            <m:oMath>
              <m:r>
                <w:rPr>
                  <w:rFonts w:ascii="Cambria Math" w:hAnsi="Cambria Math"/>
                  <w:szCs w:val="22"/>
                  <w:highlight w:val="yellow"/>
                </w:rPr>
                <m:t>i</m:t>
              </m:r>
            </m:oMath>
            <w:r w:rsidR="00FA6722" w:rsidRPr="003579D3">
              <w:rPr>
                <w:szCs w:val="22"/>
              </w:rPr>
              <w:t>.</w:t>
            </w:r>
          </w:p>
          <w:p w:rsidR="00D16067" w:rsidRPr="003579D3" w:rsidRDefault="00D16067" w:rsidP="004B5B00">
            <w:pPr>
              <w:pStyle w:val="3"/>
              <w:widowControl w:val="0"/>
              <w:numPr>
                <w:ilvl w:val="0"/>
                <w:numId w:val="0"/>
              </w:numPr>
              <w:spacing w:before="120" w:after="120"/>
              <w:ind w:firstLine="567"/>
              <w:rPr>
                <w:rFonts w:ascii="Garamond" w:hAnsi="Garamond"/>
                <w:b w:val="0"/>
                <w:sz w:val="22"/>
                <w:szCs w:val="22"/>
              </w:rPr>
            </w:pPr>
            <w:r w:rsidRPr="003579D3">
              <w:rPr>
                <w:rFonts w:ascii="Garamond" w:hAnsi="Garamond"/>
                <w:b w:val="0"/>
                <w:sz w:val="22"/>
                <w:szCs w:val="22"/>
              </w:rPr>
              <w:t>При этом для генерирующего оборудования, которое относится к генерирующим объектам, поставляющим мощность в вынужденном режиме:</w:t>
            </w:r>
          </w:p>
          <w:p w:rsidR="00942667" w:rsidRPr="003579D3" w:rsidRDefault="00D16067" w:rsidP="004B5B00">
            <w:pPr>
              <w:pStyle w:val="3"/>
              <w:numPr>
                <w:ilvl w:val="0"/>
                <w:numId w:val="0"/>
              </w:numPr>
              <w:spacing w:before="120" w:after="120"/>
              <w:ind w:firstLine="567"/>
              <w:rPr>
                <w:rFonts w:ascii="Garamond" w:hAnsi="Garamond"/>
                <w:sz w:val="22"/>
                <w:szCs w:val="22"/>
              </w:rPr>
            </w:pPr>
            <w:r w:rsidRPr="003579D3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</w:tbl>
    <w:p w:rsidR="00BF079A" w:rsidRDefault="00BF079A" w:rsidP="00BF079A">
      <w:pPr>
        <w:pStyle w:val="a3"/>
        <w:spacing w:before="0"/>
        <w:jc w:val="left"/>
        <w:rPr>
          <w:sz w:val="26"/>
          <w:szCs w:val="26"/>
        </w:rPr>
      </w:pPr>
    </w:p>
    <w:sectPr w:rsidR="00BF079A" w:rsidSect="006070D7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29D" w:rsidRDefault="0043329D" w:rsidP="00886DB9">
      <w:pPr>
        <w:spacing w:before="0" w:after="0"/>
      </w:pPr>
      <w:r>
        <w:separator/>
      </w:r>
    </w:p>
  </w:endnote>
  <w:endnote w:type="continuationSeparator" w:id="0">
    <w:p w:rsidR="0043329D" w:rsidRDefault="0043329D" w:rsidP="00886DB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29D" w:rsidRDefault="0043329D" w:rsidP="00886DB9">
      <w:pPr>
        <w:spacing w:before="0" w:after="0"/>
      </w:pPr>
      <w:r>
        <w:separator/>
      </w:r>
    </w:p>
  </w:footnote>
  <w:footnote w:type="continuationSeparator" w:id="0">
    <w:p w:rsidR="0043329D" w:rsidRDefault="0043329D" w:rsidP="00886DB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C0F55"/>
    <w:multiLevelType w:val="multilevel"/>
    <w:tmpl w:val="744AB622"/>
    <w:lvl w:ilvl="0">
      <w:start w:val="4"/>
      <w:numFmt w:val="upperRoman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>
    <w:nsid w:val="163B0F62"/>
    <w:multiLevelType w:val="hybridMultilevel"/>
    <w:tmpl w:val="970E596A"/>
    <w:lvl w:ilvl="0" w:tplc="8D30E4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A20353"/>
    <w:multiLevelType w:val="hybridMultilevel"/>
    <w:tmpl w:val="49F477CE"/>
    <w:lvl w:ilvl="0" w:tplc="04190019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C7"/>
    <w:rsid w:val="0008217C"/>
    <w:rsid w:val="000C55AC"/>
    <w:rsid w:val="00105726"/>
    <w:rsid w:val="00150032"/>
    <w:rsid w:val="00163EC7"/>
    <w:rsid w:val="001673FB"/>
    <w:rsid w:val="00171A3E"/>
    <w:rsid w:val="00173470"/>
    <w:rsid w:val="001A71BD"/>
    <w:rsid w:val="00233550"/>
    <w:rsid w:val="002544DB"/>
    <w:rsid w:val="00262592"/>
    <w:rsid w:val="00264795"/>
    <w:rsid w:val="002D5A84"/>
    <w:rsid w:val="002F3BF5"/>
    <w:rsid w:val="0033021F"/>
    <w:rsid w:val="00336B9A"/>
    <w:rsid w:val="003579D3"/>
    <w:rsid w:val="003E2226"/>
    <w:rsid w:val="00413159"/>
    <w:rsid w:val="0043329D"/>
    <w:rsid w:val="004B5B00"/>
    <w:rsid w:val="004C11CB"/>
    <w:rsid w:val="004F3BBA"/>
    <w:rsid w:val="00535427"/>
    <w:rsid w:val="00552599"/>
    <w:rsid w:val="0057441A"/>
    <w:rsid w:val="00601624"/>
    <w:rsid w:val="006070D7"/>
    <w:rsid w:val="00610629"/>
    <w:rsid w:val="006214B1"/>
    <w:rsid w:val="00625E8A"/>
    <w:rsid w:val="0075636F"/>
    <w:rsid w:val="00771CAA"/>
    <w:rsid w:val="007B2F8F"/>
    <w:rsid w:val="007C48CD"/>
    <w:rsid w:val="007E45D8"/>
    <w:rsid w:val="007E4606"/>
    <w:rsid w:val="00837F70"/>
    <w:rsid w:val="00846AD0"/>
    <w:rsid w:val="00857A6A"/>
    <w:rsid w:val="00886DB9"/>
    <w:rsid w:val="00914117"/>
    <w:rsid w:val="0092534B"/>
    <w:rsid w:val="00942667"/>
    <w:rsid w:val="00991D8F"/>
    <w:rsid w:val="009A667D"/>
    <w:rsid w:val="00A22B42"/>
    <w:rsid w:val="00A51A40"/>
    <w:rsid w:val="00A9353F"/>
    <w:rsid w:val="00A96623"/>
    <w:rsid w:val="00AD50ED"/>
    <w:rsid w:val="00AE7B07"/>
    <w:rsid w:val="00BA5089"/>
    <w:rsid w:val="00BB1494"/>
    <w:rsid w:val="00BD4F64"/>
    <w:rsid w:val="00BF079A"/>
    <w:rsid w:val="00C04776"/>
    <w:rsid w:val="00C824B6"/>
    <w:rsid w:val="00CB44A8"/>
    <w:rsid w:val="00D16067"/>
    <w:rsid w:val="00DA1240"/>
    <w:rsid w:val="00DC0A2E"/>
    <w:rsid w:val="00DC4764"/>
    <w:rsid w:val="00E14492"/>
    <w:rsid w:val="00F13374"/>
    <w:rsid w:val="00F7223C"/>
    <w:rsid w:val="00FA6722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1DBC4DD5-F540-4D01-AE38-3CCA0EDCD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EC7"/>
    <w:pPr>
      <w:spacing w:before="180" w:after="60" w:line="240" w:lineRule="auto"/>
    </w:pPr>
    <w:rPr>
      <w:rFonts w:ascii="Garamond" w:eastAsia="Times New Roman" w:hAnsi="Garamond" w:cs="Times New Roman"/>
      <w:szCs w:val="20"/>
    </w:rPr>
  </w:style>
  <w:style w:type="paragraph" w:styleId="1">
    <w:name w:val="heading 1"/>
    <w:aliases w:val="111,Заголовок параграфа (1.),Section,Section Heading,level2 hdg"/>
    <w:basedOn w:val="a"/>
    <w:next w:val="a"/>
    <w:link w:val="10"/>
    <w:autoRedefine/>
    <w:uiPriority w:val="99"/>
    <w:qFormat/>
    <w:rsid w:val="00BB1494"/>
    <w:pPr>
      <w:keepNext/>
      <w:numPr>
        <w:numId w:val="2"/>
      </w:numPr>
      <w:spacing w:before="360" w:after="240"/>
      <w:outlineLvl w:val="0"/>
    </w:pPr>
    <w:rPr>
      <w:rFonts w:ascii="Arial" w:hAnsi="Arial"/>
      <w:b/>
      <w:bCs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6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aliases w:val="H3,Level 1 - 1,Заголовок подпукта (1.1.1),o"/>
    <w:basedOn w:val="a"/>
    <w:next w:val="a"/>
    <w:link w:val="30"/>
    <w:uiPriority w:val="99"/>
    <w:qFormat/>
    <w:rsid w:val="00BB1494"/>
    <w:pPr>
      <w:keepNext/>
      <w:numPr>
        <w:ilvl w:val="2"/>
        <w:numId w:val="2"/>
      </w:numPr>
      <w:spacing w:before="0" w:after="0"/>
      <w:jc w:val="both"/>
      <w:outlineLvl w:val="2"/>
    </w:pPr>
    <w:rPr>
      <w:rFonts w:ascii="Calibri" w:hAnsi="Calibri"/>
      <w:b/>
      <w:bCs/>
      <w:iCs/>
      <w:sz w:val="20"/>
    </w:rPr>
  </w:style>
  <w:style w:type="paragraph" w:styleId="4">
    <w:name w:val="heading 4"/>
    <w:aliases w:val="Sub-Minor,Level 2 - a,H4,H41"/>
    <w:basedOn w:val="a"/>
    <w:link w:val="40"/>
    <w:uiPriority w:val="99"/>
    <w:qFormat/>
    <w:rsid w:val="00BB1494"/>
    <w:pPr>
      <w:numPr>
        <w:ilvl w:val="3"/>
        <w:numId w:val="2"/>
      </w:numPr>
      <w:spacing w:before="120" w:after="120"/>
      <w:jc w:val="both"/>
      <w:outlineLvl w:val="3"/>
    </w:pPr>
    <w:rPr>
      <w:rFonts w:ascii="Times New Roman" w:hAnsi="Times New Roman"/>
    </w:rPr>
  </w:style>
  <w:style w:type="paragraph" w:styleId="5">
    <w:name w:val="heading 5"/>
    <w:aliases w:val="h5,h51,H5,H51,h52,test,Block Label,Level 3 - i"/>
    <w:basedOn w:val="a"/>
    <w:link w:val="50"/>
    <w:uiPriority w:val="99"/>
    <w:qFormat/>
    <w:rsid w:val="00BB1494"/>
    <w:pPr>
      <w:numPr>
        <w:ilvl w:val="4"/>
        <w:numId w:val="2"/>
      </w:numPr>
      <w:spacing w:before="120" w:after="120"/>
      <w:jc w:val="both"/>
      <w:outlineLvl w:val="4"/>
    </w:pPr>
    <w:rPr>
      <w:rFonts w:ascii="Times New Roman" w:hAnsi="Times New Roman"/>
    </w:rPr>
  </w:style>
  <w:style w:type="paragraph" w:styleId="6">
    <w:name w:val="heading 6"/>
    <w:aliases w:val="Legal Level 1."/>
    <w:basedOn w:val="a"/>
    <w:next w:val="5"/>
    <w:link w:val="60"/>
    <w:uiPriority w:val="99"/>
    <w:qFormat/>
    <w:rsid w:val="00BB1494"/>
    <w:pPr>
      <w:numPr>
        <w:ilvl w:val="5"/>
        <w:numId w:val="2"/>
      </w:numPr>
      <w:spacing w:before="120" w:after="120"/>
      <w:jc w:val="both"/>
      <w:outlineLvl w:val="5"/>
    </w:pPr>
    <w:rPr>
      <w:rFonts w:ascii="Times New Roman" w:hAnsi="Times New Roman"/>
    </w:rPr>
  </w:style>
  <w:style w:type="paragraph" w:styleId="7">
    <w:name w:val="heading 7"/>
    <w:aliases w:val="Appendix Header,Legal Level 1.1."/>
    <w:basedOn w:val="a"/>
    <w:next w:val="a"/>
    <w:link w:val="70"/>
    <w:uiPriority w:val="99"/>
    <w:qFormat/>
    <w:rsid w:val="00BB1494"/>
    <w:pPr>
      <w:numPr>
        <w:ilvl w:val="6"/>
        <w:numId w:val="2"/>
      </w:numPr>
      <w:spacing w:after="240"/>
      <w:outlineLvl w:val="6"/>
    </w:pPr>
    <w:rPr>
      <w:lang w:val="en-GB"/>
    </w:rPr>
  </w:style>
  <w:style w:type="paragraph" w:styleId="8">
    <w:name w:val="heading 8"/>
    <w:aliases w:val="Legal Level 1.1.1."/>
    <w:basedOn w:val="a"/>
    <w:next w:val="a"/>
    <w:link w:val="80"/>
    <w:uiPriority w:val="99"/>
    <w:qFormat/>
    <w:rsid w:val="00BB1494"/>
    <w:pPr>
      <w:numPr>
        <w:ilvl w:val="7"/>
        <w:numId w:val="2"/>
      </w:numPr>
      <w:spacing w:before="240"/>
      <w:outlineLvl w:val="7"/>
    </w:pPr>
    <w:rPr>
      <w:rFonts w:ascii="Arial" w:hAnsi="Arial"/>
      <w:i/>
      <w:sz w:val="20"/>
      <w:lang w:val="en-GB"/>
    </w:rPr>
  </w:style>
  <w:style w:type="paragraph" w:styleId="9">
    <w:name w:val="heading 9"/>
    <w:aliases w:val="Legal Level 1.1.1.1."/>
    <w:basedOn w:val="a"/>
    <w:next w:val="a"/>
    <w:link w:val="90"/>
    <w:uiPriority w:val="99"/>
    <w:qFormat/>
    <w:rsid w:val="00BB1494"/>
    <w:pPr>
      <w:numPr>
        <w:ilvl w:val="8"/>
        <w:numId w:val="2"/>
      </w:numPr>
      <w:spacing w:before="240"/>
      <w:outlineLvl w:val="8"/>
    </w:pPr>
    <w:rPr>
      <w:rFonts w:ascii="Arial" w:hAnsi="Arial"/>
      <w:i/>
      <w:sz w:val="1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079A"/>
    <w:pPr>
      <w:spacing w:before="120" w:after="0"/>
      <w:jc w:val="center"/>
    </w:pPr>
    <w:rPr>
      <w:b/>
      <w:bCs/>
      <w:sz w:val="32"/>
      <w:szCs w:val="24"/>
    </w:rPr>
  </w:style>
  <w:style w:type="character" w:customStyle="1" w:styleId="a4">
    <w:name w:val="Название Знак"/>
    <w:basedOn w:val="a0"/>
    <w:link w:val="a3"/>
    <w:rsid w:val="00BF079A"/>
    <w:rPr>
      <w:rFonts w:ascii="Garamond" w:eastAsia="Times New Roman" w:hAnsi="Garamond" w:cs="Times New Roman"/>
      <w:b/>
      <w:bCs/>
      <w:sz w:val="32"/>
      <w:szCs w:val="24"/>
    </w:rPr>
  </w:style>
  <w:style w:type="paragraph" w:customStyle="1" w:styleId="11">
    <w:name w:val="Абзац списка1"/>
    <w:basedOn w:val="a"/>
    <w:rsid w:val="00BF079A"/>
    <w:pPr>
      <w:spacing w:before="0" w:after="200" w:line="276" w:lineRule="auto"/>
      <w:ind w:left="720"/>
      <w:contextualSpacing/>
    </w:pPr>
    <w:rPr>
      <w:rFonts w:ascii="Calibri" w:hAnsi="Calibri"/>
      <w:szCs w:val="22"/>
    </w:rPr>
  </w:style>
  <w:style w:type="paragraph" w:styleId="a5">
    <w:name w:val="Body Text"/>
    <w:basedOn w:val="a"/>
    <w:link w:val="a6"/>
    <w:uiPriority w:val="99"/>
    <w:unhideWhenUsed/>
    <w:rsid w:val="00857A6A"/>
    <w:pPr>
      <w:spacing w:before="0" w:after="120" w:line="276" w:lineRule="auto"/>
    </w:pPr>
    <w:rPr>
      <w:rFonts w:ascii="Calibri" w:eastAsia="Calibri" w:hAnsi="Calibri"/>
      <w:szCs w:val="22"/>
      <w:lang w:val="x-none"/>
    </w:rPr>
  </w:style>
  <w:style w:type="character" w:customStyle="1" w:styleId="a6">
    <w:name w:val="Основной текст Знак"/>
    <w:basedOn w:val="a0"/>
    <w:link w:val="a5"/>
    <w:uiPriority w:val="99"/>
    <w:rsid w:val="00857A6A"/>
    <w:rPr>
      <w:rFonts w:ascii="Calibri" w:eastAsia="Calibri" w:hAnsi="Calibri" w:cs="Times New Roman"/>
      <w:lang w:val="x-none"/>
    </w:rPr>
  </w:style>
  <w:style w:type="character" w:customStyle="1" w:styleId="10">
    <w:name w:val="Заголовок 1 Знак"/>
    <w:aliases w:val="111 Знак,Заголовок параграфа (1.) Знак,Section Знак,Section Heading Знак,level2 hdg Знак"/>
    <w:basedOn w:val="a0"/>
    <w:link w:val="1"/>
    <w:uiPriority w:val="99"/>
    <w:rsid w:val="00BB1494"/>
    <w:rPr>
      <w:rFonts w:ascii="Arial" w:eastAsia="Times New Roman" w:hAnsi="Arial" w:cs="Times New Roman"/>
      <w:b/>
      <w:bCs/>
      <w:sz w:val="24"/>
      <w:szCs w:val="24"/>
      <w:lang w:val="en-US"/>
    </w:rPr>
  </w:style>
  <w:style w:type="character" w:customStyle="1" w:styleId="30">
    <w:name w:val="Заголовок 3 Знак"/>
    <w:aliases w:val="H3 Знак,Level 1 - 1 Знак,Заголовок подпукта (1.1.1) Знак,o Знак"/>
    <w:basedOn w:val="a0"/>
    <w:link w:val="3"/>
    <w:uiPriority w:val="99"/>
    <w:rsid w:val="00BB1494"/>
    <w:rPr>
      <w:rFonts w:ascii="Calibri" w:eastAsia="Times New Roman" w:hAnsi="Calibri" w:cs="Times New Roman"/>
      <w:b/>
      <w:bCs/>
      <w:iCs/>
      <w:sz w:val="20"/>
      <w:szCs w:val="20"/>
    </w:rPr>
  </w:style>
  <w:style w:type="character" w:customStyle="1" w:styleId="40">
    <w:name w:val="Заголовок 4 Знак"/>
    <w:aliases w:val="Sub-Minor Знак,Level 2 - a Знак,H4 Знак,H41 Знак"/>
    <w:basedOn w:val="a0"/>
    <w:link w:val="4"/>
    <w:uiPriority w:val="99"/>
    <w:rsid w:val="00BB1494"/>
    <w:rPr>
      <w:rFonts w:ascii="Times New Roman" w:eastAsia="Times New Roman" w:hAnsi="Times New Roman" w:cs="Times New Roman"/>
      <w:szCs w:val="20"/>
    </w:rPr>
  </w:style>
  <w:style w:type="character" w:customStyle="1" w:styleId="50">
    <w:name w:val="Заголовок 5 Знак"/>
    <w:aliases w:val="h5 Знак,h51 Знак,H5 Знак,H51 Знак,h52 Знак,test Знак,Block Label Знак,Level 3 - i Знак"/>
    <w:basedOn w:val="a0"/>
    <w:link w:val="5"/>
    <w:uiPriority w:val="99"/>
    <w:rsid w:val="00BB1494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aliases w:val="Legal Level 1. Знак"/>
    <w:basedOn w:val="a0"/>
    <w:link w:val="6"/>
    <w:uiPriority w:val="99"/>
    <w:rsid w:val="00BB1494"/>
    <w:rPr>
      <w:rFonts w:ascii="Times New Roman" w:eastAsia="Times New Roman" w:hAnsi="Times New Roman" w:cs="Times New Roman"/>
      <w:szCs w:val="20"/>
    </w:rPr>
  </w:style>
  <w:style w:type="character" w:customStyle="1" w:styleId="70">
    <w:name w:val="Заголовок 7 Знак"/>
    <w:aliases w:val="Appendix Header Знак,Legal Level 1.1. Знак"/>
    <w:basedOn w:val="a0"/>
    <w:link w:val="7"/>
    <w:uiPriority w:val="99"/>
    <w:rsid w:val="00BB1494"/>
    <w:rPr>
      <w:rFonts w:ascii="Garamond" w:eastAsia="Times New Roman" w:hAnsi="Garamond" w:cs="Times New Roman"/>
      <w:szCs w:val="20"/>
      <w:lang w:val="en-GB"/>
    </w:rPr>
  </w:style>
  <w:style w:type="character" w:customStyle="1" w:styleId="80">
    <w:name w:val="Заголовок 8 Знак"/>
    <w:aliases w:val="Legal Level 1.1.1. Знак"/>
    <w:basedOn w:val="a0"/>
    <w:link w:val="8"/>
    <w:uiPriority w:val="99"/>
    <w:rsid w:val="00BB1494"/>
    <w:rPr>
      <w:rFonts w:ascii="Arial" w:eastAsia="Times New Roman" w:hAnsi="Arial" w:cs="Times New Roman"/>
      <w:i/>
      <w:sz w:val="20"/>
      <w:szCs w:val="20"/>
      <w:lang w:val="en-GB"/>
    </w:rPr>
  </w:style>
  <w:style w:type="character" w:customStyle="1" w:styleId="90">
    <w:name w:val="Заголовок 9 Знак"/>
    <w:aliases w:val="Legal Level 1.1.1.1. Знак"/>
    <w:basedOn w:val="a0"/>
    <w:link w:val="9"/>
    <w:uiPriority w:val="99"/>
    <w:rsid w:val="00BB1494"/>
    <w:rPr>
      <w:rFonts w:ascii="Arial" w:eastAsia="Times New Roman" w:hAnsi="Arial" w:cs="Times New Roman"/>
      <w:i/>
      <w:sz w:val="18"/>
      <w:szCs w:val="20"/>
      <w:lang w:val="en-GB"/>
    </w:rPr>
  </w:style>
  <w:style w:type="paragraph" w:styleId="a7">
    <w:name w:val="header"/>
    <w:basedOn w:val="a"/>
    <w:link w:val="a8"/>
    <w:uiPriority w:val="99"/>
    <w:unhideWhenUsed/>
    <w:rsid w:val="00886DB9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Верхний колонтитул Знак"/>
    <w:basedOn w:val="a0"/>
    <w:link w:val="a7"/>
    <w:uiPriority w:val="99"/>
    <w:rsid w:val="00886DB9"/>
    <w:rPr>
      <w:rFonts w:ascii="Garamond" w:eastAsia="Times New Roman" w:hAnsi="Garamond" w:cs="Times New Roman"/>
      <w:szCs w:val="20"/>
    </w:rPr>
  </w:style>
  <w:style w:type="paragraph" w:styleId="a9">
    <w:name w:val="footer"/>
    <w:basedOn w:val="a"/>
    <w:link w:val="aa"/>
    <w:uiPriority w:val="99"/>
    <w:unhideWhenUsed/>
    <w:rsid w:val="00886DB9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basedOn w:val="a0"/>
    <w:link w:val="a9"/>
    <w:uiPriority w:val="99"/>
    <w:rsid w:val="00886DB9"/>
    <w:rPr>
      <w:rFonts w:ascii="Garamond" w:eastAsia="Times New Roman" w:hAnsi="Garamond" w:cs="Times New Roman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544D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544DB"/>
    <w:rPr>
      <w:rFonts w:ascii="Segoe UI" w:eastAsia="Times New Roman" w:hAnsi="Segoe UI" w:cs="Segoe UI"/>
      <w:sz w:val="18"/>
      <w:szCs w:val="18"/>
    </w:rPr>
  </w:style>
  <w:style w:type="character" w:styleId="ad">
    <w:name w:val="Placeholder Text"/>
    <w:basedOn w:val="a0"/>
    <w:uiPriority w:val="99"/>
    <w:semiHidden/>
    <w:rsid w:val="00FF7542"/>
    <w:rPr>
      <w:color w:val="808080"/>
    </w:rPr>
  </w:style>
  <w:style w:type="character" w:customStyle="1" w:styleId="20">
    <w:name w:val="Заголовок 2 Знак"/>
    <w:basedOn w:val="a0"/>
    <w:link w:val="2"/>
    <w:uiPriority w:val="9"/>
    <w:semiHidden/>
    <w:rsid w:val="009426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4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4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5" Type="http://schemas.openxmlformats.org/officeDocument/2006/relationships/oleObject" Target="embeddings/oleObject6.bin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Цель Николай</dc:creator>
  <cp:keywords/>
  <dc:description/>
  <cp:lastModifiedBy>Пряхина Ирина Игоревна</cp:lastModifiedBy>
  <cp:revision>13</cp:revision>
  <cp:lastPrinted>2020-03-10T13:39:00Z</cp:lastPrinted>
  <dcterms:created xsi:type="dcterms:W3CDTF">2021-01-12T12:52:00Z</dcterms:created>
  <dcterms:modified xsi:type="dcterms:W3CDTF">2021-01-13T16:58:00Z</dcterms:modified>
</cp:coreProperties>
</file>