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8C" w:rsidRDefault="002171D4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.1. Изменения, связанные с уточнением порядка предоставления требований комитента в АО «ЦФР»</w:t>
      </w:r>
    </w:p>
    <w:p w:rsidR="00C2388C" w:rsidRDefault="00C2388C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bCs/>
          <w:sz w:val="28"/>
          <w:szCs w:val="28"/>
        </w:rPr>
      </w:pPr>
    </w:p>
    <w:p w:rsidR="00C2388C" w:rsidRDefault="002171D4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 5.1</w:t>
      </w:r>
    </w:p>
    <w:p w:rsidR="00C2388C" w:rsidRDefault="00C2388C">
      <w:pPr>
        <w:keepNext/>
        <w:ind w:right="-296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C2388C" w:rsidRPr="00D339F6">
        <w:tc>
          <w:tcPr>
            <w:tcW w:w="14879" w:type="dxa"/>
          </w:tcPr>
          <w:p w:rsidR="00C2388C" w:rsidRPr="00D339F6" w:rsidRDefault="002171D4">
            <w:pPr>
              <w:keepNext/>
              <w:rPr>
                <w:rFonts w:ascii="Garamond" w:hAnsi="Garamond"/>
              </w:rPr>
            </w:pPr>
            <w:r w:rsidRPr="00D339F6">
              <w:rPr>
                <w:rFonts w:ascii="Garamond" w:hAnsi="Garamond"/>
                <w:b/>
                <w:bCs/>
              </w:rPr>
              <w:t xml:space="preserve">Инициатор: </w:t>
            </w:r>
            <w:r w:rsidRPr="00D339F6">
              <w:rPr>
                <w:rFonts w:ascii="Garamond" w:hAnsi="Garamond"/>
                <w:bCs/>
              </w:rPr>
              <w:t>АО «ЦФР».</w:t>
            </w:r>
          </w:p>
          <w:p w:rsidR="00C2388C" w:rsidRPr="00D339F6" w:rsidRDefault="002171D4">
            <w:pPr>
              <w:jc w:val="both"/>
              <w:rPr>
                <w:rFonts w:ascii="Garamond" w:hAnsi="Garamond"/>
              </w:rPr>
            </w:pPr>
            <w:r w:rsidRPr="00D339F6">
              <w:rPr>
                <w:rFonts w:ascii="Garamond" w:hAnsi="Garamond"/>
                <w:b/>
                <w:bCs/>
              </w:rPr>
              <w:t>Обоснование:</w:t>
            </w:r>
            <w:r w:rsidRPr="00D339F6">
              <w:rPr>
                <w:rFonts w:ascii="Garamond" w:hAnsi="Garamond"/>
              </w:rPr>
              <w:t xml:space="preserve"> </w:t>
            </w:r>
            <w:r w:rsidR="00D339F6">
              <w:rPr>
                <w:rFonts w:ascii="Garamond" w:hAnsi="Garamond"/>
                <w:bCs/>
              </w:rPr>
              <w:t>у</w:t>
            </w:r>
            <w:r w:rsidRPr="00D339F6">
              <w:rPr>
                <w:rFonts w:ascii="Garamond" w:hAnsi="Garamond"/>
                <w:bCs/>
              </w:rPr>
              <w:t xml:space="preserve">точнить порядок предоставления требований комитента с использованием ПО «АРМ участника» или личного кабинета «Формы ЦФР».    </w:t>
            </w:r>
          </w:p>
          <w:p w:rsidR="00C2388C" w:rsidRPr="00D339F6" w:rsidRDefault="002171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339F6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D339F6">
              <w:rPr>
                <w:rFonts w:ascii="Garamond" w:hAnsi="Garamond"/>
                <w:bCs/>
              </w:rPr>
              <w:t>1 августа 2021 года.</w:t>
            </w:r>
          </w:p>
        </w:tc>
      </w:tr>
    </w:tbl>
    <w:p w:rsidR="00C2388C" w:rsidRDefault="00C2388C">
      <w:pPr>
        <w:keepNext/>
        <w:rPr>
          <w:rFonts w:ascii="Garamond" w:hAnsi="Garamond"/>
          <w:b/>
          <w:sz w:val="28"/>
          <w:szCs w:val="28"/>
        </w:rPr>
      </w:pPr>
    </w:p>
    <w:p w:rsidR="00C2388C" w:rsidRDefault="002171D4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ФИНАНСОВЫХ РАСЧЕТОВ НА ОПТОВОМ</w:t>
      </w:r>
      <w:r>
        <w:rPr>
          <w:rFonts w:ascii="Garamond" w:hAnsi="Garamond"/>
          <w:b/>
          <w:bCs/>
          <w:sz w:val="26"/>
          <w:szCs w:val="26"/>
        </w:rPr>
        <w:t xml:space="preserve"> РЫНКЕ ЭЛЕКТРОЭНЕРГИИ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16 к Договору о присоединении к торговой системе оптового рынка)</w:t>
      </w:r>
    </w:p>
    <w:p w:rsidR="00C2388C" w:rsidRDefault="00C2388C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784"/>
        <w:gridCol w:w="7249"/>
      </w:tblGrid>
      <w:tr w:rsidR="00C2388C" w:rsidTr="00D339F6">
        <w:trPr>
          <w:trHeight w:val="435"/>
        </w:trPr>
        <w:tc>
          <w:tcPr>
            <w:tcW w:w="988" w:type="dxa"/>
            <w:vAlign w:val="center"/>
          </w:tcPr>
          <w:p w:rsidR="00C2388C" w:rsidRDefault="002171D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C2388C" w:rsidRDefault="002171D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C2388C" w:rsidRDefault="002171D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2388C" w:rsidRDefault="002171D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49" w:type="dxa"/>
            <w:vAlign w:val="center"/>
          </w:tcPr>
          <w:p w:rsidR="00C2388C" w:rsidRDefault="002171D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C2388C" w:rsidRDefault="002171D4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2388C" w:rsidTr="00D339F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8C" w:rsidRDefault="002171D4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14.1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C" w:rsidRDefault="002171D4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Передача участнику оптового </w:t>
            </w:r>
            <w:r>
              <w:rPr>
                <w:rFonts w:ascii="Garamond" w:hAnsi="Garamond"/>
                <w:szCs w:val="22"/>
                <w:lang w:val="ru-RU"/>
              </w:rPr>
              <w:t>рынка, являющемуся комитентом в договорах комиссии, заключенных с ЦФР, прав по неисполненному (ненадлежащим образом исполненному) договору купли-продажи, заключенному ЦФР с участником оптового рынка – покупателем, во исполнение названных договоров комиссии</w:t>
            </w:r>
            <w:r>
              <w:rPr>
                <w:rFonts w:ascii="Garamond" w:hAnsi="Garamond"/>
                <w:szCs w:val="22"/>
                <w:lang w:val="ru-RU"/>
              </w:rPr>
              <w:t xml:space="preserve"> (уступка требования) осуществляется по требованию комитента.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Требования комитента направляются ЦФР по форме приложения 37 к настоящему Регламенту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электронном виде в формате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xlsx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с использованием ЭП с помощью ПО «АРМ участника» или личного кабинета «Форм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ы ЦФР» либо на бумажном носителе, заверенные подписью уполномоченного лица. 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В указанном требовании комитент поручает ЦФР не перечислять комитенту денежные средства в оплату указанной в требовании задолженности участника оптового рынка – покупателя, а такж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е не рассчитывать указанному покупателю неустойку (пени), предусмотренную разделом 12 настоящего Регламента, на сумму задолженности, образовавшейся в результате неисполнения (ненадлежащего исполнения) обязательств по оплате электрической энергии и (или) мо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щности, переданной ЦФР покупателю во исполнение договора комиссии с данным комитентом. 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В требовании комитента указывается дата, на которую фиксируется задолженность покупателя, образовавшаяся по договору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купли-продажи за указанные в требовании периоды. Да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та должна соответствовать первому числу календарного месяца, следующего за месяцем, в котором поступило требование комитента.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Требование должно поступить в ЦФР не позднее чем за 4 рабочих дня до окончания месяца, предшествующего месяцу фиксации задолженнос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ти.</w:t>
            </w:r>
          </w:p>
          <w:p w:rsidR="00C2388C" w:rsidRPr="00D339F6" w:rsidRDefault="002171D4" w:rsidP="00D339F6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Требование, не соответствующее перечисленным условиям, ЦФР не исполняется.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C" w:rsidRDefault="002171D4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>П</w:t>
            </w:r>
            <w:r>
              <w:rPr>
                <w:rFonts w:ascii="Garamond" w:hAnsi="Garamond"/>
                <w:szCs w:val="22"/>
                <w:lang w:val="ru-RU"/>
              </w:rPr>
              <w:t xml:space="preserve">ередача участнику оптового рынка, являющемуся комитентом в договорах комиссии, заключенных с ЦФР, прав по неисполненному (ненадлежащим образом исполненному) договору </w:t>
            </w:r>
            <w:r>
              <w:rPr>
                <w:rFonts w:ascii="Garamond" w:hAnsi="Garamond"/>
                <w:szCs w:val="22"/>
                <w:lang w:val="ru-RU"/>
              </w:rPr>
              <w:t>купли-продажи, заключенному ЦФР с участником оптового рынка – покупателем, во исполнение названных договоров комиссии (уступка требования) осуществляется по требованию комитента.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Требования комитента направляются ЦФР по форме приложения 37 к настоящему Рег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ламенту с использованием ЭП с помощью ПО «АРМ участника» или личного кабинета «Формы ЦФР» либо на бумажном носителе, заверенные подписью уполномоченного лица.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При формировании требования с использованием ПО «АРМ участника» </w:t>
            </w:r>
            <w:r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или личного кабинета «Формы ЦФР»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соответствующей форме заполняются только поля, доступные для редактирования.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В указанном требовании комитент поручает ЦФР не перечислять комитенту денежные средства в оплату указанной в требовании задолженности участника оптового рынка – покупателя, а т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акже не рассчитывать указанному покупателю неустойку (пени), предусмотренную разделом 12 настоящего Регламента, на сумму задолженности, образовавшейся в результате неисполнения (ненадлежащего исполнения) обязательств по оплате электрической энергии и (или)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мощности, переданной ЦФР покупателю во исполнение договора комиссии с данным комитентом. 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В требовании комитента указывается дата, на которую фиксируется задолженность покупателя, образовавшаяся по договору купли-продажи за указанные в требовании периоды.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Дата должна соответствовать первому числу календарного месяца, следующего за месяцем, в котором поступило требование комитента.</w:t>
            </w:r>
          </w:p>
          <w:p w:rsidR="00C2388C" w:rsidRDefault="002171D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Требование должно поступить в ЦФР не позднее чем за 4 рабочих дня до окончания месяца, предшествующего месяцу фиксации задолжен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ности.</w:t>
            </w:r>
          </w:p>
          <w:p w:rsidR="00C2388C" w:rsidRPr="00D339F6" w:rsidRDefault="002171D4" w:rsidP="00D339F6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Требование, не соответствующее перечисленным условиям, ЦФР не исполняется.</w:t>
            </w:r>
          </w:p>
        </w:tc>
      </w:tr>
    </w:tbl>
    <w:p w:rsidR="00C2388C" w:rsidRDefault="00C2388C">
      <w:pPr>
        <w:rPr>
          <w:rFonts w:ascii="Garamond" w:hAnsi="Garamond"/>
          <w:b/>
          <w:iCs/>
          <w:sz w:val="26"/>
          <w:szCs w:val="26"/>
        </w:rPr>
      </w:pPr>
    </w:p>
    <w:p w:rsidR="00C2388C" w:rsidRDefault="002171D4" w:rsidP="00D339F6">
      <w:pPr>
        <w:ind w:left="-142" w:right="-1023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 xml:space="preserve">к Договору о присоединении к </w:t>
      </w:r>
      <w:r>
        <w:rPr>
          <w:rFonts w:ascii="Garamond" w:hAnsi="Garamond"/>
          <w:b/>
          <w:sz w:val="26"/>
          <w:szCs w:val="26"/>
        </w:rPr>
        <w:t>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C2388C" w:rsidRDefault="00C2388C" w:rsidP="00D339F6">
      <w:pPr>
        <w:rPr>
          <w:rFonts w:ascii="Garamond" w:eastAsia="SimSun" w:hAnsi="Garamond"/>
          <w:b/>
          <w:sz w:val="26"/>
          <w:szCs w:val="26"/>
        </w:rPr>
      </w:pPr>
    </w:p>
    <w:p w:rsidR="00C2388C" w:rsidRDefault="002171D4" w:rsidP="00D339F6">
      <w:pPr>
        <w:rPr>
          <w:rFonts w:ascii="Garamond" w:eastAsia="SimSun" w:hAnsi="Garamond"/>
          <w:b/>
          <w:sz w:val="26"/>
          <w:szCs w:val="26"/>
        </w:rPr>
      </w:pPr>
      <w:r w:rsidRPr="00D339F6">
        <w:rPr>
          <w:rFonts w:ascii="Garamond" w:hAnsi="Garamond"/>
          <w:b/>
        </w:rPr>
        <w:t>Действующая редакция</w:t>
      </w:r>
    </w:p>
    <w:p w:rsidR="00D339F6" w:rsidRDefault="00D339F6" w:rsidP="00D339F6">
      <w:pPr>
        <w:rPr>
          <w:rFonts w:ascii="Garamond" w:eastAsia="SimSun" w:hAnsi="Garamond"/>
          <w:b/>
          <w:sz w:val="26"/>
          <w:szCs w:val="26"/>
        </w:rPr>
      </w:pPr>
    </w:p>
    <w:tbl>
      <w:tblPr>
        <w:tblW w:w="15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2126"/>
        <w:gridCol w:w="708"/>
        <w:gridCol w:w="993"/>
        <w:gridCol w:w="790"/>
        <w:gridCol w:w="1053"/>
        <w:gridCol w:w="851"/>
        <w:gridCol w:w="778"/>
        <w:gridCol w:w="1490"/>
        <w:gridCol w:w="1558"/>
        <w:gridCol w:w="829"/>
        <w:gridCol w:w="1014"/>
      </w:tblGrid>
      <w:tr w:rsidR="00C2388C" w:rsidRPr="00D339F6" w:rsidTr="00D339F6">
        <w:trPr>
          <w:trHeight w:val="77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C2388C" w:rsidRPr="00D339F6" w:rsidTr="00D339F6">
        <w:trPr>
          <w:trHeight w:val="5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PART_CFR_CESS_CLAIM_CHANGE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Требование о передаче прав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14.2 (приложение 37)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xlsx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  <w:proofErr w:type="spellEnd"/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C2388C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388C" w:rsidRPr="00D339F6" w:rsidTr="00D339F6">
        <w:trPr>
          <w:trHeight w:val="5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PART_CFR_CESS_CLAIM_CHANGE_WEB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Требование о передаче прав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14.2 (приложение 37)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xlsx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  <w:proofErr w:type="spellEnd"/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C2388C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2388C" w:rsidRDefault="00C2388C" w:rsidP="00D339F6">
      <w:pPr>
        <w:jc w:val="both"/>
        <w:rPr>
          <w:rFonts w:ascii="Garamond" w:eastAsia="SimSun" w:hAnsi="Garamond"/>
          <w:b/>
          <w:sz w:val="26"/>
          <w:szCs w:val="26"/>
        </w:rPr>
      </w:pPr>
    </w:p>
    <w:p w:rsidR="00C2388C" w:rsidRDefault="002171D4" w:rsidP="00D339F6">
      <w:pPr>
        <w:rPr>
          <w:rFonts w:ascii="Garamond" w:eastAsia="SimSun" w:hAnsi="Garamond"/>
          <w:b/>
          <w:sz w:val="26"/>
          <w:szCs w:val="26"/>
        </w:rPr>
      </w:pPr>
      <w:r w:rsidRPr="00D339F6">
        <w:rPr>
          <w:rFonts w:ascii="Garamond" w:hAnsi="Garamond" w:cs="Garamond"/>
          <w:b/>
          <w:bCs/>
        </w:rPr>
        <w:t>Предлагаемая редакция</w:t>
      </w:r>
    </w:p>
    <w:p w:rsidR="00D339F6" w:rsidRDefault="00D339F6" w:rsidP="00D339F6">
      <w:pPr>
        <w:rPr>
          <w:rFonts w:ascii="Garamond" w:hAnsi="Garamond" w:cs="Garamond"/>
          <w:b/>
          <w:bCs/>
        </w:rPr>
      </w:pPr>
    </w:p>
    <w:tbl>
      <w:tblPr>
        <w:tblW w:w="154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2126"/>
        <w:gridCol w:w="709"/>
        <w:gridCol w:w="992"/>
        <w:gridCol w:w="790"/>
        <w:gridCol w:w="1195"/>
        <w:gridCol w:w="851"/>
        <w:gridCol w:w="778"/>
        <w:gridCol w:w="1490"/>
        <w:gridCol w:w="1559"/>
        <w:gridCol w:w="829"/>
        <w:gridCol w:w="1013"/>
      </w:tblGrid>
      <w:tr w:rsidR="00C2388C" w:rsidRPr="00D339F6" w:rsidTr="00D339F6">
        <w:trPr>
          <w:trHeight w:val="42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Основание </w:t>
            </w: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88C" w:rsidRPr="00D339F6" w:rsidRDefault="002171D4" w:rsidP="00D339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C2388C" w:rsidRPr="00D339F6" w:rsidTr="00D339F6">
        <w:trPr>
          <w:trHeight w:val="5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PART_CFR_CESS_CLAIM_CHANGE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Требование о передаче прав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14.2 (приложение 37)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D339F6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C2388C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388C" w:rsidRPr="00D339F6" w:rsidTr="00D339F6">
        <w:trPr>
          <w:trHeight w:val="5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PART_CFR_C</w:t>
            </w:r>
            <w:bookmarkStart w:id="0" w:name="_GoBack"/>
            <w:bookmarkEnd w:id="0"/>
            <w:r w:rsidRPr="00D339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ESS_CLAIM_CHANGE_WEB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Требование о передаче прав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14.2 (приложение 37)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D339F6" w:rsidP="00D339F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2171D4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9F6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88C" w:rsidRPr="00D339F6" w:rsidRDefault="00C2388C" w:rsidP="00D339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2388C" w:rsidRDefault="00C2388C"/>
    <w:sectPr w:rsidR="00C2388C" w:rsidSect="002171D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8C"/>
    <w:rsid w:val="002171D4"/>
    <w:rsid w:val="00C2388C"/>
    <w:rsid w:val="00D3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927FB-0C27-436F-BC20-7D960A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aliases w:val="body text"/>
    <w:basedOn w:val="a"/>
    <w:link w:val="1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6">
    <w:name w:val="Основной текст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styleId="a7">
    <w:name w:val="end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0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after="240" w:line="240" w:lineRule="atLeast"/>
      <w:ind w:hanging="360"/>
      <w:jc w:val="both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Пряхина Ирина Игоревна</cp:lastModifiedBy>
  <cp:revision>3</cp:revision>
  <cp:lastPrinted>2019-02-08T07:38:00Z</cp:lastPrinted>
  <dcterms:created xsi:type="dcterms:W3CDTF">2021-06-10T11:21:00Z</dcterms:created>
  <dcterms:modified xsi:type="dcterms:W3CDTF">2021-06-17T14:09:00Z</dcterms:modified>
</cp:coreProperties>
</file>