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D2" w:rsidRPr="00650254" w:rsidRDefault="00BC1DD2" w:rsidP="00C8569F">
      <w:pPr>
        <w:ind w:right="-10"/>
        <w:rPr>
          <w:rFonts w:ascii="Garamond" w:hAnsi="Garamond" w:cs="Arial"/>
          <w:b/>
          <w:sz w:val="28"/>
          <w:szCs w:val="28"/>
        </w:rPr>
      </w:pPr>
      <w:r w:rsidRPr="00650254">
        <w:rPr>
          <w:rFonts w:ascii="Garamond" w:hAnsi="Garamond" w:cs="Arial"/>
          <w:b/>
          <w:sz w:val="28"/>
          <w:szCs w:val="28"/>
          <w:lang w:val="en-US"/>
        </w:rPr>
        <w:t>VI</w:t>
      </w:r>
      <w:r w:rsidRPr="00650254">
        <w:rPr>
          <w:rFonts w:ascii="Garamond" w:hAnsi="Garamond" w:cs="Arial"/>
          <w:b/>
          <w:sz w:val="28"/>
          <w:szCs w:val="28"/>
        </w:rPr>
        <w:t>.13</w:t>
      </w:r>
      <w:r>
        <w:rPr>
          <w:rFonts w:ascii="Garamond" w:hAnsi="Garamond" w:cs="Arial"/>
          <w:b/>
          <w:sz w:val="28"/>
          <w:szCs w:val="28"/>
        </w:rPr>
        <w:t>.</w:t>
      </w:r>
      <w:r w:rsidRPr="00650254">
        <w:rPr>
          <w:rFonts w:ascii="Garamond" w:hAnsi="Garamond" w:cs="Arial"/>
          <w:b/>
          <w:sz w:val="28"/>
          <w:szCs w:val="28"/>
        </w:rPr>
        <w:t xml:space="preserve"> Изменения, связанные с уточнением порядка отказа от поставки мощности по </w:t>
      </w:r>
      <w:r>
        <w:rPr>
          <w:rFonts w:ascii="Garamond" w:hAnsi="Garamond" w:cs="Arial"/>
          <w:b/>
          <w:sz w:val="28"/>
          <w:szCs w:val="28"/>
        </w:rPr>
        <w:t>д</w:t>
      </w:r>
      <w:r w:rsidRPr="00650254">
        <w:rPr>
          <w:rFonts w:ascii="Garamond" w:hAnsi="Garamond" w:cs="Arial"/>
          <w:b/>
          <w:sz w:val="28"/>
          <w:szCs w:val="28"/>
        </w:rPr>
        <w:t>оговорам о предоставлении мощности</w:t>
      </w:r>
      <w:bookmarkStart w:id="0" w:name="_GoBack"/>
      <w:bookmarkEnd w:id="0"/>
    </w:p>
    <w:p w:rsidR="00BC1DD2" w:rsidRPr="00650254" w:rsidRDefault="00BC1DD2" w:rsidP="00C8569F">
      <w:pPr>
        <w:ind w:right="-10"/>
        <w:rPr>
          <w:rFonts w:ascii="Garamond" w:hAnsi="Garamond" w:cs="Arial"/>
          <w:b/>
          <w:sz w:val="28"/>
          <w:szCs w:val="28"/>
        </w:rPr>
      </w:pPr>
    </w:p>
    <w:p w:rsidR="00BC1DD2" w:rsidRPr="00650254" w:rsidRDefault="00BC1DD2" w:rsidP="00650254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650254">
        <w:rPr>
          <w:rFonts w:ascii="Garamond" w:hAnsi="Garamond" w:cs="Arial"/>
          <w:b/>
          <w:sz w:val="28"/>
          <w:szCs w:val="28"/>
        </w:rPr>
        <w:t>Приложение № 6.13</w:t>
      </w:r>
    </w:p>
    <w:p w:rsidR="00BC1DD2" w:rsidRPr="00A44AE4" w:rsidRDefault="00BC1DD2" w:rsidP="00C8569F">
      <w:pPr>
        <w:ind w:right="-10"/>
        <w:rPr>
          <w:rFonts w:ascii="Garamond" w:hAnsi="Garamond" w:cs="Arial"/>
          <w:b/>
        </w:rPr>
      </w:pPr>
    </w:p>
    <w:p w:rsidR="00BC1DD2" w:rsidRPr="00A44AE4" w:rsidRDefault="00BC1DD2" w:rsidP="00C85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A44AE4">
        <w:rPr>
          <w:rFonts w:ascii="Garamond" w:hAnsi="Garamond" w:cs="Garamond"/>
          <w:b/>
          <w:bCs/>
        </w:rPr>
        <w:t xml:space="preserve">Инициатор: </w:t>
      </w:r>
      <w:r w:rsidRPr="00A44AE4">
        <w:rPr>
          <w:rFonts w:ascii="Garamond" w:hAnsi="Garamond" w:cs="Garamond"/>
          <w:bCs/>
        </w:rPr>
        <w:t>Ассоциация «</w:t>
      </w:r>
      <w:r w:rsidRPr="00A44AE4">
        <w:rPr>
          <w:rFonts w:ascii="Garamond" w:hAnsi="Garamond"/>
        </w:rPr>
        <w:t>НП Совет рынка»</w:t>
      </w:r>
      <w:r>
        <w:rPr>
          <w:rFonts w:ascii="Garamond" w:hAnsi="Garamond"/>
        </w:rPr>
        <w:t>.</w:t>
      </w:r>
    </w:p>
    <w:p w:rsidR="00BC1DD2" w:rsidRPr="00A44AE4" w:rsidRDefault="00BC1DD2" w:rsidP="00A44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44AE4">
        <w:rPr>
          <w:rFonts w:ascii="Garamond" w:hAnsi="Garamond"/>
          <w:b/>
        </w:rPr>
        <w:t>Обоснование:</w:t>
      </w:r>
      <w:r w:rsidRPr="00A44AE4">
        <w:rPr>
          <w:rFonts w:ascii="Garamond" w:hAnsi="Garamond"/>
        </w:rPr>
        <w:t xml:space="preserve"> предлагается уточнить порядок направления поставщиком по ДПМ уведомления об отказе от поставки мощности по ДПМ с целью поставки мощности по цене, определенной по итогам КОМ, исключив из Договора о присоединении к торговой системе оптового рынка требование к сроку направления такого уведомления. В действующей редакции </w:t>
      </w:r>
      <w:r>
        <w:rPr>
          <w:rFonts w:ascii="Garamond" w:hAnsi="Garamond"/>
        </w:rPr>
        <w:t>а</w:t>
      </w:r>
      <w:r w:rsidRPr="00A44AE4">
        <w:rPr>
          <w:rFonts w:ascii="Garamond" w:hAnsi="Garamond"/>
        </w:rPr>
        <w:t xml:space="preserve">гентского договора уведомление должно быть направлено </w:t>
      </w:r>
      <w:r>
        <w:rPr>
          <w:rFonts w:ascii="Garamond" w:hAnsi="Garamond"/>
        </w:rPr>
        <w:t>а</w:t>
      </w:r>
      <w:r w:rsidRPr="00A44AE4">
        <w:rPr>
          <w:rFonts w:ascii="Garamond" w:hAnsi="Garamond"/>
        </w:rPr>
        <w:t xml:space="preserve">генту за 40 дней до даты опубликования информационного сообщения о проведении очередного конкурентного отбора мощности. </w:t>
      </w:r>
    </w:p>
    <w:p w:rsidR="00BC1DD2" w:rsidRPr="00650254" w:rsidRDefault="00BC1DD2" w:rsidP="0065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A44AE4">
        <w:rPr>
          <w:rFonts w:ascii="Garamond" w:hAnsi="Garamond" w:cs="Garamond"/>
          <w:b/>
          <w:bCs/>
        </w:rPr>
        <w:t xml:space="preserve">Дата вступления в силу: </w:t>
      </w:r>
      <w:r w:rsidRPr="00650254">
        <w:rPr>
          <w:rFonts w:ascii="Garamond" w:hAnsi="Garamond" w:cs="Garamond"/>
          <w:bCs/>
        </w:rPr>
        <w:t xml:space="preserve">24 </w:t>
      </w:r>
      <w:r>
        <w:rPr>
          <w:rFonts w:ascii="Garamond" w:hAnsi="Garamond" w:cs="Garamond"/>
          <w:bCs/>
        </w:rPr>
        <w:t>августа 2017 года.</w:t>
      </w:r>
    </w:p>
    <w:p w:rsidR="00BC1DD2" w:rsidRDefault="00BC1DD2" w:rsidP="00C8569F">
      <w:pPr>
        <w:rPr>
          <w:rFonts w:ascii="Garamond" w:hAnsi="Garamond" w:cs="Garamond"/>
          <w:b/>
          <w:bCs/>
        </w:rPr>
      </w:pPr>
    </w:p>
    <w:p w:rsidR="00BC1DD2" w:rsidRPr="002016FF" w:rsidRDefault="00BC1DD2" w:rsidP="001062B5">
      <w:pPr>
        <w:rPr>
          <w:rFonts w:ascii="Garamond" w:hAnsi="Garamond" w:cs="Garamond"/>
          <w:b/>
          <w:bCs/>
          <w:sz w:val="26"/>
          <w:szCs w:val="26"/>
        </w:rPr>
      </w:pPr>
      <w:r w:rsidRPr="002016FF"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СТАНДАРТНУЮ ФОРМУ АГЕНТСКОГО ДОГОВОРА, ОБЕСПЕЧИВАЮЩЕГО РЕАЛИЗАЦИЮ ИНВЕСТИЦИОННЫХ ПРОГРАММ ОГК/ТГК</w:t>
      </w:r>
      <w:r w:rsidRPr="002016FF">
        <w:rPr>
          <w:rFonts w:ascii="Garamond" w:hAnsi="Garamond"/>
          <w:b/>
          <w:sz w:val="26"/>
          <w:szCs w:val="26"/>
        </w:rPr>
        <w:t xml:space="preserve"> </w:t>
      </w:r>
      <w:r w:rsidRPr="002016FF">
        <w:rPr>
          <w:rFonts w:ascii="Garamond" w:hAnsi="Garamond" w:cs="Garamond"/>
          <w:b/>
          <w:bCs/>
          <w:sz w:val="26"/>
          <w:szCs w:val="26"/>
        </w:rPr>
        <w:t>(Приложение № Д 15 к Договору о присоединении к торговой системе оптового рынка)</w:t>
      </w:r>
    </w:p>
    <w:p w:rsidR="00BC1DD2" w:rsidRPr="00A44AE4" w:rsidRDefault="00BC1DD2" w:rsidP="001062B5">
      <w:pPr>
        <w:rPr>
          <w:rFonts w:ascii="Garamond" w:hAnsi="Garamond" w:cs="Garamond"/>
        </w:rPr>
      </w:pPr>
    </w:p>
    <w:tbl>
      <w:tblPr>
        <w:tblW w:w="14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260"/>
        <w:gridCol w:w="6660"/>
      </w:tblGrid>
      <w:tr w:rsidR="00BC1DD2" w:rsidRPr="002016FF" w:rsidTr="002016FF">
        <w:trPr>
          <w:trHeight w:val="435"/>
        </w:trPr>
        <w:tc>
          <w:tcPr>
            <w:tcW w:w="960" w:type="dxa"/>
            <w:vAlign w:val="center"/>
          </w:tcPr>
          <w:p w:rsidR="00BC1DD2" w:rsidRPr="002016FF" w:rsidRDefault="00BC1DD2" w:rsidP="007E4FBB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C1DD2" w:rsidRPr="002016FF" w:rsidRDefault="00BC1DD2" w:rsidP="007E4FBB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260" w:type="dxa"/>
            <w:vAlign w:val="center"/>
          </w:tcPr>
          <w:p w:rsidR="00BC1DD2" w:rsidRPr="002016FF" w:rsidRDefault="00BC1DD2" w:rsidP="007E4FBB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C1DD2" w:rsidRPr="002016FF" w:rsidRDefault="00BC1DD2" w:rsidP="007E4FBB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660" w:type="dxa"/>
            <w:vAlign w:val="center"/>
          </w:tcPr>
          <w:p w:rsidR="00BC1DD2" w:rsidRPr="002016FF" w:rsidRDefault="00BC1DD2" w:rsidP="007E4FBB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C1DD2" w:rsidRPr="002016FF" w:rsidRDefault="00BC1DD2" w:rsidP="007E4FBB">
            <w:pPr>
              <w:jc w:val="center"/>
              <w:rPr>
                <w:rFonts w:ascii="Garamond" w:hAnsi="Garamond" w:cs="Garamond"/>
              </w:rPr>
            </w:pPr>
            <w:r w:rsidRPr="002016F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C1DD2" w:rsidRPr="002016FF" w:rsidTr="002016FF">
        <w:trPr>
          <w:trHeight w:val="435"/>
        </w:trPr>
        <w:tc>
          <w:tcPr>
            <w:tcW w:w="960" w:type="dxa"/>
            <w:vAlign w:val="center"/>
          </w:tcPr>
          <w:p w:rsidR="00BC1DD2" w:rsidRPr="002016FF" w:rsidRDefault="00BC1DD2" w:rsidP="007E4FBB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2016FF">
              <w:rPr>
                <w:rFonts w:ascii="Garamond" w:hAnsi="Garamond"/>
                <w:b/>
                <w:sz w:val="22"/>
                <w:szCs w:val="22"/>
              </w:rPr>
              <w:t>6.4</w:t>
            </w:r>
          </w:p>
        </w:tc>
        <w:tc>
          <w:tcPr>
            <w:tcW w:w="7260" w:type="dxa"/>
          </w:tcPr>
          <w:p w:rsidR="00BC1DD2" w:rsidRPr="002016FF" w:rsidRDefault="00BC1DD2" w:rsidP="007E4FBB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В отношении любого из указанных в Приложении 1 к настоящему Договору, введенных в эксплуатацию, аттестованных (протестированных) Системным оператором объектов генерации, в отношении которого Принципалом зарегистрирована группа точек поставки продавца, Принципал путем направления Агенту письменного уведомления вправе заявить о намерении воспользоваться правом на односторонний отказ от исполнения Договора (Договоров) о предоставлении мощности в части одного, нескольких или всех таких объектов генерации с целью осуществления продажи Мощности такого объекта (объектов) генерации по цене, определенной по результатам долгосрочного конкурентного отбора мощности.</w:t>
            </w:r>
          </w:p>
          <w:p w:rsidR="00BC1DD2" w:rsidRPr="002016FF" w:rsidRDefault="00BC1DD2" w:rsidP="007E4FBB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 xml:space="preserve">Указанное уведомление должно быть представлено Принципалом Агенту не позднее чем за 25 (двадцать пять) календарных дней до определяемой в соответствии с Правилами оптового рынка и Договором о присоединении даты опубликования информационного сообщения о проведении очередного конкурентного отбора мощности на 2011 год, и не позднее чем за 40 (сорок) календарных дней до определяемой в соответствии с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Правилами оптового рынка и Договором о присоединении даты опубликования информационного сообщения о проведении очередного конкурентного отбора мощности на последующие годы, в которых Принципал намерен осуществлять продажу мощности по цене, определенной по результатам долгосрочного конкурентного отбора мощности.</w:t>
            </w:r>
          </w:p>
          <w:p w:rsidR="00BC1DD2" w:rsidRPr="002016FF" w:rsidRDefault="00BC1DD2" w:rsidP="007E4FBB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Указанное письменное уведомление должно содержать: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924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(i)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>указание на объект (объекты) генерации, в отношении которого Принципал намерен осуществить свое право на отказ от поставки мощности по Договору (Договорам) о предоставлении мощности;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924" w:hanging="731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(ii)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>подписанное Принципалом в 4 экземплярах Приложение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Договоров о предоставлении мощности (кроме случая, когда отказ Принципала от поставки Мощности относится ко всем указанным в Приложении 1 к настоящему Договору объектам генерации);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924" w:hanging="638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(iii)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>документы, подтверждающие полномочия лица подписавшего уведомление и Приложение 1 к настоящему Договору в новой редакции.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В случае если содержание уведомления соответствует установленным настоящим Договором и стандартной формой договора о предоставлении мощности требованиям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одного или нескольких объектов генерации, Агент направляет АТС, Системному оператору и НП «Совет рынка» уведомления об одностороннем внесении изменения (изменений) в Приложение 1 к настоящему Договору с приложением к уведомлениям 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>подписанного Принципалом Приложения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Указанные уведомления направляются Агентом АТС, Системному 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lastRenderedPageBreak/>
              <w:t xml:space="preserve">оператору и НП «Совет рынка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не позднее 15 (пятнадцати) календарных дней до определяемой в соответствии с Правилами оптового рынка и Договором о присоединении даты опубликования информационного сообщения о проведении очередного конкурентного отбора мощности на 2011 год, и не позднее чем 30 (тридцать) календарных дней до определяемой в соответствии с Правилами оптового рынка и Договором о присоединении даты опубликования информационного сообщения о проведении очередного конкурентного отбора мощности на последующие годы, в которых в соответствии с настоящим Договором должна была начаться поставка Мощности объекта (объектов) генерации, в отношении которого (которых) Принципалом заявлено об одностороннем отказе от исполнения Договора (Договоров).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При условии соблюдения Принципалом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срока направления Агенту уведомления,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требований к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его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содержанию и порядка направления уведомления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,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Агент обязан направить всем сторонам каждого договора о предоставлении мощности, заключенного Агентом от имени Принципала, уведомление об одностороннем внесении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 xml:space="preserve">изменений 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Принципалом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2016FF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В случае если Принципал направил указанное в настоящем пункте уведомление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Агенту своевременно, содержание уведомления соответствует установленным требованиям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всех объектов генерации, Агент направляет от имени Принципала уведомление Покупателю, АТС, Системному оператору и НП «Совет рынка» о прекращении Принципалом в одностороннем порядке всех заключенных Агентом в интересах Принципала Договоров о предоставлении мощности с момента вступления в силу заключенных по результатам долгосрочного конкурентного отбора мощности договоров купли-продажи (поставки) мощности всех объектов генерации, указанных в Приложении 1 к Договорам о предоставлении мощности. </w:t>
            </w:r>
          </w:p>
        </w:tc>
        <w:tc>
          <w:tcPr>
            <w:tcW w:w="6660" w:type="dxa"/>
          </w:tcPr>
          <w:p w:rsidR="00BC1DD2" w:rsidRPr="002016FF" w:rsidRDefault="00BC1DD2" w:rsidP="007E4FBB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lastRenderedPageBreak/>
              <w:t>В отношении любого из указанных в Приложении 1 к настоящему Договору, введенных в эксплуатацию, аттестованных (протестированных) Системным оператором объектов генерации, в отношении которого Принципалом зарегистрирована группа точек поставки продавца, Принципал путем направления Агенту письменного уведомления вправе заявить о намерении воспользоваться правом на односторонний отказ от исполнения Договора (Договоров) о предоставлении мощности в части одного, нескольких или всех таких объектов генерации с целью осуществления продажи Мощности такого объекта (объектов) генерации по цене, определенной по результатам долгосрочного конкурентного отбора мощности.</w:t>
            </w:r>
          </w:p>
          <w:p w:rsidR="00BC1DD2" w:rsidRPr="002016FF" w:rsidRDefault="00BC1DD2" w:rsidP="007E4FBB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Указанное письменное уведомление должно содержать: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924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(i)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 xml:space="preserve">указание на объект (объекты) генерации, в отношении которого Принципал намерен осуществить свое право на отказ от поставки мощности по Договору (Договорам) о 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lastRenderedPageBreak/>
              <w:t>предоставлении мощности;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924" w:hanging="731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(ii)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>подписанное Принципалом в 4 экземплярах Приложение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Договоров о предоставлении мощности (кроме случая, когда отказ Принципала от поставки Мощности относится ко всем указанным в Приложении 1 к настоящему Договору объектам генерации);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924" w:hanging="638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(iii)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ab/>
              <w:t>документы, подтверждающие полномочия лица подписавшего уведомление и Приложение 1 к настоящему Договору в новой редакции.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В случае если содержание уведомления соответствует установленным настоящим Договором и стандартной формой договора о предоставлении мощности требованиям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одного или нескольких объектов генерации, Агент направляет АТС, Системному оператору и НП «Совет рынка» уведомления об одностороннем внесении изменения (изменений) в Приложение 1 к настоящему Договору с приложением к уведомлениям подписанного Принципалом Приложения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Указанные уведомления направляются Агентом АТС, Системному оператору и НП «Совет рынка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» в течение 5 (пяти) рабочих дней с даты получения Агентом уведомления Принципала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При условии соблюдения Принципалом требований к содержанию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уведомления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и порядка направления уведомления Агент обязан направить всем сторонам каждого договора о предоставлении мощности, заключенного Агентом от имени Принципала, уведомление об одностороннем внесении Принципалом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lastRenderedPageBreak/>
              <w:t xml:space="preserve">изменений в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п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риложение 1 к договору о предоставлении мощности в части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7E4FBB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lang w:eastAsia="ru-RU"/>
              </w:rPr>
            </w:pP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В случае если Принципал направил указанное в настоящем пункте уведомление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 xml:space="preserve">Агенту с соблюдением установленных требований к его содержанию 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 xml:space="preserve">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всех объектов генерации, Агент направляет от имени Принципала уведомление Покупателю, АТС, Системному оператору и НП «Совет рынка» о прекращении Принципалом в одностороннем порядке всех заключенных Агентом в интересах Принципала Договоров о предоставлении мощности с момента вступления в силу заключенных по результатам долгосрочного конкурентного отбора мощности договоров купли-продажи (поставки) мощности всех объектов генерации, указанных в Приложении 1 к Договорам о предоставлении мощности. </w:t>
            </w:r>
          </w:p>
          <w:p w:rsidR="00BC1DD2" w:rsidRPr="002016FF" w:rsidRDefault="00BC1DD2" w:rsidP="007E4FBB">
            <w:pPr>
              <w:autoSpaceDE w:val="0"/>
              <w:autoSpaceDN w:val="0"/>
              <w:adjustRightInd w:val="0"/>
              <w:spacing w:before="120" w:after="120"/>
              <w:jc w:val="both"/>
              <w:outlineLvl w:val="0"/>
              <w:rPr>
                <w:rFonts w:ascii="Garamond" w:hAnsi="Garamond"/>
              </w:rPr>
            </w:pPr>
          </w:p>
        </w:tc>
      </w:tr>
    </w:tbl>
    <w:p w:rsidR="00BC1DD2" w:rsidRDefault="00BC1DD2" w:rsidP="001062B5"/>
    <w:p w:rsidR="00BC1DD2" w:rsidRPr="00426B60" w:rsidRDefault="00BC1DD2" w:rsidP="00346CF1">
      <w:pPr>
        <w:outlineLvl w:val="0"/>
        <w:rPr>
          <w:rFonts w:ascii="Garamond" w:hAnsi="Garamond"/>
          <w:bCs/>
          <w:iCs/>
        </w:rPr>
      </w:pPr>
    </w:p>
    <w:p w:rsidR="00BC1DD2" w:rsidRPr="002016FF" w:rsidRDefault="00BC1DD2" w:rsidP="00EB2AA2">
      <w:pPr>
        <w:rPr>
          <w:rFonts w:ascii="Garamond" w:hAnsi="Garamond" w:cs="Garamond"/>
          <w:b/>
          <w:bCs/>
          <w:sz w:val="26"/>
          <w:szCs w:val="26"/>
        </w:rPr>
      </w:pPr>
      <w:r w:rsidRPr="002016FF">
        <w:rPr>
          <w:rFonts w:ascii="Garamond" w:hAnsi="Garamond" w:cs="Garamond"/>
          <w:b/>
          <w:bCs/>
          <w:sz w:val="26"/>
          <w:szCs w:val="26"/>
        </w:rPr>
        <w:lastRenderedPageBreak/>
        <w:t>Предложения по изменениям и дополнениям в СТАНДАРТНУЮ ФОРМУ АГЕНТСКОГО ДОГОВОРА, ОБЕСПЕЧИВАЮЩЕГО ЗАКЛЮЧЕНИЕ И ИСПОЛНЕНИЕ ДОГОВОРОВ О ПРЕДОСТАВЛЕНИИ МОЩНОСТИ ВВЕДЕННЫХ В ЭКСПЛУАТАЦИЮ ГЕНЕРИРУЮЩИХ ОБЪЕКТОВ</w:t>
      </w:r>
      <w:r w:rsidRPr="002016FF">
        <w:rPr>
          <w:rFonts w:ascii="Roboto bold" w:hAnsi="Roboto bold"/>
          <w:color w:val="252525"/>
          <w:sz w:val="26"/>
          <w:szCs w:val="26"/>
        </w:rPr>
        <w:t xml:space="preserve"> </w:t>
      </w:r>
      <w:r w:rsidRPr="002016FF">
        <w:rPr>
          <w:rFonts w:ascii="Garamond" w:hAnsi="Garamond"/>
          <w:b/>
          <w:sz w:val="26"/>
          <w:szCs w:val="26"/>
        </w:rPr>
        <w:t xml:space="preserve"> </w:t>
      </w:r>
      <w:r w:rsidRPr="002016FF">
        <w:rPr>
          <w:rFonts w:ascii="Garamond" w:hAnsi="Garamond" w:cs="Garamond"/>
          <w:b/>
          <w:bCs/>
          <w:sz w:val="26"/>
          <w:szCs w:val="26"/>
        </w:rPr>
        <w:t>(Приложение № Д 15.1 к Договору о присоединении к торговой системе оптового рынка)</w:t>
      </w:r>
    </w:p>
    <w:p w:rsidR="00BC1DD2" w:rsidRPr="00A44AE4" w:rsidRDefault="00BC1DD2" w:rsidP="00EB2AA2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0"/>
        <w:gridCol w:w="6840"/>
      </w:tblGrid>
      <w:tr w:rsidR="00BC1DD2" w:rsidRPr="002016FF" w:rsidTr="00252227">
        <w:trPr>
          <w:trHeight w:val="435"/>
        </w:trPr>
        <w:tc>
          <w:tcPr>
            <w:tcW w:w="960" w:type="dxa"/>
            <w:vAlign w:val="center"/>
          </w:tcPr>
          <w:p w:rsidR="00BC1DD2" w:rsidRPr="002016FF" w:rsidRDefault="00BC1DD2" w:rsidP="00252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C1DD2" w:rsidRPr="002016FF" w:rsidRDefault="00BC1DD2" w:rsidP="00252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BC1DD2" w:rsidRPr="002016FF" w:rsidRDefault="00BC1DD2" w:rsidP="00252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C1DD2" w:rsidRPr="002016FF" w:rsidRDefault="00BC1DD2" w:rsidP="00252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40" w:type="dxa"/>
            <w:vAlign w:val="center"/>
          </w:tcPr>
          <w:p w:rsidR="00BC1DD2" w:rsidRPr="002016FF" w:rsidRDefault="00BC1DD2" w:rsidP="00252227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2016F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C1DD2" w:rsidRPr="002016FF" w:rsidRDefault="00BC1DD2" w:rsidP="00252227">
            <w:pPr>
              <w:jc w:val="center"/>
              <w:rPr>
                <w:rFonts w:ascii="Garamond" w:hAnsi="Garamond" w:cs="Garamond"/>
              </w:rPr>
            </w:pPr>
            <w:r w:rsidRPr="002016F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C1DD2" w:rsidRPr="002016FF" w:rsidTr="00252227">
        <w:trPr>
          <w:trHeight w:val="435"/>
        </w:trPr>
        <w:tc>
          <w:tcPr>
            <w:tcW w:w="960" w:type="dxa"/>
            <w:vAlign w:val="center"/>
          </w:tcPr>
          <w:p w:rsidR="00BC1DD2" w:rsidRPr="002016FF" w:rsidRDefault="00BC1DD2" w:rsidP="00EB2AA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2016FF">
              <w:rPr>
                <w:rFonts w:ascii="Garamond" w:hAnsi="Garamond"/>
                <w:b/>
                <w:sz w:val="22"/>
                <w:szCs w:val="22"/>
              </w:rPr>
              <w:t>5.3</w:t>
            </w:r>
          </w:p>
        </w:tc>
        <w:tc>
          <w:tcPr>
            <w:tcW w:w="6840" w:type="dxa"/>
          </w:tcPr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Принципал путем направления Агенту письменного уведомления вправе заявить о намерении воспользоваться правом на односторонний отказ от исполнения Договора (Договоров) о предоставлении мощности в части одного, нескольких или всех указанных в Приложении 1 к настоящему Договору объектов генерации с целью осуществления продажи Мощности такого объекта (объектов) генерации по цене, определенной по результатам долгосрочного конкурентного отбора мощности.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  <w:highlight w:val="yellow"/>
              </w:rPr>
            </w:pP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Указанное уведомление должно быть направлено Принципалом Агенту не позднее чем: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  <w:highlight w:val="yellow"/>
              </w:rPr>
            </w:pP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ab/>
              <w:t>до 20 (двадцатого) числа августа месяца 2010 года – в случае принятия Принципалом решения об отказе в период с момента заключения настоящего Договора и до 20 (числа) числа августа месяца 2010 года;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в остальных случаях – за 40 (сорок) календарных дней до определяемой в соответствии с Правилами оптового рынка и Договором о присоединении даты опубликования информационного сообщения о проведении очередного конкурентного отбора мощности на год, в котором Принципал намерен осуществлять продажу мощности по цене, определенной по результатам долгосрочного конкурентного отбора мощности.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Указанное письменное уведомление должно содержать: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 (i)</w:t>
            </w:r>
            <w:r w:rsidRPr="002016FF">
              <w:rPr>
                <w:rFonts w:ascii="Garamond" w:hAnsi="Garamond"/>
                <w:sz w:val="22"/>
                <w:szCs w:val="22"/>
              </w:rPr>
              <w:tab/>
              <w:t>указание на объект (объекты) генерации, в отношении которого Принципал намерен осуществить свое право на отказ от поставки мощности по Договору (Договорам) о предоставлении мощности;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lastRenderedPageBreak/>
              <w:t>(</w:t>
            </w:r>
            <w:r w:rsidRPr="002016FF">
              <w:rPr>
                <w:rFonts w:ascii="Garamond" w:hAnsi="Garamond"/>
                <w:sz w:val="22"/>
                <w:szCs w:val="22"/>
                <w:lang w:val="en-US"/>
              </w:rPr>
              <w:t>ii</w:t>
            </w:r>
            <w:r w:rsidRPr="002016FF">
              <w:rPr>
                <w:rFonts w:ascii="Garamond" w:hAnsi="Garamond"/>
                <w:sz w:val="22"/>
                <w:szCs w:val="22"/>
              </w:rPr>
              <w:t>)</w:t>
            </w:r>
            <w:r w:rsidRPr="002016FF">
              <w:rPr>
                <w:rFonts w:ascii="Garamond" w:hAnsi="Garamond"/>
                <w:sz w:val="22"/>
                <w:szCs w:val="22"/>
              </w:rPr>
              <w:tab/>
              <w:t>подписанное Принципалом в 4 (четырех)</w:t>
            </w:r>
            <w:r w:rsidRPr="002016F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2016FF">
              <w:rPr>
                <w:rFonts w:ascii="Garamond" w:hAnsi="Garamond"/>
                <w:sz w:val="22"/>
                <w:szCs w:val="22"/>
              </w:rPr>
              <w:t>экземплярах Приложение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Договоров о предоставлении мощности (кроме случая, когда отказ Принципала от поставки Мощности относится ко всем указанным в Приложении 1 к настоящему Договору объектам генерации);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(</w:t>
            </w:r>
            <w:r w:rsidRPr="002016FF">
              <w:rPr>
                <w:rFonts w:ascii="Garamond" w:hAnsi="Garamond"/>
                <w:sz w:val="22"/>
                <w:szCs w:val="22"/>
                <w:lang w:val="en-US"/>
              </w:rPr>
              <w:t>iii</w:t>
            </w:r>
            <w:r w:rsidRPr="002016FF">
              <w:rPr>
                <w:rFonts w:ascii="Garamond" w:hAnsi="Garamond"/>
                <w:sz w:val="22"/>
                <w:szCs w:val="22"/>
              </w:rPr>
              <w:t>)</w:t>
            </w:r>
            <w:r w:rsidRPr="002016FF">
              <w:rPr>
                <w:rFonts w:ascii="Garamond" w:hAnsi="Garamond"/>
                <w:sz w:val="22"/>
                <w:szCs w:val="22"/>
              </w:rPr>
              <w:tab/>
              <w:t>документы, подтверждающие полномочия лица подписавшего уведомление и Приложение 1 к настоящему Договору в новой редакции.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В случае если содержание уведомления соответствует установленным требованиям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одного или нескольких объектов генерации, Агент обязан направить АТС, Системному оператору и НП «Совет рынка» уведомления об одностороннем внесении Принципалом изменения (изменений) в Приложение 1 к настоящему Договору с приложением к уведомлениям подписанного Принципалом Приложения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При условии соблюдения Принципалом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срока направления Агенту уведомления,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требований к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содержанию и порядка направления уведомления, Агент обязан направить всем Сторонам каждого договора о предоставлении мощности, заключенного Агентом от имени Принципала, уведомление об одностороннем внесении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изменений Принципалом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В случае если Принципал направил указанное в настоящем пункте уведомление Агенту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своевременно, содержание уведомления соответствует установленным требованиям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и при этом в своем уведомлении Принципал выразил намерение отказаться от поставки </w:t>
            </w:r>
            <w:r w:rsidRPr="002016FF">
              <w:rPr>
                <w:rFonts w:ascii="Garamond" w:hAnsi="Garamond"/>
                <w:sz w:val="22"/>
                <w:szCs w:val="22"/>
              </w:rPr>
              <w:lastRenderedPageBreak/>
              <w:t xml:space="preserve">мощности в соответствии с Договором (Договорами) о предоставлении мощности всех объектов генерации, Агент направляет от имени Принципала уведомления покупателям, АТС, Системному оператору и НП «Совет рынка» о прекращении Принципалом в одностороннем порядке всех заключенных Агентом в интересах Принципала Договоров о предоставлении мощности с момента вступления в силу заключенных по результатам долгосрочного конкурентного отбора мощности договоров купли-продажи (поставки) мощности всех объектов генерации, указанных в Приложении 1 к Договорам о предоставлении мощности. 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  <w:highlight w:val="yellow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Указанные уведомления о внесении изменений в настоящий Договор направляются Агентом АТС и Системному оператору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не позднее, чем: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  <w:highlight w:val="yellow"/>
              </w:rPr>
            </w:pP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до 1 (первого) числа сентября месяца 2010 года – в случае принятия Принципалом решения об отказе в период с момента заключения настоящего Договора и до 20 (числа) числа августа месяца 2010 года;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в остальных случаях – за 30 (тридцать) календарных дней до определяемой в соответствии с Правилами оптового рынка и Договором о присоединении даты опубликования информационного сообщения о проведении очередного конкурентного отбора мощности на год, в котором в соответствии с заключенными Договорами о предоставлении мощности должна была начаться поставка Мощности объекта (объектов) генерации, в отношении которого (которых) Принципалом заявлено об одностороннем отказе от исполнения Договора (Договоров)</w:t>
            </w:r>
            <w:r w:rsidRPr="002016FF">
              <w:rPr>
                <w:rFonts w:ascii="Garamond" w:hAnsi="Garamond"/>
                <w:sz w:val="22"/>
                <w:szCs w:val="22"/>
              </w:rPr>
              <w:t>.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 xml:space="preserve">Системный оператор </w:t>
            </w:r>
            <w:r w:rsidRPr="002016FF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за 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 xml:space="preserve">40 (сорок) календарных дней до планируемой даты опубликования информации о проведении конкурентного отбора мощности </w:t>
            </w:r>
            <w:r w:rsidRPr="002016FF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на 2012 год и последующие годы 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>размещает на своем официальном сайте в сети интернет уведомление о необходимости предоставления АТС, Системному оператору и НП «Совет рынка» через</w:t>
            </w:r>
            <w:r w:rsidRPr="002016FF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Агента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 xml:space="preserve"> информации о планируемых датах ввода в эксплуатацию или вывода из эксплуатации генерирующих объектов, мощность которых учитывается при проведении конкурентного отбора мощности как подлежащая обязательной 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покупке на оптовом рынке.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</w:tcPr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lastRenderedPageBreak/>
              <w:t>Принципал путем направления Агенту письменного уведомления вправе заявить о намерении воспользоваться правом на односторонний отказ от исполнения Договора (Договоров) о предоставлении мощности в части одного, нескольких или всех указанных в Приложении 1 к настоящему Договору объектов генерации с целью осуществления продажи Мощности такого объекта (объектов) генерации по цене, определенной по результатам долгосрочного конкурентного отбора мощности.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Указанное письменное уведомление должно содержать: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 (i)</w:t>
            </w:r>
            <w:r w:rsidRPr="002016FF">
              <w:rPr>
                <w:rFonts w:ascii="Garamond" w:hAnsi="Garamond"/>
                <w:sz w:val="22"/>
                <w:szCs w:val="22"/>
              </w:rPr>
              <w:tab/>
              <w:t>указание на объект (объекты) генерации, в отношении которого Принципал намерен осуществить свое право на отказ от поставки мощности по Договору (Договорам) о предоставлении мощности;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(</w:t>
            </w:r>
            <w:r w:rsidRPr="002016FF">
              <w:rPr>
                <w:rFonts w:ascii="Garamond" w:hAnsi="Garamond"/>
                <w:sz w:val="22"/>
                <w:szCs w:val="22"/>
                <w:lang w:val="en-US"/>
              </w:rPr>
              <w:t>ii</w:t>
            </w:r>
            <w:r w:rsidRPr="002016FF">
              <w:rPr>
                <w:rFonts w:ascii="Garamond" w:hAnsi="Garamond"/>
                <w:sz w:val="22"/>
                <w:szCs w:val="22"/>
              </w:rPr>
              <w:t>)</w:t>
            </w:r>
            <w:r w:rsidRPr="002016FF">
              <w:rPr>
                <w:rFonts w:ascii="Garamond" w:hAnsi="Garamond"/>
                <w:sz w:val="22"/>
                <w:szCs w:val="22"/>
              </w:rPr>
              <w:tab/>
              <w:t>подписанное Принципалом в 4 (четырех)</w:t>
            </w:r>
            <w:r w:rsidRPr="002016F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2016FF">
              <w:rPr>
                <w:rFonts w:ascii="Garamond" w:hAnsi="Garamond"/>
                <w:sz w:val="22"/>
                <w:szCs w:val="22"/>
              </w:rPr>
              <w:t>экземплярах Приложение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Договоров о предоставлении мощности (кроме случая, когда отказ Принципала от поставки Мощности относится ко всем указанным в Приложении 1 к настоящему Договору объектам генерации);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>(</w:t>
            </w:r>
            <w:r w:rsidRPr="002016FF">
              <w:rPr>
                <w:rFonts w:ascii="Garamond" w:hAnsi="Garamond"/>
                <w:sz w:val="22"/>
                <w:szCs w:val="22"/>
                <w:lang w:val="en-US"/>
              </w:rPr>
              <w:t>iii</w:t>
            </w:r>
            <w:r w:rsidRPr="002016FF">
              <w:rPr>
                <w:rFonts w:ascii="Garamond" w:hAnsi="Garamond"/>
                <w:sz w:val="22"/>
                <w:szCs w:val="22"/>
              </w:rPr>
              <w:t>)</w:t>
            </w:r>
            <w:r w:rsidRPr="002016FF">
              <w:rPr>
                <w:rFonts w:ascii="Garamond" w:hAnsi="Garamond"/>
                <w:sz w:val="22"/>
                <w:szCs w:val="22"/>
              </w:rPr>
              <w:tab/>
              <w:t>документы, подтверждающие полномочия лица подписавшего уведомление и Приложение 1 к настоящему Договору в новой редакции.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В случае если содержание уведомления соответствует установленным требованиям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одного или </w:t>
            </w:r>
            <w:r w:rsidRPr="002016FF">
              <w:rPr>
                <w:rFonts w:ascii="Garamond" w:hAnsi="Garamond"/>
                <w:sz w:val="22"/>
                <w:szCs w:val="22"/>
              </w:rPr>
              <w:lastRenderedPageBreak/>
              <w:t>нескольких объектов генерации, Агент обязан направить АТС, Системному оператору и НП «Совет рынка» уведомления об одностороннем внесении Принципалом изменения (изменений) в Приложение 1 к настоящему Договору с приложением к уведомлениям подписанного Принципалом Приложения 1 к настоящему Договору в новой редакции в части изменения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При условии соблюдения Принципалом требований к содержанию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уведомления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и порядка направления уведомления, Агент обязан направить всем Сторонам каждого договора о предоставлении мощности, заключенного Агентом от имени Принципала, уведомление об одностороннем внесении Принципалом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 xml:space="preserve">изменений в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</w:rPr>
              <w:t>риложение 1 к Договору о предоставлении мощности в части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В случае если Принципал направил указанное в настоящем пункте уведомление Агенту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 xml:space="preserve">с соблюдением установленных требований к его содержанию 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всех объектов генерации, Агент направляет от имени Принципала уведомления покупателям, АТС, Системному оператору и НП «Совет рынка» о прекращении Принципалом в одностороннем порядке всех заключенных Агентом в интересах Принципала Договоров о предоставлении мощности с момента вступления в силу заключенных по результатам долгосрочного конкурентного отбора мощности договоров купли-продажи (поставки) мощности всех объектов генерации, указанных в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риложении 1 к Договорам о предоставлении мощности. </w:t>
            </w:r>
          </w:p>
          <w:p w:rsidR="00BC1DD2" w:rsidRPr="002016FF" w:rsidRDefault="00BC1DD2" w:rsidP="008D7700">
            <w:pPr>
              <w:pStyle w:val="2"/>
              <w:spacing w:before="120" w:after="120"/>
              <w:ind w:left="215" w:firstLine="0"/>
              <w:rPr>
                <w:rFonts w:ascii="Garamond" w:hAnsi="Garamond"/>
                <w:szCs w:val="22"/>
              </w:rPr>
            </w:pPr>
            <w:r w:rsidRPr="002016FF">
              <w:rPr>
                <w:rFonts w:ascii="Garamond" w:hAnsi="Garamond"/>
                <w:sz w:val="22"/>
                <w:szCs w:val="22"/>
              </w:rPr>
              <w:t xml:space="preserve">Указанные уведомления о внесении изменений в настоящий Договор направляются Агентом АТС и Системному оператору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 xml:space="preserve">в течение 5 (пяти) рабочих дней с даты получения Агентом уведомления </w:t>
            </w:r>
            <w:r w:rsidRPr="002016FF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lastRenderedPageBreak/>
              <w:t>Принципала</w:t>
            </w:r>
            <w:r w:rsidRPr="002016FF">
              <w:rPr>
                <w:rFonts w:ascii="Garamond" w:hAnsi="Garamond"/>
                <w:sz w:val="22"/>
                <w:szCs w:val="22"/>
                <w:lang w:eastAsia="ru-RU"/>
              </w:rPr>
              <w:t>.</w:t>
            </w:r>
          </w:p>
          <w:p w:rsidR="00BC1DD2" w:rsidRPr="002016FF" w:rsidRDefault="00BC1DD2" w:rsidP="008D7700">
            <w:pPr>
              <w:spacing w:before="120" w:after="120"/>
              <w:ind w:left="215"/>
              <w:jc w:val="both"/>
              <w:rPr>
                <w:rFonts w:ascii="Garamond" w:hAnsi="Garamond"/>
              </w:rPr>
            </w:pP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 xml:space="preserve">Системный оператор </w:t>
            </w:r>
            <w:r w:rsidRPr="002016FF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за 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 xml:space="preserve">40 (сорок) календарных дней до планируемой даты опубликования информации о проведении конкурентного отбора мощности </w:t>
            </w:r>
            <w:r w:rsidRPr="002016FF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на 2012 год и последующие годы 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>размещает на своем официальном сайте в сети интернет уведомление о необходимости предоставления АТС, Системному оператору и НП «Совет рынка» через</w:t>
            </w:r>
            <w:r w:rsidRPr="002016FF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Агента</w:t>
            </w:r>
            <w:r w:rsidRPr="002016FF">
              <w:rPr>
                <w:rFonts w:ascii="Garamond" w:hAnsi="Garamond"/>
                <w:color w:val="000000"/>
                <w:sz w:val="22"/>
                <w:szCs w:val="22"/>
              </w:rPr>
              <w:t xml:space="preserve"> информации о планируемых датах ввода в эксплуатацию или вывода из эксплуатации генерирующих объектов, мощность которых учитывается при проведении конкурентного отбора мощности как подлежащая обязательной покупке на оптовом рынке.</w:t>
            </w:r>
            <w:r w:rsidRPr="002016FF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BC1DD2" w:rsidRPr="002016FF" w:rsidRDefault="00BC1DD2" w:rsidP="008D7700">
            <w:pPr>
              <w:autoSpaceDE w:val="0"/>
              <w:autoSpaceDN w:val="0"/>
              <w:adjustRightInd w:val="0"/>
              <w:spacing w:before="120" w:after="120"/>
              <w:ind w:left="215"/>
              <w:jc w:val="both"/>
              <w:outlineLvl w:val="0"/>
              <w:rPr>
                <w:rFonts w:ascii="Garamond" w:hAnsi="Garamond"/>
              </w:rPr>
            </w:pPr>
          </w:p>
        </w:tc>
      </w:tr>
    </w:tbl>
    <w:p w:rsidR="00BC1DD2" w:rsidRDefault="00BC1DD2" w:rsidP="00863782">
      <w:pPr>
        <w:tabs>
          <w:tab w:val="left" w:pos="709"/>
        </w:tabs>
        <w:ind w:firstLine="287"/>
        <w:jc w:val="both"/>
        <w:rPr>
          <w:rFonts w:ascii="Garamond" w:hAnsi="Garamond"/>
          <w:b/>
        </w:rPr>
      </w:pPr>
    </w:p>
    <w:p w:rsidR="00BC1DD2" w:rsidRDefault="00BC1DD2" w:rsidP="00863782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863782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ОПРЕДЕЛЕНИЯ ОБЪЕМОВ ФАКТИЧЕСКИ ПОСТАВЛЕННОЙ НА ОПТОВЫЙ РЫНОК МОЩНОСТИ (Приложение № 13 к Договору о присоединении к торговой системе оптового рынка)</w:t>
      </w:r>
    </w:p>
    <w:p w:rsidR="00863782" w:rsidRPr="00863782" w:rsidRDefault="00863782" w:rsidP="00863782">
      <w:pPr>
        <w:tabs>
          <w:tab w:val="left" w:pos="709"/>
        </w:tabs>
        <w:jc w:val="both"/>
        <w:rPr>
          <w:rFonts w:ascii="Garamond" w:hAnsi="Garamond"/>
          <w:b/>
          <w:sz w:val="26"/>
          <w:szCs w:val="26"/>
        </w:rPr>
      </w:pPr>
    </w:p>
    <w:tbl>
      <w:tblPr>
        <w:tblW w:w="509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7249"/>
        <w:gridCol w:w="6912"/>
      </w:tblGrid>
      <w:tr w:rsidR="00BC1DD2" w:rsidRPr="00863782" w:rsidTr="00BA4D68">
        <w:trPr>
          <w:trHeight w:val="435"/>
        </w:trPr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412" w:type="pct"/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00" w:type="pct"/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C1DD2" w:rsidRPr="00863782" w:rsidTr="00BA4D68">
        <w:trPr>
          <w:trHeight w:val="345"/>
        </w:trPr>
        <w:tc>
          <w:tcPr>
            <w:tcW w:w="288" w:type="pct"/>
            <w:vAlign w:val="center"/>
          </w:tcPr>
          <w:p w:rsidR="00BC1DD2" w:rsidRPr="00863782" w:rsidRDefault="00BC1DD2" w:rsidP="007E4FBB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5.6.1.1</w:t>
            </w:r>
          </w:p>
        </w:tc>
        <w:tc>
          <w:tcPr>
            <w:tcW w:w="2412" w:type="pct"/>
          </w:tcPr>
          <w:p w:rsidR="00BC1DD2" w:rsidRPr="00863782" w:rsidRDefault="00BC1DD2" w:rsidP="00863782">
            <w:pPr>
              <w:pStyle w:val="4"/>
              <w:tabs>
                <w:tab w:val="num" w:pos="0"/>
              </w:tabs>
              <w:spacing w:before="120" w:after="120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В отношении соответствующих ГТП генерации участников ОРЭМ, расположенных в ценовых зонах оптового рынка,</w:t>
            </w:r>
          </w:p>
          <w:p w:rsidR="00BC1DD2" w:rsidRPr="00863782" w:rsidRDefault="00BC1DD2" w:rsidP="00863782">
            <w:pPr>
              <w:pStyle w:val="4"/>
              <w:spacing w:before="120" w:after="120"/>
              <w:ind w:firstLine="709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поставляющих мощность по итогам КОМ (за исключением гидроэлектростанций при расчете за декабрь месяц каждого календарного года):</w:t>
            </w:r>
          </w:p>
          <w:p w:rsidR="00BC1DD2" w:rsidRPr="00863782" w:rsidRDefault="00BC1DD2" w:rsidP="00863782">
            <w:pPr>
              <w:pStyle w:val="4"/>
              <w:spacing w:before="120" w:after="120"/>
              <w:ind w:left="600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– на 2014 и год:</w:t>
            </w:r>
          </w:p>
          <w:p w:rsidR="00BC1DD2" w:rsidRPr="00863782" w:rsidRDefault="00BC1DD2" w:rsidP="00863782">
            <w:pPr>
              <w:pStyle w:val="4"/>
              <w:spacing w:before="120" w:after="120"/>
              <w:ind w:left="393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i w:val="0"/>
                <w:color w:val="auto"/>
                <w:position w:val="-76"/>
                <w:sz w:val="22"/>
                <w:szCs w:val="22"/>
              </w:rPr>
              <w:object w:dxaOrig="6259" w:dyaOrig="1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pt;height:72.75pt" o:ole="">
                  <v:imagedata r:id="rId7" o:title=""/>
                </v:shape>
                <o:OLEObject Type="Embed" ProgID="Equation.3" ShapeID="_x0000_i1025" DrawAspect="Content" ObjectID="_1565089984" r:id="rId8"/>
              </w:objec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>;</w: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  <w:t xml:space="preserve">   (35.0)</w:t>
            </w:r>
          </w:p>
          <w:p w:rsidR="00BC1DD2" w:rsidRPr="00863782" w:rsidRDefault="00BC1DD2" w:rsidP="00863782">
            <w:pPr>
              <w:pStyle w:val="4"/>
              <w:tabs>
                <w:tab w:val="left" w:pos="275"/>
              </w:tabs>
              <w:spacing w:before="120" w:after="120"/>
              <w:ind w:left="567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– на 2015 и последующие годы:</w:t>
            </w:r>
          </w:p>
          <w:p w:rsidR="00BC1DD2" w:rsidRPr="00863782" w:rsidRDefault="00BC1DD2" w:rsidP="00863782">
            <w:pPr>
              <w:pStyle w:val="4"/>
              <w:tabs>
                <w:tab w:val="left" w:pos="275"/>
              </w:tabs>
              <w:spacing w:before="120" w:after="120"/>
              <w:ind w:left="33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i w:val="0"/>
                <w:color w:val="auto"/>
                <w:position w:val="-14"/>
                <w:sz w:val="22"/>
                <w:szCs w:val="22"/>
              </w:rPr>
              <w:object w:dxaOrig="6420" w:dyaOrig="400">
                <v:shape id="_x0000_i1026" type="#_x0000_t75" style="width:321pt;height:18pt" o:ole="">
                  <v:imagedata r:id="rId9" o:title=""/>
                </v:shape>
                <o:OLEObject Type="Embed" ProgID="Equation.3" ShapeID="_x0000_i1026" DrawAspect="Content" ObjectID="_1565089985" r:id="rId10"/>
              </w:objec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>;</w: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  <w:t xml:space="preserve">    (35.1)</w:t>
            </w: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C1DD2" w:rsidRPr="00863782" w:rsidRDefault="0086378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noProof/>
                <w:position w:val="-34"/>
                <w:sz w:val="22"/>
                <w:szCs w:val="22"/>
              </w:rPr>
              <w:pict>
                <v:shape id="Рисунок 2" o:spid="_x0000_i1027" type="#_x0000_t75" style="width:167.25pt;height:30pt;visibility:visible">
                  <v:imagedata r:id="rId11" o:title=""/>
                </v:shape>
              </w:pic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― объем фактического производства 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lastRenderedPageBreak/>
              <w:t xml:space="preserve">электроэнергии по электростанции (группе электростанций)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>, определенный на основании данных коммерческого учета электроэнергии в каждой ГТП генерации (</w:t>
            </w:r>
            <w:r w:rsidR="00BC1DD2" w:rsidRPr="00863782">
              <w:rPr>
                <w:rFonts w:ascii="Garamond" w:hAnsi="Garamond"/>
                <w:position w:val="-12"/>
                <w:sz w:val="22"/>
                <w:szCs w:val="22"/>
              </w:rPr>
              <w:object w:dxaOrig="360" w:dyaOrig="380">
                <v:shape id="_x0000_i1028" type="#_x0000_t75" style="width:18pt;height:18.75pt" o:ole="">
                  <v:imagedata r:id="rId12" o:title=""/>
                </v:shape>
                <o:OLEObject Type="Embed" ProgID="Equation.3" ShapeID="_x0000_i1028" DrawAspect="Content" ObjectID="_1565089986" r:id="rId13"/>
              </w:objec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), в рабочие дни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>, в часы совмещенного максимума потребления по субъекту Российской Федерации (</w:t>
            </w:r>
            <w:r w:rsidRPr="00863782">
              <w:rPr>
                <w:rFonts w:ascii="Garamond" w:hAnsi="Garamond"/>
                <w:noProof/>
                <w:position w:val="-14"/>
                <w:sz w:val="22"/>
                <w:szCs w:val="22"/>
              </w:rPr>
              <w:pict>
                <v:shape id="Рисунок 1" o:spid="_x0000_i1029" type="#_x0000_t75" style="width:20.25pt;height:23.25pt;visibility:visible">
                  <v:imagedata r:id="rId14" o:title=""/>
                </v:shape>
              </w:pic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), определяемые в соответствии с п. 2.1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>).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position w:val="-12"/>
                <w:sz w:val="22"/>
                <w:szCs w:val="22"/>
              </w:rPr>
              <w:object w:dxaOrig="720" w:dyaOrig="380">
                <v:shape id="_x0000_i1030" type="#_x0000_t75" style="width:36pt;height:18.75pt" o:ole="">
                  <v:imagedata r:id="rId15" o:title=""/>
                </v:shape>
                <o:OLEObject Type="Embed" ProgID="Equation.3" ShapeID="_x0000_i1030" DrawAspect="Content" ObjectID="_1565089987" r:id="rId16"/>
              </w:objec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― объем мощности, отобранный по итогам КОМ в ГТП генерации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в отношении месяца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63782">
              <w:rPr>
                <w:rFonts w:ascii="Garamond" w:hAnsi="Garamond"/>
                <w:sz w:val="22"/>
                <w:szCs w:val="22"/>
              </w:rPr>
              <w:t>;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position w:val="-12"/>
                <w:sz w:val="22"/>
                <w:szCs w:val="22"/>
              </w:rPr>
              <w:object w:dxaOrig="980" w:dyaOrig="380">
                <v:shape id="_x0000_i1031" type="#_x0000_t75" style="width:48.75pt;height:18.75pt" o:ole="">
                  <v:imagedata r:id="rId17" o:title=""/>
                </v:shape>
                <o:OLEObject Type="Embed" ProgID="Equation.3" ShapeID="_x0000_i1031" DrawAspect="Content" ObjectID="_1565089988" r:id="rId18"/>
              </w:objec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― установленная мощность генерирующего оборудования, отобранного на КОМ в отношении декабря месяца соответствующего года поставки;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00" w:type="pct"/>
          </w:tcPr>
          <w:p w:rsidR="00BC1DD2" w:rsidRPr="00863782" w:rsidRDefault="00BC1DD2" w:rsidP="00863782">
            <w:pPr>
              <w:pStyle w:val="4"/>
              <w:tabs>
                <w:tab w:val="num" w:pos="0"/>
              </w:tabs>
              <w:spacing w:before="120" w:after="120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lastRenderedPageBreak/>
              <w:t>В отношении соответствующих ГТП генерации участников ОРЭМ, расположенных в ценовых зонах оптового рынка,</w:t>
            </w:r>
          </w:p>
          <w:p w:rsidR="00BC1DD2" w:rsidRPr="00863782" w:rsidRDefault="00BC1DD2" w:rsidP="00863782">
            <w:pPr>
              <w:pStyle w:val="4"/>
              <w:spacing w:before="120" w:after="120"/>
              <w:ind w:firstLine="709"/>
              <w:jc w:val="both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поставляющих мощность по итогам КОМ (за исключением гидроэлектростанций при расчете за декабрь месяц каждого календарного года),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  <w:highlight w:val="yellow"/>
              </w:rPr>
              <w:t>а также генерирующих объектов, в отношении которых участник оптового рынка отказался от исполнения обязательств по ДПМ с целью продажи мощности по цене КОМ</w:t>
            </w: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  <w:highlight w:val="yellow"/>
              </w:rPr>
              <w:t>:</w:t>
            </w:r>
          </w:p>
          <w:p w:rsidR="00BC1DD2" w:rsidRPr="00863782" w:rsidRDefault="00BC1DD2" w:rsidP="00863782">
            <w:pPr>
              <w:pStyle w:val="4"/>
              <w:spacing w:before="120" w:after="120"/>
              <w:ind w:left="600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– на 2014 и год:</w:t>
            </w:r>
          </w:p>
          <w:p w:rsidR="00BC1DD2" w:rsidRPr="00863782" w:rsidRDefault="00BC1DD2" w:rsidP="00863782">
            <w:pPr>
              <w:pStyle w:val="4"/>
              <w:spacing w:before="120" w:after="120"/>
              <w:ind w:left="393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i w:val="0"/>
                <w:color w:val="auto"/>
                <w:position w:val="-76"/>
                <w:sz w:val="22"/>
                <w:szCs w:val="22"/>
              </w:rPr>
              <w:object w:dxaOrig="6259" w:dyaOrig="1640">
                <v:shape id="_x0000_i1032" type="#_x0000_t75" style="width:291pt;height:72.75pt" o:ole="">
                  <v:imagedata r:id="rId7" o:title=""/>
                </v:shape>
                <o:OLEObject Type="Embed" ProgID="Equation.3" ShapeID="_x0000_i1032" DrawAspect="Content" ObjectID="_1565089989" r:id="rId19"/>
              </w:objec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>;</w: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  <w:t xml:space="preserve">   (35.0)</w:t>
            </w:r>
          </w:p>
          <w:p w:rsidR="00BC1DD2" w:rsidRPr="00863782" w:rsidRDefault="00BC1DD2" w:rsidP="00863782">
            <w:pPr>
              <w:pStyle w:val="4"/>
              <w:tabs>
                <w:tab w:val="left" w:pos="275"/>
              </w:tabs>
              <w:spacing w:before="120" w:after="120"/>
              <w:ind w:left="567"/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i w:val="0"/>
                <w:color w:val="auto"/>
                <w:sz w:val="22"/>
                <w:szCs w:val="22"/>
              </w:rPr>
              <w:t>– на 2015 и последующие годы:</w:t>
            </w:r>
          </w:p>
          <w:p w:rsidR="00BC1DD2" w:rsidRPr="00863782" w:rsidRDefault="00BC1DD2" w:rsidP="00863782">
            <w:pPr>
              <w:pStyle w:val="4"/>
              <w:tabs>
                <w:tab w:val="left" w:pos="275"/>
              </w:tabs>
              <w:spacing w:before="120" w:after="120"/>
              <w:ind w:left="33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63782">
              <w:rPr>
                <w:rFonts w:ascii="Garamond" w:hAnsi="Garamond"/>
                <w:i w:val="0"/>
                <w:color w:val="auto"/>
                <w:position w:val="-14"/>
                <w:sz w:val="22"/>
                <w:szCs w:val="22"/>
              </w:rPr>
              <w:object w:dxaOrig="6420" w:dyaOrig="400">
                <v:shape id="_x0000_i1033" type="#_x0000_t75" style="width:321pt;height:18pt" o:ole="">
                  <v:imagedata r:id="rId9" o:title=""/>
                </v:shape>
                <o:OLEObject Type="Embed" ProgID="Equation.3" ShapeID="_x0000_i1033" DrawAspect="Content" ObjectID="_1565089990" r:id="rId20"/>
              </w:objec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>;</w:t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</w:r>
            <w:r w:rsidRPr="00863782">
              <w:rPr>
                <w:rFonts w:ascii="Garamond" w:hAnsi="Garamond"/>
                <w:i w:val="0"/>
                <w:color w:val="auto"/>
                <w:sz w:val="22"/>
                <w:szCs w:val="22"/>
              </w:rPr>
              <w:tab/>
              <w:t xml:space="preserve">    (35.1)</w:t>
            </w: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C1DD2" w:rsidRPr="00863782" w:rsidRDefault="0086378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noProof/>
                <w:position w:val="-34"/>
                <w:sz w:val="22"/>
                <w:szCs w:val="22"/>
              </w:rPr>
              <w:pict>
                <v:shape id="Рисунок 3" o:spid="_x0000_i1034" type="#_x0000_t75" style="width:167.25pt;height:30pt;visibility:visible">
                  <v:imagedata r:id="rId11" o:title=""/>
                </v:shape>
              </w:pic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― объем фактического производства электроэнергии по электростанции (группе электростанций)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>, определенный на основании данных коммерческого учета электроэнергии в каждой ГТП генерации (</w:t>
            </w:r>
            <w:r w:rsidR="00BC1DD2" w:rsidRPr="00863782">
              <w:rPr>
                <w:rFonts w:ascii="Garamond" w:hAnsi="Garamond"/>
                <w:position w:val="-12"/>
                <w:sz w:val="22"/>
                <w:szCs w:val="22"/>
              </w:rPr>
              <w:object w:dxaOrig="360" w:dyaOrig="380">
                <v:shape id="_x0000_i1035" type="#_x0000_t75" style="width:18pt;height:18.75pt" o:ole="">
                  <v:imagedata r:id="rId12" o:title=""/>
                </v:shape>
                <o:OLEObject Type="Embed" ProgID="Equation.3" ShapeID="_x0000_i1035" DrawAspect="Content" ObjectID="_1565089991" r:id="rId21"/>
              </w:objec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), в рабочие дни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>, в часы совмещенного максимума потребления по субъекту Российской Федерации (</w:t>
            </w:r>
            <w:r w:rsidRPr="00863782">
              <w:rPr>
                <w:rFonts w:ascii="Garamond" w:hAnsi="Garamond"/>
                <w:noProof/>
                <w:position w:val="-14"/>
                <w:sz w:val="22"/>
                <w:szCs w:val="22"/>
              </w:rPr>
              <w:pict>
                <v:shape id="Рисунок 4" o:spid="_x0000_i1036" type="#_x0000_t75" style="width:20.25pt;height:23.25pt;visibility:visible">
                  <v:imagedata r:id="rId14" o:title=""/>
                </v:shape>
              </w:pic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), определяемые в соответствии с п. 2.1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="00BC1DD2" w:rsidRPr="0086378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BC1DD2" w:rsidRPr="00863782">
              <w:rPr>
                <w:rFonts w:ascii="Garamond" w:hAnsi="Garamond"/>
                <w:sz w:val="22"/>
                <w:szCs w:val="22"/>
              </w:rPr>
              <w:t>).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position w:val="-12"/>
                <w:sz w:val="22"/>
                <w:szCs w:val="22"/>
              </w:rPr>
              <w:object w:dxaOrig="720" w:dyaOrig="380">
                <v:shape id="_x0000_i1037" type="#_x0000_t75" style="width:36pt;height:18.75pt" o:ole="">
                  <v:imagedata r:id="rId15" o:title=""/>
                </v:shape>
                <o:OLEObject Type="Embed" ProgID="Equation.3" ShapeID="_x0000_i1037" DrawAspect="Content" ObjectID="_1565089992" r:id="rId22"/>
              </w:objec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― объем мощности, отобранный по итогам КОМ в ГТП генерации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в отношении месяца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 xml:space="preserve">m. 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генерирующих объектов, в отношении которых участник оптового рынка отказался от исполнения обязательств по ДПМ с целью продажи мощности по цене КОМ – объем мощности генерирующих объектов, поставляющих мощность по цене КОМ, определенный в соответствии с разделом 16 </w:t>
            </w:r>
            <w:r w:rsidRPr="00863782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863782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left="122" w:firstLine="42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position w:val="-12"/>
                <w:sz w:val="22"/>
                <w:szCs w:val="22"/>
              </w:rPr>
              <w:object w:dxaOrig="980" w:dyaOrig="380">
                <v:shape id="_x0000_i1038" type="#_x0000_t75" style="width:48.75pt;height:18.75pt" o:ole="">
                  <v:imagedata r:id="rId17" o:title=""/>
                </v:shape>
                <o:OLEObject Type="Embed" ProgID="Equation.3" ShapeID="_x0000_i1038" DrawAspect="Content" ObjectID="_1565089993" r:id="rId23"/>
              </w:objec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― установленная мощность генерирующего оборудования, отобранного на КОМ в отношении декабря месяца соответствующего года поставки;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left="122" w:firstLine="42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BC1DD2" w:rsidRPr="00A44AE4" w:rsidRDefault="00BC1DD2" w:rsidP="001062B5"/>
    <w:p w:rsidR="00863782" w:rsidRDefault="00863782" w:rsidP="001062B5">
      <w:pPr>
        <w:tabs>
          <w:tab w:val="left" w:pos="709"/>
        </w:tabs>
        <w:spacing w:after="60"/>
        <w:jc w:val="both"/>
        <w:rPr>
          <w:rFonts w:ascii="Garamond" w:hAnsi="Garamond"/>
          <w:b/>
          <w:sz w:val="26"/>
          <w:szCs w:val="26"/>
        </w:rPr>
        <w:sectPr w:rsidR="00863782" w:rsidSect="002016FF">
          <w:footerReference w:type="default" r:id="rId24"/>
          <w:pgSz w:w="16838" w:h="11906" w:orient="landscape"/>
          <w:pgMar w:top="1438" w:right="1134" w:bottom="850" w:left="1134" w:header="708" w:footer="708" w:gutter="0"/>
          <w:cols w:space="708"/>
          <w:titlePg/>
          <w:docGrid w:linePitch="360"/>
        </w:sectPr>
      </w:pPr>
    </w:p>
    <w:p w:rsidR="00BC1DD2" w:rsidRPr="00863782" w:rsidRDefault="00BC1DD2" w:rsidP="00863782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863782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 присоединении к торговой системе оптового рынка)</w:t>
      </w:r>
    </w:p>
    <w:p w:rsidR="00BC1DD2" w:rsidRPr="00A44AE4" w:rsidRDefault="00BC1DD2" w:rsidP="00863782">
      <w:pPr>
        <w:tabs>
          <w:tab w:val="left" w:pos="709"/>
        </w:tabs>
        <w:ind w:firstLine="287"/>
        <w:jc w:val="both"/>
        <w:rPr>
          <w:rFonts w:ascii="Garamond" w:hAnsi="Garamond"/>
          <w:b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7087"/>
        <w:gridCol w:w="6782"/>
      </w:tblGrid>
      <w:tr w:rsidR="00BC1DD2" w:rsidRPr="00863782" w:rsidTr="007E4FBB">
        <w:trPr>
          <w:trHeight w:val="435"/>
        </w:trPr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98" w:type="pct"/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295" w:type="pct"/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C1DD2" w:rsidRPr="00863782" w:rsidTr="007E4FBB">
        <w:trPr>
          <w:trHeight w:val="345"/>
        </w:trPr>
        <w:tc>
          <w:tcPr>
            <w:tcW w:w="307" w:type="pct"/>
            <w:vAlign w:val="center"/>
          </w:tcPr>
          <w:p w:rsidR="00BC1DD2" w:rsidRPr="00863782" w:rsidRDefault="00BC1DD2" w:rsidP="007E4FBB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16.1.5</w:t>
            </w:r>
          </w:p>
        </w:tc>
        <w:tc>
          <w:tcPr>
            <w:tcW w:w="2398" w:type="pct"/>
          </w:tcPr>
          <w:p w:rsidR="00BC1DD2" w:rsidRPr="00863782" w:rsidRDefault="00BC1DD2" w:rsidP="00863782">
            <w:pPr>
              <w:tabs>
                <w:tab w:val="left" w:pos="221"/>
                <w:tab w:val="left" w:pos="720"/>
              </w:tabs>
              <w:spacing w:before="120" w:after="120"/>
              <w:ind w:right="87" w:firstLine="22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63782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2295" w:type="pct"/>
          </w:tcPr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left="122" w:hanging="49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участником оптового рынка до 10 (включительно) числа месяца, предшествующего </w:t>
            </w:r>
            <w:r w:rsidRPr="00863782">
              <w:rPr>
                <w:rFonts w:ascii="Garamond" w:hAnsi="Garamond"/>
                <w:bCs/>
                <w:sz w:val="22"/>
                <w:szCs w:val="22"/>
                <w:highlight w:val="yellow"/>
              </w:rPr>
              <w:t>расчетному периоду (календарному месяцу),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 xml:space="preserve"> подано уведомление в ЦФР об одностороннем отказе от исполнения обязательств по договору о предоставлении мощности и о намерении поставлять мощность по цене, определенной по результатам КОМ, Коммерческий оператор в отношении соответствующей ГТП генерации в Реестре поставщиков и генерирующих объектов участников оптового рынка указывает признак «отказ от ДПМ, поставка по цене КОМ».</w:t>
            </w:r>
          </w:p>
        </w:tc>
      </w:tr>
      <w:tr w:rsidR="00BC1DD2" w:rsidRPr="00863782" w:rsidTr="007E4FBB">
        <w:trPr>
          <w:trHeight w:val="345"/>
        </w:trPr>
        <w:tc>
          <w:tcPr>
            <w:tcW w:w="307" w:type="pct"/>
            <w:vAlign w:val="center"/>
          </w:tcPr>
          <w:p w:rsidR="00BC1DD2" w:rsidRPr="00863782" w:rsidRDefault="00BC1DD2" w:rsidP="007E4FBB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16.2</w:t>
            </w:r>
          </w:p>
        </w:tc>
        <w:tc>
          <w:tcPr>
            <w:tcW w:w="2398" w:type="pct"/>
          </w:tcPr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Ежемесячно не позднее 3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 (трех) рабочих дней до начала каждого расчетного периода (календарного месяца) СО передает КО Реестр обязательств по поставке мощности по результатам КОМ, сформированный СО на основании актуального Реестра поставщиков и генерирующих объектов участников оптового рынка и содержащий в отношении каждой ГТП генерации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в отношении каждого месяца поставки каждого периода, на который проведен КОМ, начиная с данного расчетного периода: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объем мощности генерирующих объектов, в отношении которых заключены договоры о предоставлении мощности, а также договоры купли-продажи мощности новых АЭС и ГЭС, учтенный при проведении КОМ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объем мощности генерирующих объектов, отобранных по результатам КОМ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объем мощности генерирующих объектов, учтенных при проведении КОМ как генерирующие объекты, поставляющие мощность в вынужденном режиме</w:t>
            </w:r>
            <w:r w:rsidRPr="0086378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объем мощности, указанный в ценовых заявках для участия в КОМ в отношении генерирующих объектов, неотобранных по результатам </w:t>
            </w: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>КОМ;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объем мощности</w:t>
            </w:r>
            <w:r w:rsidRPr="00863782">
              <w:rPr>
                <w:rFonts w:ascii="Garamond" w:hAnsi="Garamond"/>
                <w:sz w:val="22"/>
                <w:szCs w:val="22"/>
              </w:rPr>
              <w:t>, указанный в ценовых заявках для участия в КОМ, в отношении генерирующих объектов, технические параметры которых не соответствуют Правилам оптового рынка;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  <w:tab w:val="num" w:pos="567"/>
              </w:tabs>
              <w:spacing w:before="120" w:after="120"/>
              <w:ind w:left="567" w:hanging="283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объемы мощности, определенные в соответствии с п.24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Регламента отнесения генерирующих объектов к генерирующим, поставляющим мощность в вынужденном режиме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(Приложение № 19.7 к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63782">
              <w:rPr>
                <w:rFonts w:ascii="Garamond" w:hAnsi="Garamond"/>
                <w:sz w:val="22"/>
                <w:szCs w:val="22"/>
              </w:rPr>
              <w:t>) в отношении генерирующих объектов, перечисленных в распоряжении Правительства Российской Федерации от 23.12.2016 № 2789-р, не учтенных при проведении КОМ как генерирующее оборудование, поставляющее мощность в вынужденном режиме.</w:t>
            </w:r>
          </w:p>
          <w:p w:rsidR="00BC1DD2" w:rsidRPr="00863782" w:rsidRDefault="00BC1DD2" w:rsidP="00863782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При этом в отношении объектов, не относящихся к гидроэлектростанциям, помесячные объемы располагаемой мощности ГЕМ, указанные в ценовой заявке на период с января (либо с месяца, следующего за месяцем окончания поставки мощности по ДПМ или договорам новых ГЭС/АЭС или поставки мощности в вынужденном режиме) по ноябрь и превышающие объем располагаемой мощности, указанный в ценовой заявке на декабрь, включаются в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 </w:t>
            </w:r>
            <w:r w:rsidRPr="00863782">
              <w:rPr>
                <w:rFonts w:ascii="Garamond" w:hAnsi="Garamond"/>
                <w:sz w:val="22"/>
                <w:szCs w:val="22"/>
              </w:rPr>
              <w:t>в объеме располагаемой мощности, указанной в ценовой заявке на декабрь.</w:t>
            </w:r>
          </w:p>
          <w:p w:rsidR="00BC1DD2" w:rsidRPr="00863782" w:rsidRDefault="00BC1DD2" w:rsidP="00863782">
            <w:pPr>
              <w:autoSpaceDE w:val="0"/>
              <w:autoSpaceDN w:val="0"/>
              <w:spacing w:before="120" w:after="120"/>
              <w:ind w:right="84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В случае если Реестр поставщиков и генерирующих объектов участников оптового рынка содержит изменение состава ГЕМ, в которые входит генерирующее оборудование, включенное в Реестр поставщиков и генерирующих объектов, допущенных к участию в КОМ, на соответствующий год, либо в Реестр генерирующих объектов, поставляющих мощность в вынужденном режиме, учтенный в КОМ на соответствующий год, объемы мощности по таким ГЕМ для целей формирования реестров в соответствии с настоящим пунктом определяются СО путем суммирования значений, содержащихся в ценовой заявке в поле «Располагаемая мощность ЕГО» в отношении ЕГО, входящих в соответствующие ГЕМ, для объектов, ранее включенных в Реестр поставщиков и генерирующих объектов, допущенных к участию в КОМ на соответствующий год – не более чем объем располагаемой мощности, определенный аналогичным образом на </w:t>
            </w: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 xml:space="preserve">декабрь, для объектов, ранее включенных в Реестр генерирующих объектов, поставляющих мощность в вынужденном режиме – не более </w:t>
            </w:r>
            <w:r w:rsidRPr="0086378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величины объема поставки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мощности, указанного в отношении соответствующего объекта в данном реестре. </w:t>
            </w:r>
          </w:p>
          <w:p w:rsidR="00BC1DD2" w:rsidRPr="00863782" w:rsidRDefault="00BC1DD2" w:rsidP="0086378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В случае если сумма значений объемов располагаемой мощности всех ЕГО, входящих в ГЕМ, состав которых изменился, в каком-либо месяце превышает соответствующий объем располагаемой мощности, определенный на декабрь, СО перераспределяет объемы мощности по измененным ГЕМ в таком месяце (месяцах) на основании заявления 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поставщика мощности о распределении заявленных в составе ценовой заявки на продажу мощности помесячных объемов мощности (в поле «Располагаемая мощность ГЕМ») ГЕМ, зарегистрированной (-ых) на момент подачи такой заявки, между ГЕМ, зарегистрированными в результате ее (их) разделения, направленного поставщиком мощности в СО за 5 (пять) рабочих дней до месяца, в котором произойдет изменение состава ГЕМ. При неполучении такого заявления в указанный срок либо его несоответствия указанным выше условиям СО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распределяет объем располагаемой мощности, заявленный в отношении ГЕМ, зарегистрированной на момент подачи ценовой заявки на продажу мощности, между измененными (разделенными) ГЕМ пропорционально значениям располагаемой мощности всех ЕГО, относящихся к измененной ГЕМ, заявленным в ценовой заявке в отношении декабря.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В случае получения Системным оператором уведомления от Коммерческого оператора в соответствии с пунктом 16.1.4. настоящего Регламента Системный оператор по ГТП генерации, указанной в уведомлении, в Реестре обязательств по поставке мощности по результатам КОМ указывает:</w:t>
            </w:r>
          </w:p>
          <w:p w:rsidR="00BC1DD2" w:rsidRPr="00863782" w:rsidRDefault="00BC1DD2" w:rsidP="00863782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в качестве объема мощности </w:t>
            </w:r>
            <w:r w:rsidRPr="00863782">
              <w:rPr>
                <w:rFonts w:ascii="Garamond" w:hAnsi="Garamond"/>
                <w:sz w:val="22"/>
                <w:szCs w:val="22"/>
              </w:rPr>
              <w:t>генерирующих объектов, в отношении которых заключены договоры о предоставлении мощности, а также договоры купли-продажи мощности новых АЭС и ГЭС, учтенного при проведении КОМ, –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 объем, равный величине установленной мощности, указанной в распоряжении Правительства Российской Федерации от 11.08.2010 № 1334-р и переданной КО в составе Реестра поставщиков </w:t>
            </w:r>
            <w:r w:rsidRPr="00863782">
              <w:rPr>
                <w:rFonts w:ascii="Garamond" w:hAnsi="Garamond"/>
                <w:sz w:val="22"/>
                <w:szCs w:val="22"/>
              </w:rPr>
              <w:t>и генерирующих объектов участников оптового рынка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sz w:val="22"/>
                <w:szCs w:val="22"/>
              </w:rPr>
              <w:lastRenderedPageBreak/>
              <w:t>иные объемы мощности – равными нулю.</w:t>
            </w:r>
          </w:p>
          <w:p w:rsidR="00BC1DD2" w:rsidRPr="00863782" w:rsidRDefault="00BC1DD2" w:rsidP="0086378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По ГТП генерации, зарегистрированным в отношении генерирующих объектов, осуществляющих поставку мощности по договорам о предоставлении мощности или договорам купли-продажи мощности новых АЭС и ГЭС, Коммерческий оператор учитывает равными нулю объемы, указанные в Реестре обязательств по поставке мощности по результатам КОМ в отношении генерирующих объектов, отобранных по результатам КОМ или учтенных при проведении КОМ как генерирующие объекты, поставляющие мощность в вынужденном режиме.</w:t>
            </w:r>
          </w:p>
          <w:p w:rsidR="00BC1DD2" w:rsidRPr="00863782" w:rsidRDefault="00BC1DD2" w:rsidP="00863782">
            <w:pPr>
              <w:spacing w:before="120" w:after="120"/>
              <w:ind w:firstLine="567"/>
              <w:jc w:val="both"/>
              <w:rPr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295" w:type="pct"/>
          </w:tcPr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>Ежемесячно не позднее 3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 (трех) рабочих дней до начала каждого расчетного периода (календарного месяца) СО передает КО Реестр обязательств по поставке мощности по результатам КОМ, сформированный СО на основании актуального Реестра поставщиков и генерирующих объектов участников оптового рынка и содержащий в отношении каждой ГТП генерации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в отношении каждого месяца поставки каждого периода, на который проведен КОМ, начиная с данного расчетного периода: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объем мощности генерирующих объектов, в отношении которых заключены договоры о предоставлении мощности, а также договоры купли-продажи мощности новых АЭС и ГЭС, учтенный при проведении КОМ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  <w:tab w:val="num" w:pos="1774"/>
              </w:tabs>
              <w:spacing w:before="120" w:after="120"/>
              <w:ind w:left="64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объем мощности генерирующих объектов, отобранных по результатам КОМ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, а также генерирующих объектов, в отношении которых участник оптового рынка отказался от исполнения обязательств по ДПМ с целью продажи мощности по цене КОМ (далее – объем мощности генерирующих объектов, отобранных по результатам КОМ)</w:t>
            </w:r>
            <w:r w:rsidRPr="00863782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объем мощности генерирующих объектов, учтенных при проведении КОМ как генерирующие объекты, поставляющие </w:t>
            </w: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>мощность в вынужденном режиме</w:t>
            </w:r>
            <w:r w:rsidRPr="0086378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объем мощности, указанный в ценовых заявках для участия в КОМ в отношении генерирующих объектов, неотобранных по результатам КОМ;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</w:tabs>
              <w:spacing w:before="120" w:after="120"/>
              <w:ind w:left="600" w:hanging="35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объем мощности</w:t>
            </w:r>
            <w:r w:rsidRPr="00863782">
              <w:rPr>
                <w:rFonts w:ascii="Garamond" w:hAnsi="Garamond"/>
                <w:sz w:val="22"/>
                <w:szCs w:val="22"/>
              </w:rPr>
              <w:t>, указанный в ценовых заявках для участия в КОМ, в отношении генерирующих объектов, технические параметры которых не соответствуют Правилам оптового рынка;</w:t>
            </w:r>
          </w:p>
          <w:p w:rsidR="00BC1DD2" w:rsidRPr="00863782" w:rsidRDefault="00BC1DD2" w:rsidP="00863782">
            <w:pPr>
              <w:numPr>
                <w:ilvl w:val="0"/>
                <w:numId w:val="4"/>
              </w:numPr>
              <w:tabs>
                <w:tab w:val="clear" w:pos="1620"/>
                <w:tab w:val="num" w:pos="567"/>
              </w:tabs>
              <w:spacing w:before="120" w:after="120"/>
              <w:ind w:left="567" w:hanging="283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объемы мощности, определенные в соответствии с п.24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Регламента отнесения генерирующих объектов к генерирующим, поставляющим мощность в вынужденном режиме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(Приложение № 19.7 к </w:t>
            </w:r>
            <w:r w:rsidRPr="0086378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63782">
              <w:rPr>
                <w:rFonts w:ascii="Garamond" w:hAnsi="Garamond"/>
                <w:sz w:val="22"/>
                <w:szCs w:val="22"/>
              </w:rPr>
              <w:t>) в отношении генерирующих объектов, перечисленных в распоряжении Правительства Российской Федерации от 23.12.2016 № 2789-р, не учтенных при проведении КОМ как генерирующее оборудование, поставляющее мощность в вынужденном режиме.</w:t>
            </w:r>
          </w:p>
          <w:p w:rsidR="00BC1DD2" w:rsidRPr="00863782" w:rsidRDefault="00BC1DD2" w:rsidP="00863782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При этом в отношении объектов, не относящихся к гидроэлектростанциям, помесячные объемы располагаемой мощности ГЕМ, указанные в ценовой заявке на период с января (либо с месяца, следующего за месяцем окончания поставки мощности по ДПМ или договорам новых ГЭС/АЭС или поставки мощности в вынужденном режиме) по ноябрь и превышающие объем располагаемой мощности, указанный в ценовой заявке на декабрь, включаются в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 </w:t>
            </w:r>
            <w:r w:rsidRPr="00863782">
              <w:rPr>
                <w:rFonts w:ascii="Garamond" w:hAnsi="Garamond"/>
                <w:sz w:val="22"/>
                <w:szCs w:val="22"/>
              </w:rPr>
              <w:t>в объеме располагаемой мощности, указанной в ценовой заявке на декабрь.</w:t>
            </w:r>
          </w:p>
          <w:p w:rsidR="00BC1DD2" w:rsidRPr="00863782" w:rsidRDefault="00BC1DD2" w:rsidP="00863782">
            <w:pPr>
              <w:autoSpaceDE w:val="0"/>
              <w:autoSpaceDN w:val="0"/>
              <w:spacing w:before="120" w:after="120"/>
              <w:ind w:right="84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В случае если Реестр поставщиков и генерирующих объектов участников оптового рынка содержит изменение состава ГЕМ, в которые входит генерирующее оборудование, включенное в Реестр поставщиков и генерирующих объектов, допущенных к участию в КОМ, на соответствующий год, либо в Реестр генерирующих объектов, поставляющих мощность в вынужденном режиме, учтенный в КОМ на соответствующий год, объемы мощности по таким ГЕМ для целей формирования реестров в соответствии с настоящим пунктом определяются СО путем суммирования значений, содержащихся в </w:t>
            </w: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 xml:space="preserve">ценовой заявке в поле «Располагаемая мощность ЕГО» в отношении ЕГО, входящих в соответствующие ГЕМ, для объектов, ранее включенных в Реестр поставщиков и генерирующих объектов, допущенных к участию в КОМ на соответствующий год – не более чем объем располагаемой мощности, определенный аналогичным образом на декабрь, для объектов, ранее включенных в Реестр генерирующих объектов, поставляющих мощность в вынужденном режиме – не более </w:t>
            </w:r>
            <w:r w:rsidRPr="0086378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величины объема поставки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мощности, указанного в отношении соответствующего объекта в данном реестре. </w:t>
            </w:r>
          </w:p>
          <w:p w:rsidR="00BC1DD2" w:rsidRPr="00863782" w:rsidRDefault="00BC1DD2" w:rsidP="0086378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В случае если сумма значений объемов располагаемой мощности всех ЕГО, входящих в ГЕМ, состав которых изменился, в каком-либо месяце превышает соответствующий объем располагаемой мощности, определенный на декабрь, СО перераспределяет объемы мощности по измененным ГЕМ в таком месяце (месяцах) на основании заявления 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поставщика мощности о распределении заявленных в составе ценовой заявки на продажу мощности помесячных объемов мощности (в поле «Располагаемая мощность ГЕМ») ГЕМ, зарегистрированной (-ых) на момент подачи такой заявки, между ГЕМ, зарегистрированными в результате ее (их) разделения, направленного поставщиком мощности в СО за 5 (пять) рабочих дней до месяца, в котором произойдет изменение состава ГЕМ. При неполучении такого заявления в указанный срок либо его несоответствия указанным выше условиям СО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 распределяет объем располагаемой мощности, заявленный в отношении ГЕМ, зарегистрированной на момент подачи ценовой заявки на продажу мощности, между измененными (разделенными) ГЕМ пропорционально значениям располагаемой мощности всех ЕГО, относящихся к измененной ГЕМ, заявленным в ценовой заявке в отношении декабря.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В случае получения Системным оператором уведомления от Коммерческого оператора в соответствии с пунктом 16.1.4. настоящего Регламента Системный оператор по ГТП генерации, указанной в уведомлении, в Реестре обязательств по поставке мощности по результатам КОМ указывает:</w:t>
            </w:r>
          </w:p>
          <w:p w:rsidR="00BC1DD2" w:rsidRPr="00863782" w:rsidRDefault="00BC1DD2" w:rsidP="00863782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в качестве объема мощности </w:t>
            </w:r>
            <w:r w:rsidRPr="00863782">
              <w:rPr>
                <w:rFonts w:ascii="Garamond" w:hAnsi="Garamond"/>
                <w:sz w:val="22"/>
                <w:szCs w:val="22"/>
              </w:rPr>
              <w:t xml:space="preserve">генерирующих объектов, в отношении которых заключены договоры о предоставлении </w:t>
            </w: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>мощности, а также договоры купли-продажи мощности новых АЭС и ГЭС, учтенного при проведении КОМ, –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 xml:space="preserve"> объем, равный величине установленной мощности, указанной в распоряжении Правительства Российской Федерации от 11.08.2010 № 1334-р и переданной КО в составе Реестра поставщиков </w:t>
            </w:r>
            <w:r w:rsidRPr="00863782">
              <w:rPr>
                <w:rFonts w:ascii="Garamond" w:hAnsi="Garamond"/>
                <w:sz w:val="22"/>
                <w:szCs w:val="22"/>
              </w:rPr>
              <w:t>и генерирующих объектов участников оптового рынка</w:t>
            </w:r>
            <w:r w:rsidRPr="00863782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BC1DD2" w:rsidRPr="00863782" w:rsidRDefault="00BC1DD2" w:rsidP="00863782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bCs/>
                <w:sz w:val="22"/>
                <w:szCs w:val="22"/>
              </w:rPr>
              <w:t>иные объемы мощности – равными нулю.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В случае получения Системным оператором от Коммерческого оператора в отношении ГТП генерации признака в соответствии с пунктом 16.1.5. настоящего Регламента Системный оператор для такой ГТП генерации в Реестре обязательств по поставке мощности по результатам КОМ указывает:</w:t>
            </w:r>
          </w:p>
          <w:p w:rsidR="00BC1DD2" w:rsidRPr="00863782" w:rsidRDefault="00BC1DD2" w:rsidP="00863782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378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отношении каждого месяца поставки каждого периода, на который проведен КОМ, но не позднее даты прекращения поставки мощности по ДПМ, в качестве объема мощности 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генерирующих объектов, поставляющих мощность по цене КОМ, –</w:t>
            </w:r>
            <w:r w:rsidRPr="0086378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минимальную из величин объема располагаемой мощности, поданной участником в заявке для учета в КОМ, и объема установленной мощности, указанного в ДПМ и увеличенного на 10%;</w:t>
            </w:r>
          </w:p>
          <w:p w:rsidR="00BC1DD2" w:rsidRPr="00863782" w:rsidRDefault="00BC1DD2" w:rsidP="00863782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3782">
              <w:rPr>
                <w:rFonts w:ascii="Garamond" w:hAnsi="Garamond"/>
                <w:bCs/>
                <w:sz w:val="22"/>
                <w:szCs w:val="22"/>
                <w:highlight w:val="yellow"/>
              </w:rPr>
              <w:t>иные объемы мощности – равными нулю.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left="122" w:firstLine="42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По ГТП генерации, зарегистрированным в отношении генерирующих объектов, осуществляющих поставку мощности по договорам о предоставлении мощности или договорам купли-продажи мощности новых АЭС и ГЭС, Коммерческий оператор учитывает равными нулю объемы, указанные в Реестре обязательств по поставке мощности по результатам КОМ в отношении генерирующих объектов, отобранных по результатам КОМ или учтенных при проведении КОМ как генерирующие объекты, поставляющие мощность в вынужденном режиме.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ind w:left="122" w:firstLine="42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BC1DD2" w:rsidRPr="00A44AE4" w:rsidRDefault="00BC1DD2" w:rsidP="001062B5">
      <w:pPr>
        <w:outlineLvl w:val="0"/>
        <w:rPr>
          <w:rFonts w:ascii="Garamond" w:hAnsi="Garamond"/>
          <w:bCs/>
          <w:iCs/>
        </w:rPr>
      </w:pPr>
    </w:p>
    <w:p w:rsidR="00BC1DD2" w:rsidRDefault="00BC1DD2" w:rsidP="001062B5">
      <w:pPr>
        <w:tabs>
          <w:tab w:val="left" w:pos="709"/>
        </w:tabs>
        <w:spacing w:after="60"/>
        <w:jc w:val="both"/>
        <w:rPr>
          <w:rFonts w:ascii="Garamond" w:hAnsi="Garamond"/>
          <w:b/>
        </w:rPr>
      </w:pPr>
    </w:p>
    <w:p w:rsidR="00BC1DD2" w:rsidRPr="00863782" w:rsidRDefault="00BC1DD2" w:rsidP="00863782">
      <w:pPr>
        <w:tabs>
          <w:tab w:val="left" w:pos="709"/>
        </w:tabs>
        <w:spacing w:after="60"/>
        <w:rPr>
          <w:rFonts w:ascii="Garamond" w:hAnsi="Garamond"/>
          <w:b/>
          <w:sz w:val="26"/>
          <w:szCs w:val="26"/>
        </w:rPr>
      </w:pPr>
      <w:r w:rsidRPr="00863782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:rsidR="00BC1DD2" w:rsidRPr="00A44AE4" w:rsidRDefault="00BC1DD2" w:rsidP="001062B5">
      <w:pPr>
        <w:tabs>
          <w:tab w:val="left" w:pos="709"/>
        </w:tabs>
        <w:spacing w:after="60"/>
        <w:jc w:val="both"/>
        <w:rPr>
          <w:rFonts w:ascii="Garamond" w:hAnsi="Garamond"/>
          <w:b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7087"/>
        <w:gridCol w:w="6782"/>
      </w:tblGrid>
      <w:tr w:rsidR="00BC1DD2" w:rsidRPr="00863782" w:rsidTr="007E4FBB">
        <w:trPr>
          <w:trHeight w:val="435"/>
        </w:trPr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98" w:type="pct"/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295" w:type="pct"/>
            <w:vAlign w:val="center"/>
          </w:tcPr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C1DD2" w:rsidRPr="00863782" w:rsidRDefault="00BC1DD2" w:rsidP="007E4FB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C1DD2" w:rsidRPr="00863782" w:rsidTr="007E4FBB">
        <w:trPr>
          <w:trHeight w:val="345"/>
        </w:trPr>
        <w:tc>
          <w:tcPr>
            <w:tcW w:w="307" w:type="pct"/>
            <w:vAlign w:val="center"/>
          </w:tcPr>
          <w:p w:rsidR="00BC1DD2" w:rsidRPr="00863782" w:rsidRDefault="00BC1DD2" w:rsidP="007E4FBB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2.1.3.5</w:t>
            </w:r>
          </w:p>
        </w:tc>
        <w:tc>
          <w:tcPr>
            <w:tcW w:w="2398" w:type="pct"/>
          </w:tcPr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с 1 января года, на который проводится КОМ</w:t>
            </w:r>
            <w:r w:rsidRPr="00863782">
              <w:rPr>
                <w:rFonts w:ascii="Garamond" w:hAnsi="Garamond"/>
                <w:sz w:val="22"/>
                <w:szCs w:val="22"/>
              </w:rPr>
              <w:t>.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295" w:type="pct"/>
          </w:tcPr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  <w:p w:rsidR="00BC1DD2" w:rsidRPr="00863782" w:rsidRDefault="00BC1DD2" w:rsidP="0086378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</w:t>
            </w: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, и при этом участник оптового рынка уведомил ЦФР об отказе от поставки мощности по ДПМ не позднее 10 августа года проведения КОМ</w:t>
            </w:r>
            <w:r w:rsidRPr="00863782">
              <w:rPr>
                <w:rFonts w:ascii="Garamond" w:hAnsi="Garamond"/>
                <w:sz w:val="22"/>
                <w:szCs w:val="22"/>
              </w:rPr>
              <w:t>.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:rsidR="00BC1DD2" w:rsidRPr="00863782" w:rsidRDefault="00BC1DD2" w:rsidP="00863782">
            <w:pPr>
              <w:tabs>
                <w:tab w:val="left" w:pos="72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C1DD2" w:rsidRPr="00863782" w:rsidTr="007E4FBB">
        <w:trPr>
          <w:trHeight w:val="345"/>
        </w:trPr>
        <w:tc>
          <w:tcPr>
            <w:tcW w:w="307" w:type="pct"/>
            <w:vAlign w:val="center"/>
          </w:tcPr>
          <w:p w:rsidR="00BC1DD2" w:rsidRPr="00863782" w:rsidRDefault="00BC1DD2" w:rsidP="007E4FBB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63782">
              <w:rPr>
                <w:rFonts w:ascii="Garamond" w:hAnsi="Garamond" w:cs="Garamond"/>
                <w:b/>
                <w:bCs/>
                <w:sz w:val="22"/>
                <w:szCs w:val="22"/>
              </w:rPr>
              <w:t>3.2.3.1</w:t>
            </w:r>
          </w:p>
        </w:tc>
        <w:tc>
          <w:tcPr>
            <w:tcW w:w="2398" w:type="pct"/>
          </w:tcPr>
          <w:p w:rsidR="00BC1DD2" w:rsidRPr="00863782" w:rsidRDefault="00BC1DD2" w:rsidP="00863782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В отношении каждой генерирующей единицы мощности (ГЕМ), допущенной к участию в КОМ, указываются следующие признаки:</w:t>
            </w:r>
          </w:p>
          <w:p w:rsidR="00BC1DD2" w:rsidRPr="00863782" w:rsidRDefault="00BC1DD2" w:rsidP="00863782">
            <w:pPr>
              <w:tabs>
                <w:tab w:val="num" w:pos="1911"/>
              </w:tabs>
              <w:spacing w:before="120" w:after="120"/>
              <w:ind w:left="1418" w:hanging="648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а) Признак «только ценопринимающие заявки (обязательное ценопринимание на весь объем мощности в заявке)»: </w:t>
            </w:r>
          </w:p>
          <w:p w:rsidR="00BC1DD2" w:rsidRPr="00863782" w:rsidRDefault="00BC1DD2" w:rsidP="00863782">
            <w:pPr>
              <w:numPr>
                <w:ilvl w:val="1"/>
                <w:numId w:val="3"/>
              </w:numPr>
              <w:tabs>
                <w:tab w:val="clear" w:pos="1800"/>
                <w:tab w:val="num" w:pos="1911"/>
              </w:tabs>
              <w:spacing w:before="120" w:after="120"/>
              <w:ind w:left="1344" w:hanging="648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значение «да» устанавливается для следующих ГЕМ: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num" w:pos="1911"/>
                <w:tab w:val="left" w:pos="6663"/>
              </w:tabs>
              <w:spacing w:before="120" w:after="120"/>
              <w:ind w:left="1831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для всех ГЕМ, зарегистрированных за поставщиком мощности, который не воспользовался правом заключения ДПМ (устанавливается для поставщиков мощности, которые не подписали агентские договоры и ДПМ в отношении хотя бы одного из генерирующих объектов, по которым им предоставлено право заключения ДПМ);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num" w:pos="1911"/>
              </w:tabs>
              <w:spacing w:before="120" w:after="120"/>
              <w:ind w:left="1831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для всех ГЕМ, включенных в перечень генерирующих объектов, отнесенных на 1 января 2008 </w:t>
            </w: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 xml:space="preserve">года и (или) 1 января 2010 года к ГТП генерации, в отношении которых торговля электрической энергией или электрической энергией и мощностью осуществлялась участником оптового рынка, заключившим ДПМ в отношении генерирующего объекта </w:t>
            </w:r>
            <w:r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863782">
              <w:rPr>
                <w:rFonts w:ascii="Garamond" w:hAnsi="Garamond"/>
                <w:sz w:val="22"/>
                <w:szCs w:val="22"/>
              </w:rPr>
              <w:t>, предельный объем поставки мощности которого равен нулю на дату формирования настоящего реестра и для которого на дату 1 января года, в котором проводится КОМ, просрочка даты начала исполнения обязательства по поставке мощности по ДПМ составила более 12 месяцев;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num" w:pos="1911"/>
              </w:tabs>
              <w:spacing w:before="120" w:after="120"/>
              <w:ind w:left="1831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для всех ГЕМ, зарегистрированных в отношении генерирующих объектов ГЭС, расположенных во 2 ценовой зоне;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num" w:pos="1911"/>
              </w:tabs>
              <w:spacing w:before="120" w:after="120"/>
              <w:ind w:left="1831" w:hanging="283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для ГЕМ, зарегистрированных за поставщиком мощности, который в соответствии с Правилами оптового рынка и Правилами осуществления антимонопольного регулирования и контроля в электроэнергетике, утвержденными Постановлением Правительства РФ от 17.12.2013 № 1164,</w:t>
            </w:r>
            <w:r w:rsidRPr="00863782">
              <w:rPr>
                <w:rFonts w:ascii="Garamond" w:hAnsi="Garamond"/>
                <w:color w:val="FFFFFF"/>
                <w:sz w:val="22"/>
                <w:szCs w:val="22"/>
              </w:rPr>
              <w:t xml:space="preserve"> </w:t>
            </w:r>
            <w:r w:rsidRPr="00863782">
              <w:rPr>
                <w:rFonts w:ascii="Garamond" w:hAnsi="Garamond"/>
                <w:sz w:val="22"/>
                <w:szCs w:val="22"/>
              </w:rPr>
              <w:t>не направил в ФАС России перед проведением КОМ ходатайство об определении условий участия в конкурентном отборе мощности;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num" w:pos="1911"/>
              </w:tabs>
              <w:spacing w:before="120" w:after="120"/>
              <w:ind w:left="1831" w:hanging="28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3782">
              <w:rPr>
                <w:rFonts w:ascii="Garamond" w:hAnsi="Garamond"/>
                <w:sz w:val="22"/>
                <w:szCs w:val="22"/>
                <w:highlight w:val="yellow"/>
              </w:rPr>
              <w:t>для всех ГЕМ, включенных в объект генерации, в отношении которого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с 1 января года, на который проводится КОМ;</w:t>
            </w:r>
          </w:p>
          <w:p w:rsidR="00BC1DD2" w:rsidRPr="00863782" w:rsidRDefault="00BC1DD2" w:rsidP="00863782">
            <w:pPr>
              <w:numPr>
                <w:ilvl w:val="1"/>
                <w:numId w:val="3"/>
              </w:numPr>
              <w:tabs>
                <w:tab w:val="clear" w:pos="1800"/>
                <w:tab w:val="num" w:pos="1911"/>
              </w:tabs>
              <w:spacing w:before="120" w:after="120"/>
              <w:ind w:left="1485" w:hanging="648"/>
              <w:jc w:val="both"/>
              <w:rPr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значение «нет» устанавливается для всех остальных ГЕМ.</w:t>
            </w:r>
          </w:p>
        </w:tc>
        <w:tc>
          <w:tcPr>
            <w:tcW w:w="2295" w:type="pct"/>
          </w:tcPr>
          <w:p w:rsidR="00BC1DD2" w:rsidRPr="00863782" w:rsidRDefault="00BC1DD2" w:rsidP="00863782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>В отношении каждой генерирующей единицы мощности (ГЕМ), допущенной к участию в КОМ, указываются следующие признаки:</w:t>
            </w:r>
          </w:p>
          <w:p w:rsidR="00BC1DD2" w:rsidRPr="00863782" w:rsidRDefault="00BC1DD2" w:rsidP="00863782">
            <w:pPr>
              <w:tabs>
                <w:tab w:val="num" w:pos="1911"/>
              </w:tabs>
              <w:spacing w:before="120" w:after="120"/>
              <w:ind w:left="1418" w:hanging="648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 xml:space="preserve">а) Признак «только ценопринимающие заявки (обязательное ценопринимание на весь объем мощности в заявке)»: </w:t>
            </w:r>
          </w:p>
          <w:p w:rsidR="00BC1DD2" w:rsidRPr="00863782" w:rsidRDefault="00BC1DD2" w:rsidP="00863782">
            <w:pPr>
              <w:numPr>
                <w:ilvl w:val="1"/>
                <w:numId w:val="3"/>
              </w:numPr>
              <w:tabs>
                <w:tab w:val="clear" w:pos="1800"/>
                <w:tab w:val="num" w:pos="1911"/>
              </w:tabs>
              <w:spacing w:before="120" w:after="120"/>
              <w:ind w:left="1344" w:hanging="648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значение «да» устанавливается для следующих ГЕМ: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clear" w:pos="2520"/>
                <w:tab w:val="num" w:pos="1916"/>
                <w:tab w:val="left" w:pos="6663"/>
              </w:tabs>
              <w:spacing w:before="120" w:after="120"/>
              <w:ind w:left="191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для всех ГЕМ, зарегистрированных за поставщиком мощности, который не воспользовался правом заключения ДПМ (устанавливается для поставщиков мощности, которые не подписали агентские договоры и ДПМ в отношении хотя бы одного из генерирующих объектов, по которым им предоставлено право заключения ДПМ);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clear" w:pos="2520"/>
                <w:tab w:val="num" w:pos="1916"/>
              </w:tabs>
              <w:spacing w:before="120" w:after="120"/>
              <w:ind w:left="191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lastRenderedPageBreak/>
              <w:t xml:space="preserve">для всех ГЕМ, включенных в перечень генерирующих объектов, отнесенных на 1 января 2008 года и (или) 1 января 2010 года к ГТП генерации, в отношении которых торговля электрической энергией или электрической энергией и мощностью осуществлялась участником оптового рынка, заключившим ДПМ в отношении генерирующего объекта </w:t>
            </w:r>
            <w:r w:rsidRPr="00863782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863782">
              <w:rPr>
                <w:rFonts w:ascii="Garamond" w:hAnsi="Garamond"/>
                <w:sz w:val="22"/>
                <w:szCs w:val="22"/>
              </w:rPr>
              <w:t>, предельный объем поставки мощности которого равен нулю на дату формирования настоящего реестра и для которого на дату 1 января года, в котором проводится КОМ, просрочка даты начала исполнения обязательства по поставке мощности по ДПМ составила более 12 месяцев;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clear" w:pos="2520"/>
                <w:tab w:val="num" w:pos="1916"/>
              </w:tabs>
              <w:spacing w:before="120" w:after="120"/>
              <w:ind w:left="191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для всех ГЕМ, зарегистрированных в отношении генерирующих объектов ГЭС, расположенных во 2 ценовой зоне;</w:t>
            </w:r>
          </w:p>
          <w:p w:rsidR="00BC1DD2" w:rsidRPr="00863782" w:rsidRDefault="00BC1DD2" w:rsidP="00863782">
            <w:pPr>
              <w:numPr>
                <w:ilvl w:val="2"/>
                <w:numId w:val="3"/>
              </w:numPr>
              <w:tabs>
                <w:tab w:val="clear" w:pos="2520"/>
                <w:tab w:val="num" w:pos="1916"/>
              </w:tabs>
              <w:spacing w:before="120" w:after="120"/>
              <w:ind w:left="1916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для ГЕМ, зарегистрированных за поставщиком мощности, который в соответствии с Правилами оптового рынка и Правилами осуществления антимонопольного регулирования и контроля в электроэнергетике, утвержденными Постановлением Правительства РФ от 17.12.2013 № 1164,</w:t>
            </w:r>
            <w:r w:rsidRPr="00863782">
              <w:rPr>
                <w:rFonts w:ascii="Garamond" w:hAnsi="Garamond"/>
                <w:color w:val="FFFFFF"/>
                <w:sz w:val="22"/>
                <w:szCs w:val="22"/>
              </w:rPr>
              <w:t xml:space="preserve"> </w:t>
            </w:r>
            <w:r w:rsidRPr="00863782">
              <w:rPr>
                <w:rFonts w:ascii="Garamond" w:hAnsi="Garamond"/>
                <w:sz w:val="22"/>
                <w:szCs w:val="22"/>
              </w:rPr>
              <w:t>не направил в ФАС России перед проведением КОМ ходатайство об определении условий участия в конкурентном отборе мощности;</w:t>
            </w:r>
          </w:p>
          <w:p w:rsidR="00BC1DD2" w:rsidRPr="00863782" w:rsidRDefault="00BC1DD2" w:rsidP="00863782">
            <w:pPr>
              <w:pStyle w:val="a5"/>
              <w:numPr>
                <w:ilvl w:val="1"/>
                <w:numId w:val="3"/>
              </w:numPr>
              <w:tabs>
                <w:tab w:val="clear" w:pos="1800"/>
                <w:tab w:val="num" w:pos="1996"/>
              </w:tabs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</w:rPr>
            </w:pPr>
            <w:r w:rsidRPr="00863782">
              <w:rPr>
                <w:rFonts w:ascii="Garamond" w:hAnsi="Garamond"/>
                <w:sz w:val="22"/>
                <w:szCs w:val="22"/>
              </w:rPr>
              <w:t>значение «нет» устанавливается для всех остальных ГЕМ.</w:t>
            </w:r>
          </w:p>
        </w:tc>
      </w:tr>
    </w:tbl>
    <w:p w:rsidR="00BC1DD2" w:rsidRDefault="00BC1DD2" w:rsidP="009275A9">
      <w:pPr>
        <w:rPr>
          <w:rFonts w:ascii="Garamond" w:hAnsi="Garamond" w:cs="Garamond"/>
          <w:b/>
          <w:bCs/>
        </w:rPr>
      </w:pPr>
    </w:p>
    <w:sectPr w:rsidR="00BC1DD2" w:rsidSect="002016FF">
      <w:pgSz w:w="16838" w:h="11906" w:orient="landscape"/>
      <w:pgMar w:top="143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D2" w:rsidRDefault="00BC1DD2" w:rsidP="00A44AE4">
      <w:r>
        <w:separator/>
      </w:r>
    </w:p>
  </w:endnote>
  <w:endnote w:type="continuationSeparator" w:id="0">
    <w:p w:rsidR="00BC1DD2" w:rsidRDefault="00BC1DD2" w:rsidP="00A4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D2" w:rsidRDefault="0086378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BC1DD2" w:rsidRDefault="00BC1D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D2" w:rsidRDefault="00BC1DD2" w:rsidP="00A44AE4">
      <w:r>
        <w:separator/>
      </w:r>
    </w:p>
  </w:footnote>
  <w:footnote w:type="continuationSeparator" w:id="0">
    <w:p w:rsidR="00BC1DD2" w:rsidRDefault="00BC1DD2" w:rsidP="00A4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D5B9C"/>
    <w:multiLevelType w:val="multilevel"/>
    <w:tmpl w:val="4E94F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3">
    <w:nsid w:val="55055EFE"/>
    <w:multiLevelType w:val="hybridMultilevel"/>
    <w:tmpl w:val="55D651E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A9"/>
    <w:rsid w:val="00035EA2"/>
    <w:rsid w:val="001062B5"/>
    <w:rsid w:val="00152A57"/>
    <w:rsid w:val="001635BE"/>
    <w:rsid w:val="001676FC"/>
    <w:rsid w:val="002016FF"/>
    <w:rsid w:val="00252227"/>
    <w:rsid w:val="002568BD"/>
    <w:rsid w:val="002C7565"/>
    <w:rsid w:val="002E31A1"/>
    <w:rsid w:val="002E6E7E"/>
    <w:rsid w:val="00346CF1"/>
    <w:rsid w:val="003C003E"/>
    <w:rsid w:val="003D4A98"/>
    <w:rsid w:val="00426B60"/>
    <w:rsid w:val="00467FB1"/>
    <w:rsid w:val="004960AF"/>
    <w:rsid w:val="004E1BCD"/>
    <w:rsid w:val="005E5A12"/>
    <w:rsid w:val="00650254"/>
    <w:rsid w:val="007174B8"/>
    <w:rsid w:val="007228AF"/>
    <w:rsid w:val="00741692"/>
    <w:rsid w:val="007454A9"/>
    <w:rsid w:val="0079199A"/>
    <w:rsid w:val="007E1DE1"/>
    <w:rsid w:val="007E4FBB"/>
    <w:rsid w:val="008574E3"/>
    <w:rsid w:val="00863782"/>
    <w:rsid w:val="008C03DD"/>
    <w:rsid w:val="008D7700"/>
    <w:rsid w:val="008E5EB8"/>
    <w:rsid w:val="0090653B"/>
    <w:rsid w:val="009275A9"/>
    <w:rsid w:val="009461C2"/>
    <w:rsid w:val="009D55F2"/>
    <w:rsid w:val="009E05B5"/>
    <w:rsid w:val="00A342F3"/>
    <w:rsid w:val="00A44AE4"/>
    <w:rsid w:val="00A506FE"/>
    <w:rsid w:val="00A76A34"/>
    <w:rsid w:val="00AE0DD5"/>
    <w:rsid w:val="00AE2FB0"/>
    <w:rsid w:val="00B22524"/>
    <w:rsid w:val="00B22B76"/>
    <w:rsid w:val="00B80DBF"/>
    <w:rsid w:val="00BA4D68"/>
    <w:rsid w:val="00BC1DD2"/>
    <w:rsid w:val="00C57061"/>
    <w:rsid w:val="00C66139"/>
    <w:rsid w:val="00C8569F"/>
    <w:rsid w:val="00E63D06"/>
    <w:rsid w:val="00E8561C"/>
    <w:rsid w:val="00E9599B"/>
    <w:rsid w:val="00EB2AA2"/>
    <w:rsid w:val="00FC2221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12E0AE91-F4E3-45F8-8ED6-3D30235F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A9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h2,h21,Заголовок пункта (1.1),5,Reset numbering,222"/>
    <w:basedOn w:val="a"/>
    <w:link w:val="20"/>
    <w:uiPriority w:val="99"/>
    <w:qFormat/>
    <w:rsid w:val="00A506FE"/>
    <w:pPr>
      <w:spacing w:after="240"/>
      <w:ind w:left="720" w:hanging="720"/>
      <w:jc w:val="both"/>
      <w:outlineLvl w:val="1"/>
    </w:pPr>
    <w:rPr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A4D6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locked/>
    <w:rsid w:val="00A506FE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4D68"/>
    <w:rPr>
      <w:rFonts w:ascii="Calibri Light" w:hAnsi="Calibri Light" w:cs="Times New Roman"/>
      <w:i/>
      <w:iCs/>
      <w:color w:val="2E74B5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C00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003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C8569F"/>
    <w:pPr>
      <w:autoSpaceDE w:val="0"/>
      <w:autoSpaceDN w:val="0"/>
      <w:ind w:left="708"/>
    </w:pPr>
  </w:style>
  <w:style w:type="paragraph" w:styleId="a6">
    <w:name w:val="Body Text"/>
    <w:basedOn w:val="a"/>
    <w:link w:val="a7"/>
    <w:uiPriority w:val="99"/>
    <w:rsid w:val="00A44AE4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locked/>
    <w:rsid w:val="00A44AE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A44A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AE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44A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AE4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rsid w:val="00FD620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FD620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FD620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6063</Words>
  <Characters>34561</Characters>
  <Application>Microsoft Office Word</Application>
  <DocSecurity>0</DocSecurity>
  <Lines>288</Lines>
  <Paragraphs>81</Paragraphs>
  <ScaleCrop>false</ScaleCrop>
  <Company/>
  <LinksUpToDate>false</LinksUpToDate>
  <CharactersWithSpaces>40543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Марина Гирина</cp:lastModifiedBy>
  <cp:revision>7</cp:revision>
  <cp:lastPrinted>2017-08-07T11:37:00Z</cp:lastPrinted>
  <dcterms:created xsi:type="dcterms:W3CDTF">2017-08-18T12:28:00Z</dcterms:created>
  <dcterms:modified xsi:type="dcterms:W3CDTF">2017-08-24T11:26:00Z</dcterms:modified>
</cp:coreProperties>
</file>