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F17" w:rsidRPr="00682F17" w:rsidRDefault="00682F17" w:rsidP="00682F17">
      <w:pPr>
        <w:rPr>
          <w:rFonts w:ascii="Garamond" w:hAnsi="Garamond"/>
          <w:b/>
          <w:bCs/>
          <w:sz w:val="28"/>
          <w:szCs w:val="28"/>
          <w:lang w:eastAsia="en-US"/>
        </w:rPr>
      </w:pPr>
      <w:r w:rsidRPr="00682F17">
        <w:rPr>
          <w:rFonts w:ascii="Garamond" w:hAnsi="Garamond"/>
          <w:b/>
          <w:bCs/>
          <w:sz w:val="28"/>
          <w:szCs w:val="28"/>
          <w:lang w:eastAsia="en-US"/>
        </w:rPr>
        <w:t>Вопрос 1. Об изменении Временного регламента обеспечения торговли электрической энергией и мощностью на оптовом рынке в январе – марте 2019 года</w:t>
      </w:r>
    </w:p>
    <w:p w:rsidR="00682F17" w:rsidRPr="00682F17" w:rsidRDefault="00682F17" w:rsidP="00682F17">
      <w:pPr>
        <w:jc w:val="right"/>
        <w:rPr>
          <w:rFonts w:ascii="Garamond" w:hAnsi="Garamond"/>
          <w:b/>
          <w:bCs/>
          <w:sz w:val="28"/>
          <w:szCs w:val="28"/>
          <w:lang w:eastAsia="en-US"/>
        </w:rPr>
      </w:pPr>
    </w:p>
    <w:p w:rsidR="00682F17" w:rsidRPr="00682F17" w:rsidRDefault="00682F17" w:rsidP="00682F17">
      <w:pPr>
        <w:jc w:val="right"/>
        <w:rPr>
          <w:rFonts w:ascii="Garamond" w:hAnsi="Garamond"/>
          <w:b/>
          <w:bCs/>
          <w:sz w:val="22"/>
          <w:szCs w:val="22"/>
          <w:lang w:eastAsia="en-US"/>
        </w:rPr>
      </w:pPr>
      <w:r w:rsidRPr="00682F17">
        <w:rPr>
          <w:rFonts w:ascii="Garamond" w:hAnsi="Garamond"/>
          <w:b/>
          <w:bCs/>
          <w:sz w:val="28"/>
          <w:szCs w:val="28"/>
          <w:lang w:eastAsia="en-US"/>
        </w:rPr>
        <w:t>Приложение № 1</w:t>
      </w:r>
    </w:p>
    <w:p w:rsidR="00682F17" w:rsidRDefault="00682F17"/>
    <w:tbl>
      <w:tblPr>
        <w:tblpPr w:leftFromText="180" w:rightFromText="180" w:vertAnchor="text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6"/>
      </w:tblGrid>
      <w:tr w:rsidR="00682F17" w:rsidRPr="004449CC" w:rsidTr="004449CC">
        <w:trPr>
          <w:trHeight w:val="1402"/>
        </w:trPr>
        <w:tc>
          <w:tcPr>
            <w:tcW w:w="14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F17" w:rsidRPr="004449CC" w:rsidRDefault="00682F17" w:rsidP="00682F17">
            <w:pPr>
              <w:jc w:val="both"/>
              <w:rPr>
                <w:rFonts w:ascii="Garamond" w:eastAsia="Calibri" w:hAnsi="Garamond"/>
                <w:lang w:eastAsia="en-US"/>
              </w:rPr>
            </w:pPr>
            <w:r w:rsidRPr="004449CC">
              <w:rPr>
                <w:rFonts w:ascii="Garamond" w:hAnsi="Garamond"/>
                <w:b/>
                <w:bCs/>
                <w:lang w:eastAsia="en-US"/>
              </w:rPr>
              <w:t xml:space="preserve">Инициатор: </w:t>
            </w:r>
            <w:r w:rsidRPr="004449CC">
              <w:rPr>
                <w:rFonts w:ascii="Garamond" w:hAnsi="Garamond"/>
                <w:lang w:eastAsia="en-US"/>
              </w:rPr>
              <w:t>Ассоциация «НП Совет рынка».</w:t>
            </w:r>
          </w:p>
          <w:p w:rsidR="004449CC" w:rsidRPr="004449CC" w:rsidRDefault="00E864DE" w:rsidP="00682F17">
            <w:pPr>
              <w:jc w:val="both"/>
              <w:rPr>
                <w:rFonts w:ascii="Garamond" w:hAnsi="Garamond"/>
              </w:rPr>
            </w:pPr>
            <w:r w:rsidRPr="004449CC">
              <w:rPr>
                <w:rFonts w:ascii="Garamond" w:hAnsi="Garamond"/>
                <w:b/>
                <w:bCs/>
                <w:lang w:eastAsia="en-US"/>
              </w:rPr>
              <w:t>Обоснование:</w:t>
            </w:r>
            <w:r w:rsidR="00682F17" w:rsidRPr="004449CC">
              <w:rPr>
                <w:rFonts w:ascii="Garamond" w:hAnsi="Garamond"/>
                <w:color w:val="000000"/>
                <w:lang w:eastAsia="en-US"/>
              </w:rPr>
              <w:t xml:space="preserve"> </w:t>
            </w:r>
            <w:r w:rsidR="004449CC" w:rsidRPr="004449CC">
              <w:rPr>
                <w:rFonts w:ascii="Garamond" w:hAnsi="Garamond"/>
                <w:color w:val="000000"/>
                <w:lang w:eastAsia="en-US"/>
              </w:rPr>
              <w:t>в</w:t>
            </w:r>
            <w:r w:rsidR="004449CC" w:rsidRPr="004449CC">
              <w:rPr>
                <w:rFonts w:ascii="Garamond" w:hAnsi="Garamond"/>
              </w:rPr>
              <w:t xml:space="preserve"> условиях отсутствия данных, необходимых для формирования обязательств/требований по договорам, заключенным на оптовом рынке электрической энергии и мощности, выполнение обычного порядка проведения торгов и расчета обязательств/требований на оптовом рынке с 1 января 2019 года будет невозможно. В связи с этим необходимо внести изменения во Временный регламент обеспечения торговли электрической энергией и мощностью на оптовом рынке в январе – марте 2019 года.</w:t>
            </w:r>
          </w:p>
          <w:p w:rsidR="00682F17" w:rsidRPr="004449CC" w:rsidRDefault="00682F17" w:rsidP="0089008F">
            <w:pPr>
              <w:jc w:val="both"/>
              <w:rPr>
                <w:rFonts w:ascii="Garamond" w:hAnsi="Garamond"/>
                <w:color w:val="000000"/>
                <w:lang w:eastAsia="en-US"/>
              </w:rPr>
            </w:pPr>
            <w:r w:rsidRPr="004449CC">
              <w:rPr>
                <w:rFonts w:ascii="Garamond" w:hAnsi="Garamond"/>
                <w:b/>
                <w:bCs/>
                <w:lang w:eastAsia="en-US"/>
              </w:rPr>
              <w:t>Дата вступления в силу:</w:t>
            </w:r>
            <w:r w:rsidRPr="004449CC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89008F" w:rsidRPr="004449CC">
              <w:rPr>
                <w:rFonts w:ascii="Garamond" w:hAnsi="Garamond"/>
                <w:color w:val="000000"/>
                <w:lang w:eastAsia="en-US"/>
              </w:rPr>
              <w:t>1</w:t>
            </w:r>
            <w:r w:rsidRPr="004449CC">
              <w:rPr>
                <w:rFonts w:ascii="Garamond" w:hAnsi="Garamond"/>
                <w:color w:val="000000"/>
                <w:lang w:eastAsia="en-US"/>
              </w:rPr>
              <w:t xml:space="preserve"> </w:t>
            </w:r>
            <w:r w:rsidR="0089008F" w:rsidRPr="004449CC">
              <w:rPr>
                <w:rFonts w:ascii="Garamond" w:hAnsi="Garamond"/>
                <w:color w:val="000000"/>
                <w:lang w:eastAsia="en-US"/>
              </w:rPr>
              <w:t>января</w:t>
            </w:r>
            <w:r w:rsidRPr="004449CC">
              <w:rPr>
                <w:rFonts w:ascii="Garamond" w:hAnsi="Garamond"/>
                <w:color w:val="000000"/>
                <w:lang w:eastAsia="en-US"/>
              </w:rPr>
              <w:t xml:space="preserve"> 201</w:t>
            </w:r>
            <w:r w:rsidR="0089008F" w:rsidRPr="004449CC">
              <w:rPr>
                <w:rFonts w:ascii="Garamond" w:hAnsi="Garamond"/>
                <w:color w:val="000000"/>
                <w:lang w:eastAsia="en-US"/>
              </w:rPr>
              <w:t>9</w:t>
            </w:r>
            <w:r w:rsidRPr="004449CC">
              <w:rPr>
                <w:rFonts w:ascii="Garamond" w:hAnsi="Garamond"/>
                <w:color w:val="000000"/>
                <w:lang w:eastAsia="en-US"/>
              </w:rPr>
              <w:t xml:space="preserve"> года.</w:t>
            </w:r>
          </w:p>
        </w:tc>
      </w:tr>
    </w:tbl>
    <w:p w:rsidR="00682F17" w:rsidRDefault="00682F17" w:rsidP="002C2802">
      <w:pPr>
        <w:rPr>
          <w:rFonts w:ascii="Garamond" w:hAnsi="Garamond"/>
          <w:b/>
          <w:bCs/>
          <w:sz w:val="26"/>
          <w:szCs w:val="26"/>
        </w:rPr>
      </w:pPr>
    </w:p>
    <w:p w:rsidR="002C2802" w:rsidRDefault="002C2802" w:rsidP="002C2802">
      <w:pPr>
        <w:rPr>
          <w:rFonts w:ascii="Garamond" w:hAnsi="Garamond"/>
          <w:b/>
          <w:bCs/>
          <w:sz w:val="26"/>
          <w:szCs w:val="26"/>
        </w:rPr>
      </w:pPr>
      <w:r w:rsidRPr="002C2802"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во ВРЕМЕННЫЙ РЕГЛАМЕНТ ОБЕСПЕЧЕНИЯ ТОРГОВЛИ ЭЛЕКТРИЧЕСКОЙ ЭНЕРГИЕЙ И МОЩНОСТЬЮ НА ОПТОВОМ РЫНКЕ В ЯНВАРЕ – МАРТЕ 201</w:t>
      </w:r>
      <w:r w:rsidR="00E864DE">
        <w:rPr>
          <w:rFonts w:ascii="Garamond" w:hAnsi="Garamond"/>
          <w:b/>
          <w:bCs/>
          <w:sz w:val="26"/>
          <w:szCs w:val="26"/>
        </w:rPr>
        <w:t>9</w:t>
      </w:r>
      <w:r w:rsidRPr="002C2802">
        <w:rPr>
          <w:rFonts w:ascii="Garamond" w:hAnsi="Garamond"/>
          <w:b/>
          <w:bCs/>
          <w:sz w:val="26"/>
          <w:szCs w:val="26"/>
        </w:rPr>
        <w:t xml:space="preserve"> ГОДА (Приложение № 20 к Договору о присоединении к торговой системе оптового рынка)</w:t>
      </w:r>
    </w:p>
    <w:p w:rsidR="00C335E7" w:rsidRDefault="00C335E7" w:rsidP="00C335E7">
      <w:pPr>
        <w:tabs>
          <w:tab w:val="left" w:pos="709"/>
        </w:tabs>
        <w:jc w:val="both"/>
        <w:rPr>
          <w:rFonts w:ascii="Garamond" w:hAnsi="Garamond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740"/>
        <w:gridCol w:w="6832"/>
      </w:tblGrid>
      <w:tr w:rsidR="00B20E18">
        <w:trPr>
          <w:trHeight w:val="435"/>
        </w:trPr>
        <w:tc>
          <w:tcPr>
            <w:tcW w:w="988" w:type="dxa"/>
            <w:vAlign w:val="center"/>
          </w:tcPr>
          <w:p w:rsidR="00B20E18" w:rsidRDefault="00CB5A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B20E18" w:rsidRDefault="00CB5A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740" w:type="dxa"/>
            <w:vAlign w:val="center"/>
          </w:tcPr>
          <w:p w:rsidR="00B20E18" w:rsidRDefault="00CB5A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B20E18" w:rsidRDefault="00CB5A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32" w:type="dxa"/>
            <w:vAlign w:val="center"/>
          </w:tcPr>
          <w:p w:rsidR="00B20E18" w:rsidRDefault="00CB5A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B20E18" w:rsidRDefault="00CB5AE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9001CA">
        <w:trPr>
          <w:trHeight w:val="435"/>
        </w:trPr>
        <w:tc>
          <w:tcPr>
            <w:tcW w:w="988" w:type="dxa"/>
            <w:vAlign w:val="center"/>
          </w:tcPr>
          <w:p w:rsidR="009001CA" w:rsidRDefault="003F295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5.26</w:t>
            </w:r>
          </w:p>
        </w:tc>
        <w:tc>
          <w:tcPr>
            <w:tcW w:w="6740" w:type="dxa"/>
            <w:vAlign w:val="center"/>
          </w:tcPr>
          <w:p w:rsidR="00EF3717" w:rsidRPr="00EF3717" w:rsidRDefault="00EF3717" w:rsidP="00EF3717">
            <w:pPr>
              <w:pStyle w:val="a3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bookmarkStart w:id="0" w:name="_Toc531623089"/>
            <w:r w:rsidRPr="00EF3717">
              <w:rPr>
                <w:rFonts w:ascii="Garamond" w:hAnsi="Garamond"/>
                <w:b/>
                <w:lang w:val="ru-RU"/>
              </w:rPr>
              <w:t>Порядок взаимодействия КО и участников оптового рынка при проведении расчетов по обязательствам/требованиям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bookmarkEnd w:id="0"/>
          </w:p>
          <w:p w:rsidR="009001CA" w:rsidRDefault="00EF3717" w:rsidP="00EF3717">
            <w:pPr>
              <w:pStyle w:val="a3"/>
              <w:ind w:firstLine="567"/>
              <w:rPr>
                <w:rFonts w:ascii="Garamond" w:eastAsia="Batang" w:hAnsi="Garamond" w:cs="Garamond"/>
                <w:szCs w:val="22"/>
                <w:lang w:val="ru-RU" w:eastAsia="ar-SA"/>
              </w:rPr>
            </w:pPr>
            <w:r w:rsidRPr="00B51A08">
              <w:rPr>
                <w:rFonts w:ascii="Garamond" w:hAnsi="Garamond"/>
                <w:szCs w:val="22"/>
                <w:lang w:val="ru-RU"/>
              </w:rPr>
              <w:t xml:space="preserve">КО не позднее </w:t>
            </w:r>
            <w:r w:rsidRPr="00EF3717">
              <w:rPr>
                <w:rFonts w:ascii="Garamond" w:hAnsi="Garamond"/>
                <w:szCs w:val="22"/>
                <w:highlight w:val="yellow"/>
                <w:lang w:val="ru-RU"/>
              </w:rPr>
              <w:t>14</w:t>
            </w:r>
            <w:r w:rsidRPr="00B51A08">
              <w:rPr>
                <w:rFonts w:ascii="Garamond" w:hAnsi="Garamond"/>
                <w:szCs w:val="22"/>
                <w:lang w:val="ru-RU"/>
              </w:rPr>
              <w:t xml:space="preserve"> января 2019 года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уведомления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к </w:t>
            </w:r>
            <w:r w:rsidRPr="00B51A08">
              <w:rPr>
                <w:rFonts w:ascii="Garamond" w:hAnsi="Garamond"/>
                <w:i/>
                <w:szCs w:val="22"/>
                <w:lang w:val="ru-RU"/>
              </w:rPr>
              <w:t>Регламенту финансовых расчетов на оптовом рынке электроэнергии</w:t>
            </w:r>
            <w:r w:rsidRPr="00B51A08">
              <w:rPr>
                <w:rFonts w:ascii="Garamond" w:hAnsi="Garamond"/>
                <w:szCs w:val="22"/>
                <w:lang w:val="ru-RU"/>
              </w:rPr>
              <w:t xml:space="preserve"> (Приложение № 16 к </w:t>
            </w:r>
            <w:r w:rsidRPr="00B51A08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B51A08">
              <w:rPr>
                <w:rFonts w:ascii="Garamond" w:hAnsi="Garamond"/>
                <w:szCs w:val="22"/>
                <w:lang w:val="ru-RU"/>
              </w:rPr>
              <w:t>) за расчетный месяц – январь 2019 года в отношении каждого года поставки, на который проведен КОМ, с указанием информации в отношен</w:t>
            </w:r>
            <w:r>
              <w:rPr>
                <w:rFonts w:ascii="Garamond" w:hAnsi="Garamond"/>
                <w:szCs w:val="22"/>
                <w:lang w:val="ru-RU"/>
              </w:rPr>
              <w:t>ии каждого месяца года поставки</w:t>
            </w:r>
            <w:r w:rsidRPr="00B51A08">
              <w:rPr>
                <w:rFonts w:ascii="Garamond" w:hAnsi="Garamond"/>
                <w:szCs w:val="22"/>
                <w:lang w:val="ru-RU"/>
              </w:rPr>
              <w:t xml:space="preserve">. </w:t>
            </w:r>
            <w:r w:rsidRPr="00B51A08">
              <w:rPr>
                <w:rFonts w:ascii="Garamond" w:hAnsi="Garamond"/>
                <w:szCs w:val="22"/>
                <w:lang w:val="ru-RU"/>
              </w:rPr>
              <w:lastRenderedPageBreak/>
              <w:t xml:space="preserve">Указанные уведомления формируются на основании </w:t>
            </w:r>
            <w:r w:rsidRPr="00B51A08">
              <w:rPr>
                <w:rFonts w:ascii="Garamond" w:hAnsi="Garamond"/>
                <w:bCs/>
                <w:szCs w:val="22"/>
                <w:lang w:val="ru-RU"/>
              </w:rPr>
              <w:t>Реестра обязательств по поставке мощности по результатам КОМ</w:t>
            </w:r>
            <w:r w:rsidRPr="00B51A08">
              <w:rPr>
                <w:rFonts w:ascii="Garamond" w:hAnsi="Garamond"/>
                <w:szCs w:val="22"/>
                <w:lang w:val="ru-RU"/>
              </w:rPr>
              <w:t xml:space="preserve">, направляемого СО в КО в соответствии с п. 16.2 </w:t>
            </w:r>
            <w:r w:rsidRPr="00B51A08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B51A08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B51A08">
              <w:rPr>
                <w:rFonts w:ascii="Garamond" w:hAnsi="Garamond"/>
                <w:i/>
                <w:iCs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B51A08">
              <w:rPr>
                <w:rFonts w:ascii="Garamond" w:hAnsi="Garamond"/>
                <w:szCs w:val="22"/>
                <w:lang w:val="ru-RU"/>
              </w:rPr>
              <w:t xml:space="preserve">), с учетом особенностей определения обязательств по поставке мощности в вынужденном режиме в соответствии с п. 24 </w:t>
            </w:r>
            <w:r w:rsidRPr="00B51A08">
              <w:rPr>
                <w:rFonts w:ascii="Garamond" w:eastAsia="Batang" w:hAnsi="Garamond" w:cs="Garamond"/>
                <w:i/>
                <w:szCs w:val="22"/>
                <w:lang w:val="ru-RU" w:eastAsia="ar-SA"/>
              </w:rPr>
              <w:t>Регламента отнесения генерирующих объектов к генерирующим объектам, поставляющим мощность в вынужденном режиме</w:t>
            </w:r>
            <w:r w:rsidRPr="00B51A08">
              <w:rPr>
                <w:rFonts w:ascii="Garamond" w:eastAsia="Batang" w:hAnsi="Garamond" w:cs="Garamond"/>
                <w:szCs w:val="22"/>
                <w:lang w:val="ru-RU" w:eastAsia="ar-SA"/>
              </w:rPr>
              <w:t xml:space="preserve"> (Приложение №</w:t>
            </w:r>
            <w:r w:rsidRPr="00B51A08">
              <w:rPr>
                <w:rFonts w:ascii="Garamond" w:eastAsia="Batang" w:hAnsi="Garamond" w:cs="Garamond"/>
                <w:szCs w:val="22"/>
                <w:lang w:eastAsia="ar-SA"/>
              </w:rPr>
              <w:t> </w:t>
            </w:r>
            <w:r w:rsidRPr="00B51A08">
              <w:rPr>
                <w:rFonts w:ascii="Garamond" w:eastAsia="Batang" w:hAnsi="Garamond" w:cs="Garamond"/>
                <w:szCs w:val="22"/>
                <w:lang w:val="ru-RU" w:eastAsia="ar-SA"/>
              </w:rPr>
              <w:t xml:space="preserve">19.7 к </w:t>
            </w:r>
            <w:r w:rsidRPr="00B51A08">
              <w:rPr>
                <w:rFonts w:ascii="Garamond" w:eastAsia="Batang" w:hAnsi="Garamond" w:cs="Garamond"/>
                <w:i/>
                <w:szCs w:val="22"/>
                <w:lang w:val="ru-RU" w:eastAsia="ar-SA"/>
              </w:rPr>
              <w:t>Договору о присоединении к торговой системе оптового рынка</w:t>
            </w:r>
            <w:r>
              <w:rPr>
                <w:rFonts w:ascii="Garamond" w:eastAsia="Batang" w:hAnsi="Garamond" w:cs="Garamond"/>
                <w:szCs w:val="22"/>
                <w:lang w:val="ru-RU" w:eastAsia="ar-SA"/>
              </w:rPr>
              <w:t>).</w:t>
            </w:r>
          </w:p>
          <w:p w:rsidR="00A26A6E" w:rsidRPr="00EF3717" w:rsidRDefault="00A26A6E" w:rsidP="00EF3717">
            <w:pPr>
              <w:pStyle w:val="a3"/>
              <w:ind w:firstLine="567"/>
              <w:rPr>
                <w:rFonts w:ascii="Garamond" w:eastAsia="Batang" w:hAnsi="Garamond" w:cs="Garamond"/>
                <w:szCs w:val="22"/>
                <w:lang w:val="ru-RU" w:eastAsia="ar-SA"/>
              </w:rPr>
            </w:pPr>
            <w:r>
              <w:rPr>
                <w:rFonts w:ascii="Garamond" w:eastAsia="Batang" w:hAnsi="Garamond" w:cs="Garamond"/>
                <w:szCs w:val="22"/>
                <w:lang w:val="ru-RU" w:eastAsia="ar-SA"/>
              </w:rPr>
              <w:t>…</w:t>
            </w:r>
          </w:p>
        </w:tc>
        <w:tc>
          <w:tcPr>
            <w:tcW w:w="6832" w:type="dxa"/>
            <w:vAlign w:val="center"/>
          </w:tcPr>
          <w:p w:rsidR="00EF3717" w:rsidRPr="00EF3717" w:rsidRDefault="00EF3717" w:rsidP="00EF3717">
            <w:pPr>
              <w:pStyle w:val="a3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EF3717">
              <w:rPr>
                <w:rFonts w:ascii="Garamond" w:hAnsi="Garamond"/>
                <w:b/>
                <w:lang w:val="ru-RU"/>
              </w:rPr>
              <w:lastRenderedPageBreak/>
              <w:t>Порядок взаимодействия КО и участников оптового рынка при проведении расчетов по обязательствам/требованиям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:rsidR="009001CA" w:rsidRDefault="00EF3717" w:rsidP="00EF3717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B51A08">
              <w:rPr>
                <w:rFonts w:ascii="Garamond" w:hAnsi="Garamond"/>
                <w:szCs w:val="22"/>
                <w:lang w:val="ru-RU"/>
              </w:rPr>
              <w:t xml:space="preserve">КО не позднее </w:t>
            </w:r>
            <w:r w:rsidRPr="00EF3717">
              <w:rPr>
                <w:rFonts w:ascii="Garamond" w:hAnsi="Garamond"/>
                <w:szCs w:val="22"/>
                <w:highlight w:val="yellow"/>
                <w:lang w:val="ru-RU"/>
              </w:rPr>
              <w:t>28</w:t>
            </w:r>
            <w:r w:rsidRPr="00B51A08">
              <w:rPr>
                <w:rFonts w:ascii="Garamond" w:hAnsi="Garamond"/>
                <w:szCs w:val="22"/>
                <w:lang w:val="ru-RU"/>
              </w:rPr>
              <w:t xml:space="preserve"> января 2019 года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уведомления об объемах мощности, определенной для поставки с использованием генерирующих объектов, мощность которых поставляется в вынужденном режиме, и сроках поставки мощности (приложение 69 к </w:t>
            </w:r>
            <w:r w:rsidRPr="00EF3717">
              <w:rPr>
                <w:rFonts w:ascii="Garamond" w:hAnsi="Garamond"/>
                <w:szCs w:val="22"/>
                <w:lang w:val="ru-RU"/>
              </w:rPr>
              <w:t>Регламенту финансовых расчетов на оптовом рынке электроэнергии</w:t>
            </w:r>
            <w:r w:rsidRPr="00B51A08">
              <w:rPr>
                <w:rFonts w:ascii="Garamond" w:hAnsi="Garamond"/>
                <w:szCs w:val="22"/>
                <w:lang w:val="ru-RU"/>
              </w:rPr>
              <w:t xml:space="preserve"> (Приложение № 16 к </w:t>
            </w:r>
            <w:r w:rsidRPr="00EF3717">
              <w:rPr>
                <w:rFonts w:ascii="Garamond" w:hAnsi="Garamond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B51A08">
              <w:rPr>
                <w:rFonts w:ascii="Garamond" w:hAnsi="Garamond"/>
                <w:szCs w:val="22"/>
                <w:lang w:val="ru-RU"/>
              </w:rPr>
              <w:t>) за расчетный месяц – январь 2019 года в отношении каждого года поставки, на который проведен КОМ, с указанием информации в отношен</w:t>
            </w:r>
            <w:r>
              <w:rPr>
                <w:rFonts w:ascii="Garamond" w:hAnsi="Garamond"/>
                <w:szCs w:val="22"/>
                <w:lang w:val="ru-RU"/>
              </w:rPr>
              <w:t>ии каждого месяца года поставки</w:t>
            </w:r>
            <w:r w:rsidRPr="00B51A08">
              <w:rPr>
                <w:rFonts w:ascii="Garamond" w:hAnsi="Garamond"/>
                <w:szCs w:val="22"/>
                <w:lang w:val="ru-RU"/>
              </w:rPr>
              <w:t xml:space="preserve">. </w:t>
            </w:r>
            <w:r w:rsidRPr="00B51A08">
              <w:rPr>
                <w:rFonts w:ascii="Garamond" w:hAnsi="Garamond"/>
                <w:szCs w:val="22"/>
                <w:lang w:val="ru-RU"/>
              </w:rPr>
              <w:lastRenderedPageBreak/>
              <w:t xml:space="preserve">Указанные уведомления формируются на основании </w:t>
            </w:r>
            <w:r w:rsidRPr="00EF3717">
              <w:rPr>
                <w:rFonts w:ascii="Garamond" w:hAnsi="Garamond"/>
                <w:szCs w:val="22"/>
                <w:lang w:val="ru-RU"/>
              </w:rPr>
              <w:t>Реестра обязательств по поставке мощности по результатам КОМ</w:t>
            </w:r>
            <w:r w:rsidRPr="00B51A08">
              <w:rPr>
                <w:rFonts w:ascii="Garamond" w:hAnsi="Garamond"/>
                <w:szCs w:val="22"/>
                <w:lang w:val="ru-RU"/>
              </w:rPr>
              <w:t xml:space="preserve">, направляемого СО в КО в соответствии с п. 16.2 </w:t>
            </w:r>
            <w:r w:rsidRPr="00EF3717">
              <w:rPr>
                <w:rFonts w:ascii="Garamond" w:hAnsi="Garamond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B51A08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EF3717">
              <w:rPr>
                <w:rFonts w:ascii="Garamond" w:hAnsi="Garamond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B51A08">
              <w:rPr>
                <w:rFonts w:ascii="Garamond" w:hAnsi="Garamond"/>
                <w:szCs w:val="22"/>
                <w:lang w:val="ru-RU"/>
              </w:rPr>
              <w:t xml:space="preserve">), с учетом особенностей определения обязательств по поставке мощности в вынужденном режиме в соответствии с п. 24 </w:t>
            </w:r>
            <w:r w:rsidRPr="00EF3717">
              <w:rPr>
                <w:rFonts w:ascii="Garamond" w:hAnsi="Garamond"/>
                <w:szCs w:val="22"/>
                <w:lang w:val="ru-RU"/>
              </w:rPr>
              <w:t>Регламента отнесения генерирующих объектов к генерирующим объектам, поставляющим мощность в вынужденном режиме (Приложение № 19.7 к Договору о присоединении к торговой системе оптового рынка).</w:t>
            </w:r>
          </w:p>
          <w:p w:rsidR="00A26A6E" w:rsidRPr="009001CA" w:rsidRDefault="00A26A6E" w:rsidP="00EF3717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…</w:t>
            </w:r>
          </w:p>
        </w:tc>
      </w:tr>
      <w:tr w:rsidR="009001CA" w:rsidTr="00EF3717">
        <w:trPr>
          <w:trHeight w:val="435"/>
        </w:trPr>
        <w:tc>
          <w:tcPr>
            <w:tcW w:w="988" w:type="dxa"/>
            <w:vAlign w:val="center"/>
          </w:tcPr>
          <w:p w:rsidR="009001CA" w:rsidRDefault="003F295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5.27</w:t>
            </w:r>
          </w:p>
        </w:tc>
        <w:tc>
          <w:tcPr>
            <w:tcW w:w="6740" w:type="dxa"/>
            <w:vAlign w:val="center"/>
          </w:tcPr>
          <w:p w:rsidR="00EF3717" w:rsidRPr="00EF3717" w:rsidRDefault="00EF3717" w:rsidP="00EF3717">
            <w:pPr>
              <w:tabs>
                <w:tab w:val="left" w:pos="1380"/>
                <w:tab w:val="num" w:pos="1425"/>
              </w:tabs>
              <w:spacing w:before="120" w:after="120"/>
              <w:ind w:firstLine="567"/>
              <w:jc w:val="both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bookmarkStart w:id="1" w:name="_Toc531623090"/>
            <w:r w:rsidRPr="00EF3717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Порядок взаимодействия КО и ЦФР при проведении расчетов по обязательствам/требованиям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bookmarkEnd w:id="1"/>
          </w:p>
          <w:p w:rsidR="009001CA" w:rsidRDefault="00EF3717" w:rsidP="00EF3717">
            <w:pPr>
              <w:tabs>
                <w:tab w:val="left" w:pos="138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F3717">
              <w:rPr>
                <w:rFonts w:ascii="Garamond" w:hAnsi="Garamond"/>
                <w:sz w:val="22"/>
                <w:szCs w:val="22"/>
                <w:lang w:eastAsia="en-US"/>
              </w:rPr>
              <w:t xml:space="preserve">КО не позднее </w:t>
            </w:r>
            <w:r w:rsidRPr="00EF371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14</w:t>
            </w:r>
            <w:r w:rsidRPr="00EF3717">
              <w:rPr>
                <w:rFonts w:ascii="Garamond" w:hAnsi="Garamond"/>
                <w:sz w:val="22"/>
                <w:szCs w:val="22"/>
                <w:lang w:eastAsia="en-US"/>
              </w:rPr>
              <w:t xml:space="preserve"> января 2019 года направляет ЦФР в электронном виде с ЭП </w:t>
            </w:r>
            <w:r w:rsidRPr="00EF3717">
              <w:rPr>
                <w:rFonts w:ascii="Garamond" w:hAnsi="Garamond"/>
                <w:caps/>
                <w:sz w:val="22"/>
                <w:szCs w:val="22"/>
                <w:lang w:eastAsia="en-US"/>
              </w:rPr>
              <w:t>р</w:t>
            </w:r>
            <w:r w:rsidRPr="00EF3717">
              <w:rPr>
                <w:rFonts w:ascii="Garamond" w:hAnsi="Garamond"/>
                <w:sz w:val="22"/>
                <w:szCs w:val="22"/>
                <w:lang w:eastAsia="en-US"/>
              </w:rPr>
              <w:t xml:space="preserve">еестр договоров купли-продажи мощности, производимой с использованием генерирующих объектов, поставляющих мощность в вынужденном режиме (приложение 91 к </w:t>
            </w:r>
            <w:r w:rsidRPr="00EF3717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Регламенту финансовых расчетов на оптовом рынке электроэнергии</w:t>
            </w:r>
            <w:r w:rsidRPr="00EF3717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EF3717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EF3717">
              <w:rPr>
                <w:rFonts w:ascii="Garamond" w:hAnsi="Garamond"/>
                <w:sz w:val="22"/>
                <w:szCs w:val="22"/>
                <w:lang w:eastAsia="en-US"/>
              </w:rPr>
              <w:t>), в отношении каждого года поставки, на который проведен КОМ, за расчетный период – январь 2019 года.</w:t>
            </w:r>
          </w:p>
          <w:p w:rsidR="00A26A6E" w:rsidRPr="00EF3717" w:rsidRDefault="00A26A6E" w:rsidP="00A26A6E">
            <w:pPr>
              <w:tabs>
                <w:tab w:val="left" w:pos="1380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6832" w:type="dxa"/>
          </w:tcPr>
          <w:p w:rsidR="00EF3717" w:rsidRPr="00EF3717" w:rsidRDefault="00EF3717" w:rsidP="00EF3717">
            <w:pPr>
              <w:tabs>
                <w:tab w:val="left" w:pos="1380"/>
                <w:tab w:val="num" w:pos="1425"/>
              </w:tabs>
              <w:spacing w:before="120" w:after="120"/>
              <w:ind w:firstLine="567"/>
              <w:jc w:val="both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EF3717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Порядок взаимодействия КО и ЦФР при проведении расчетов по обязательствам/требованиям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:rsidR="009001CA" w:rsidRDefault="00EF3717" w:rsidP="00EF3717">
            <w:pPr>
              <w:tabs>
                <w:tab w:val="left" w:pos="1380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EF3717">
              <w:rPr>
                <w:rFonts w:ascii="Garamond" w:hAnsi="Garamond"/>
                <w:sz w:val="22"/>
                <w:szCs w:val="22"/>
                <w:lang w:eastAsia="en-US"/>
              </w:rPr>
              <w:t xml:space="preserve">КО не позднее </w:t>
            </w:r>
            <w:r w:rsidRPr="00EF371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24</w:t>
            </w:r>
            <w:r w:rsidRPr="00EF3717">
              <w:rPr>
                <w:rFonts w:ascii="Garamond" w:hAnsi="Garamond"/>
                <w:sz w:val="22"/>
                <w:szCs w:val="22"/>
                <w:lang w:eastAsia="en-US"/>
              </w:rPr>
              <w:t xml:space="preserve"> января 2019 года направляет ЦФР в электронном виде с ЭП </w:t>
            </w:r>
            <w:r w:rsidRPr="00EF3717">
              <w:rPr>
                <w:rFonts w:ascii="Garamond" w:hAnsi="Garamond"/>
                <w:caps/>
                <w:sz w:val="22"/>
                <w:szCs w:val="22"/>
                <w:lang w:eastAsia="en-US"/>
              </w:rPr>
              <w:t>р</w:t>
            </w:r>
            <w:r w:rsidRPr="00EF3717">
              <w:rPr>
                <w:rFonts w:ascii="Garamond" w:hAnsi="Garamond"/>
                <w:sz w:val="22"/>
                <w:szCs w:val="22"/>
                <w:lang w:eastAsia="en-US"/>
              </w:rPr>
              <w:t xml:space="preserve">еестр договоров купли-продажи мощности, производимой с использованием генерирующих объектов, поставляющих мощность в вынужденном режиме (приложение 91 к </w:t>
            </w:r>
            <w:r w:rsidRPr="00EF3717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Регламенту финансовых расчетов на оптовом рынке электроэнергии</w:t>
            </w:r>
            <w:r w:rsidRPr="00EF3717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16 к </w:t>
            </w:r>
            <w:r w:rsidRPr="00EF3717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EF3717">
              <w:rPr>
                <w:rFonts w:ascii="Garamond" w:hAnsi="Garamond"/>
                <w:sz w:val="22"/>
                <w:szCs w:val="22"/>
                <w:lang w:eastAsia="en-US"/>
              </w:rPr>
              <w:t>), в отношении каждого года поставки, на который проведен КОМ, за расчетный период – январь 2019 года.</w:t>
            </w:r>
          </w:p>
          <w:p w:rsidR="00A26A6E" w:rsidRPr="00EF3717" w:rsidRDefault="00A26A6E" w:rsidP="00A26A6E">
            <w:pPr>
              <w:tabs>
                <w:tab w:val="left" w:pos="1380"/>
              </w:tabs>
              <w:spacing w:before="120" w:after="120"/>
              <w:jc w:val="both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003598" w:rsidTr="00EF3717">
        <w:trPr>
          <w:trHeight w:val="435"/>
        </w:trPr>
        <w:tc>
          <w:tcPr>
            <w:tcW w:w="988" w:type="dxa"/>
            <w:vAlign w:val="center"/>
          </w:tcPr>
          <w:p w:rsidR="00003598" w:rsidRPr="005D2CD0" w:rsidRDefault="00003598" w:rsidP="0096658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5.2</w:t>
            </w:r>
            <w:r w:rsidR="003F2954">
              <w:rPr>
                <w:rFonts w:ascii="Garamond" w:hAnsi="Garamond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6740" w:type="dxa"/>
            <w:vAlign w:val="center"/>
          </w:tcPr>
          <w:p w:rsidR="00003598" w:rsidRPr="00003598" w:rsidRDefault="00003598" w:rsidP="005D2CD0">
            <w:pPr>
              <w:tabs>
                <w:tab w:val="left" w:pos="1380"/>
                <w:tab w:val="num" w:pos="1425"/>
              </w:tabs>
              <w:spacing w:before="120" w:after="120"/>
              <w:ind w:firstLine="567"/>
              <w:jc w:val="both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5D2CD0">
              <w:rPr>
                <w:rFonts w:ascii="Garamond" w:hAnsi="Garamond"/>
                <w:b/>
                <w:bCs/>
                <w:sz w:val="22"/>
                <w:szCs w:val="22"/>
                <w:highlight w:val="yellow"/>
                <w:lang w:eastAsia="en-US"/>
              </w:rPr>
              <w:t>Добавить пунк</w:t>
            </w:r>
            <w:r w:rsidR="005D2CD0" w:rsidRPr="005D2CD0">
              <w:rPr>
                <w:rFonts w:ascii="Garamond" w:hAnsi="Garamond"/>
                <w:b/>
                <w:bCs/>
                <w:sz w:val="22"/>
                <w:szCs w:val="22"/>
                <w:highlight w:val="yellow"/>
                <w:lang w:eastAsia="en-US"/>
              </w:rPr>
              <w:t>т с изменением последующей нумерации</w:t>
            </w:r>
          </w:p>
        </w:tc>
        <w:tc>
          <w:tcPr>
            <w:tcW w:w="6832" w:type="dxa"/>
          </w:tcPr>
          <w:p w:rsidR="00003598" w:rsidRPr="005D2CD0" w:rsidRDefault="00003598" w:rsidP="00003598">
            <w:pPr>
              <w:spacing w:before="120" w:after="120"/>
              <w:ind w:firstLine="403"/>
              <w:jc w:val="both"/>
              <w:outlineLvl w:val="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bookmarkStart w:id="2" w:name="_Toc455135915"/>
            <w:bookmarkStart w:id="3" w:name="_Toc431462480"/>
            <w:bookmarkStart w:id="4" w:name="_Toc455135916"/>
            <w:r w:rsidRPr="005D2CD0">
              <w:rPr>
                <w:rFonts w:ascii="Garamond" w:hAnsi="Garamond"/>
                <w:b/>
                <w:sz w:val="22"/>
                <w:szCs w:val="22"/>
                <w:highlight w:val="yellow"/>
              </w:rPr>
              <w:t>Публикация перечня генерирующих объектов, поставляющих мощность в вынужденном режиме</w:t>
            </w:r>
            <w:bookmarkEnd w:id="2"/>
          </w:p>
          <w:p w:rsidR="00003598" w:rsidRPr="005D2CD0" w:rsidRDefault="00003598" w:rsidP="00003598">
            <w:pPr>
              <w:spacing w:before="120" w:after="120"/>
              <w:ind w:firstLine="567"/>
              <w:jc w:val="both"/>
              <w:outlineLvl w:val="0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5D2CD0">
              <w:rPr>
                <w:rFonts w:ascii="Garamond" w:hAnsi="Garamond"/>
                <w:sz w:val="22"/>
                <w:szCs w:val="22"/>
                <w:highlight w:val="yellow"/>
              </w:rPr>
              <w:t xml:space="preserve">Не позднее </w:t>
            </w:r>
            <w:r w:rsidRPr="005D2CD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24 января 2019 года </w:t>
            </w:r>
            <w:r w:rsidRPr="005D2CD0">
              <w:rPr>
                <w:rFonts w:ascii="Garamond" w:hAnsi="Garamond"/>
                <w:sz w:val="22"/>
                <w:szCs w:val="22"/>
                <w:highlight w:val="yellow"/>
              </w:rPr>
              <w:t xml:space="preserve">Коммерческий оператор публикует на своем официальном сайте электронное сообщение, содержащее перечень групп точек поставки электростанций, отнесенных в </w:t>
            </w:r>
            <w:r w:rsidRPr="005D2CD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январе 2019 года</w:t>
            </w:r>
            <w:r w:rsidRPr="005D2CD0">
              <w:rPr>
                <w:rFonts w:ascii="Garamond" w:hAnsi="Garamond"/>
                <w:sz w:val="22"/>
                <w:szCs w:val="22"/>
                <w:highlight w:val="yellow"/>
              </w:rPr>
              <w:t xml:space="preserve"> к генерирующим объектам, поставляющим мощность в вынужденном режиме, с указанием зоны свободного </w:t>
            </w:r>
            <w:proofErr w:type="spellStart"/>
            <w:r w:rsidRPr="005D2CD0">
              <w:rPr>
                <w:rFonts w:ascii="Garamond" w:hAnsi="Garamond"/>
                <w:sz w:val="22"/>
                <w:szCs w:val="22"/>
                <w:highlight w:val="yellow"/>
              </w:rPr>
              <w:t>перетока</w:t>
            </w:r>
            <w:proofErr w:type="spellEnd"/>
            <w:r w:rsidRPr="005D2CD0">
              <w:rPr>
                <w:rFonts w:ascii="Garamond" w:hAnsi="Garamond"/>
                <w:sz w:val="22"/>
                <w:szCs w:val="22"/>
                <w:highlight w:val="yellow"/>
              </w:rPr>
              <w:t xml:space="preserve"> и обязательств по поставке мощности.</w:t>
            </w:r>
            <w:bookmarkEnd w:id="3"/>
            <w:bookmarkEnd w:id="4"/>
          </w:p>
          <w:p w:rsidR="00003598" w:rsidRPr="00D01315" w:rsidRDefault="00003598" w:rsidP="00D01315">
            <w:pPr>
              <w:spacing w:before="120" w:after="120"/>
              <w:ind w:firstLine="567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5" w:name="_Toc431462481"/>
            <w:bookmarkStart w:id="6" w:name="_Toc455135917"/>
            <w:r w:rsidRPr="005D2CD0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Не позднее </w:t>
            </w:r>
            <w:r w:rsidRPr="005D2CD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24 января 2019 года </w:t>
            </w:r>
            <w:r w:rsidRPr="005D2CD0">
              <w:rPr>
                <w:rFonts w:ascii="Garamond" w:hAnsi="Garamond"/>
                <w:sz w:val="22"/>
                <w:szCs w:val="22"/>
                <w:highlight w:val="yellow"/>
              </w:rPr>
              <w:t xml:space="preserve">Коммерческий оператор передает Системному оператору перечень групп точек поставки электростанций, отнесенных в </w:t>
            </w:r>
            <w:r w:rsidRPr="005D2CD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январе 2019 года</w:t>
            </w:r>
            <w:r w:rsidRPr="005D2CD0">
              <w:rPr>
                <w:rFonts w:ascii="Garamond" w:hAnsi="Garamond"/>
                <w:sz w:val="22"/>
                <w:szCs w:val="22"/>
                <w:highlight w:val="yellow"/>
              </w:rPr>
              <w:t xml:space="preserve"> к генерирующим объектам, поставляющим мощность в вынужденном режиме, с указанием объема мощности, составляющего обязательства по поставке мощности данного генерирующего оборудования.</w:t>
            </w:r>
            <w:bookmarkEnd w:id="5"/>
            <w:bookmarkEnd w:id="6"/>
          </w:p>
        </w:tc>
      </w:tr>
      <w:tr w:rsidR="005D2CD0" w:rsidTr="00EF3717">
        <w:trPr>
          <w:trHeight w:val="435"/>
        </w:trPr>
        <w:tc>
          <w:tcPr>
            <w:tcW w:w="988" w:type="dxa"/>
            <w:vAlign w:val="center"/>
          </w:tcPr>
          <w:p w:rsidR="005D2CD0" w:rsidRDefault="003F2954" w:rsidP="0096658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5.29</w:t>
            </w:r>
          </w:p>
        </w:tc>
        <w:tc>
          <w:tcPr>
            <w:tcW w:w="6740" w:type="dxa"/>
            <w:vAlign w:val="center"/>
          </w:tcPr>
          <w:p w:rsidR="005D2CD0" w:rsidRDefault="005D2CD0" w:rsidP="00EF3717">
            <w:pPr>
              <w:tabs>
                <w:tab w:val="left" w:pos="1380"/>
                <w:tab w:val="num" w:pos="1425"/>
              </w:tabs>
              <w:spacing w:before="120" w:after="120"/>
              <w:ind w:firstLine="567"/>
              <w:jc w:val="both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5D2CD0">
              <w:rPr>
                <w:rFonts w:ascii="Garamond" w:hAnsi="Garamond"/>
                <w:b/>
                <w:bCs/>
                <w:sz w:val="22"/>
                <w:szCs w:val="22"/>
                <w:highlight w:val="yellow"/>
                <w:lang w:eastAsia="en-US"/>
              </w:rPr>
              <w:t>Добавить пункт с изменением последующей нумерации</w:t>
            </w:r>
          </w:p>
        </w:tc>
        <w:tc>
          <w:tcPr>
            <w:tcW w:w="6832" w:type="dxa"/>
          </w:tcPr>
          <w:p w:rsidR="005D2CD0" w:rsidRPr="0096658E" w:rsidRDefault="0097299A" w:rsidP="00003598">
            <w:pPr>
              <w:spacing w:before="120" w:after="120"/>
              <w:ind w:firstLine="403"/>
              <w:jc w:val="both"/>
              <w:outlineLvl w:val="0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96658E">
              <w:rPr>
                <w:rFonts w:ascii="Garamond" w:hAnsi="Garamond"/>
                <w:b/>
                <w:sz w:val="22"/>
                <w:szCs w:val="22"/>
                <w:highlight w:val="yellow"/>
              </w:rPr>
              <w:t>Порядок расчета авансовых обязательств и требований на оптовом рынке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:rsidR="005D2CD0" w:rsidRPr="005D2CD0" w:rsidRDefault="005D2CD0" w:rsidP="004449CC">
            <w:pPr>
              <w:spacing w:before="120" w:after="120"/>
              <w:ind w:firstLine="403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96658E">
              <w:rPr>
                <w:rFonts w:ascii="Garamond" w:hAnsi="Garamond"/>
                <w:sz w:val="22"/>
                <w:szCs w:val="22"/>
                <w:highlight w:val="yellow"/>
              </w:rPr>
              <w:t>Расчет авансовых объемов в отношении</w:t>
            </w:r>
            <w:r w:rsidR="00F66E8F">
              <w:rPr>
                <w:rFonts w:ascii="Garamond" w:hAnsi="Garamond"/>
                <w:sz w:val="22"/>
                <w:szCs w:val="22"/>
                <w:highlight w:val="yellow"/>
              </w:rPr>
              <w:t xml:space="preserve"> расчетного периода </w:t>
            </w:r>
            <w:r w:rsidR="004449CC">
              <w:rPr>
                <w:rFonts w:ascii="Garamond" w:hAnsi="Garamond"/>
                <w:sz w:val="22"/>
                <w:szCs w:val="22"/>
                <w:highlight w:val="yellow"/>
              </w:rPr>
              <w:t xml:space="preserve">– </w:t>
            </w:r>
            <w:r w:rsidRPr="0096658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январ</w:t>
            </w:r>
            <w:r w:rsidR="004449C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я</w:t>
            </w:r>
            <w:r w:rsidRPr="0096658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2019 год</w:t>
            </w:r>
            <w:bookmarkStart w:id="7" w:name="_GoBack"/>
            <w:bookmarkEnd w:id="7"/>
            <w:r w:rsidRPr="0096658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а</w:t>
            </w:r>
            <w:r w:rsidRPr="0096658E">
              <w:rPr>
                <w:rFonts w:ascii="Garamond" w:hAnsi="Garamond"/>
                <w:sz w:val="22"/>
                <w:szCs w:val="22"/>
                <w:highlight w:val="yellow"/>
              </w:rPr>
              <w:t xml:space="preserve"> проводится в отношении ГТП генерации, включенных в перечень генерирующих объектов, поставляющих мощность в вынужденном режиме в </w:t>
            </w:r>
            <w:r w:rsidR="0097299A" w:rsidRPr="0096658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январе 2019 года</w:t>
            </w:r>
            <w:r w:rsidRPr="0096658E">
              <w:rPr>
                <w:rFonts w:ascii="Garamond" w:hAnsi="Garamond"/>
                <w:sz w:val="22"/>
                <w:szCs w:val="22"/>
                <w:highlight w:val="yellow"/>
              </w:rPr>
              <w:t>, опубликованны</w:t>
            </w:r>
            <w:r w:rsidR="0097299A" w:rsidRPr="0096658E">
              <w:rPr>
                <w:rFonts w:ascii="Garamond" w:hAnsi="Garamond"/>
                <w:sz w:val="22"/>
                <w:szCs w:val="22"/>
                <w:highlight w:val="yellow"/>
              </w:rPr>
              <w:t xml:space="preserve">й </w:t>
            </w:r>
            <w:r w:rsidR="003F2954">
              <w:rPr>
                <w:rFonts w:ascii="Garamond" w:hAnsi="Garamond"/>
                <w:sz w:val="22"/>
                <w:szCs w:val="22"/>
                <w:highlight w:val="yellow"/>
              </w:rPr>
              <w:t>на дату, указанную в пункте 5.28</w:t>
            </w:r>
            <w:r w:rsidRPr="0096658E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97299A" w:rsidRPr="0096658E">
              <w:rPr>
                <w:rFonts w:ascii="Garamond" w:hAnsi="Garamond"/>
                <w:sz w:val="22"/>
                <w:szCs w:val="22"/>
                <w:highlight w:val="yellow"/>
              </w:rPr>
              <w:t xml:space="preserve">настоящего </w:t>
            </w:r>
            <w:r w:rsidRPr="0096658E">
              <w:rPr>
                <w:rFonts w:ascii="Garamond" w:hAnsi="Garamond"/>
                <w:sz w:val="22"/>
                <w:szCs w:val="22"/>
                <w:highlight w:val="yellow"/>
              </w:rPr>
              <w:t>Регламента</w:t>
            </w:r>
            <w:r w:rsidR="0097299A" w:rsidRPr="0096658E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</w:tc>
      </w:tr>
    </w:tbl>
    <w:p w:rsidR="00461EE0" w:rsidRDefault="00461EE0" w:rsidP="008D6D76">
      <w:pPr>
        <w:tabs>
          <w:tab w:val="left" w:pos="709"/>
        </w:tabs>
        <w:jc w:val="both"/>
        <w:rPr>
          <w:rFonts w:ascii="Garamond" w:hAnsi="Garamond"/>
          <w:b/>
          <w:u w:val="single"/>
        </w:rPr>
      </w:pPr>
    </w:p>
    <w:sectPr w:rsidR="00461EE0">
      <w:footerReference w:type="even" r:id="rId8"/>
      <w:footerReference w:type="default" r:id="rId9"/>
      <w:headerReference w:type="first" r:id="rId10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BB3" w:rsidRDefault="00740BB3">
      <w:r>
        <w:separator/>
      </w:r>
    </w:p>
  </w:endnote>
  <w:endnote w:type="continuationSeparator" w:id="0">
    <w:p w:rsidR="00740BB3" w:rsidRDefault="0074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AF" w:rsidRDefault="006D21AF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21AF" w:rsidRDefault="006D21A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AF" w:rsidRDefault="006D21AF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430C">
      <w:rPr>
        <w:rStyle w:val="a7"/>
        <w:noProof/>
      </w:rPr>
      <w:t>2</w:t>
    </w:r>
    <w:r>
      <w:rPr>
        <w:rStyle w:val="a7"/>
      </w:rPr>
      <w:fldChar w:fldCharType="end"/>
    </w:r>
  </w:p>
  <w:p w:rsidR="006D21AF" w:rsidRDefault="006D21AF">
    <w:pPr>
      <w:pStyle w:val="aa"/>
      <w:pBdr>
        <w:top w:val="single" w:sz="4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BB3" w:rsidRDefault="00740BB3">
      <w:r>
        <w:separator/>
      </w:r>
    </w:p>
  </w:footnote>
  <w:footnote w:type="continuationSeparator" w:id="0">
    <w:p w:rsidR="00740BB3" w:rsidRDefault="00740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AF" w:rsidRDefault="006D21AF">
    <w:pPr>
      <w:pStyle w:val="a8"/>
      <w:pBdr>
        <w:bottom w:val="single" w:sz="4" w:space="1" w:color="auto"/>
      </w:pBdr>
      <w:jc w:val="right"/>
      <w:rPr>
        <w:i/>
        <w:sz w:val="18"/>
        <w:szCs w:val="18"/>
        <w:lang w:val="ru-RU"/>
      </w:rPr>
    </w:pPr>
    <w:r>
      <w:rPr>
        <w:rFonts w:cs="Garamond"/>
        <w:bCs/>
        <w:i/>
        <w:sz w:val="18"/>
        <w:szCs w:val="18"/>
        <w:lang w:val="ru-RU"/>
      </w:rPr>
      <w:t>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D43EFC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AD2E3EA8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3807BDF"/>
    <w:multiLevelType w:val="hybridMultilevel"/>
    <w:tmpl w:val="C67AD014"/>
    <w:lvl w:ilvl="0" w:tplc="D9C2AB22">
      <w:start w:val="1"/>
      <w:numFmt w:val="bullet"/>
      <w:lvlText w:val="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5"/>
        </w:tabs>
        <w:ind w:left="2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5"/>
        </w:tabs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5"/>
        </w:tabs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5"/>
        </w:tabs>
        <w:ind w:left="4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5"/>
        </w:tabs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5"/>
        </w:tabs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5"/>
        </w:tabs>
        <w:ind w:left="6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5"/>
        </w:tabs>
        <w:ind w:left="7105" w:hanging="360"/>
      </w:pPr>
      <w:rPr>
        <w:rFonts w:ascii="Wingdings" w:hAnsi="Wingdings" w:hint="default"/>
      </w:rPr>
    </w:lvl>
  </w:abstractNum>
  <w:abstractNum w:abstractNumId="3">
    <w:nsid w:val="0D0C3A52"/>
    <w:multiLevelType w:val="hybridMultilevel"/>
    <w:tmpl w:val="5B924BA4"/>
    <w:lvl w:ilvl="0" w:tplc="4E905A00">
      <w:start w:val="1"/>
      <w:numFmt w:val="bullet"/>
      <w:lvlText w:val=""/>
      <w:lvlJc w:val="left"/>
      <w:pPr>
        <w:tabs>
          <w:tab w:val="num" w:pos="771"/>
        </w:tabs>
        <w:ind w:left="771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4">
    <w:nsid w:val="0D634175"/>
    <w:multiLevelType w:val="hybridMultilevel"/>
    <w:tmpl w:val="676030F2"/>
    <w:lvl w:ilvl="0" w:tplc="1F36D0EE">
      <w:start w:val="22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53435"/>
    <w:multiLevelType w:val="hybridMultilevel"/>
    <w:tmpl w:val="1A34976C"/>
    <w:lvl w:ilvl="0" w:tplc="7DC2F240">
      <w:start w:val="5"/>
      <w:numFmt w:val="bullet"/>
      <w:lvlText w:val="-"/>
      <w:lvlJc w:val="left"/>
      <w:pPr>
        <w:ind w:left="90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7">
    <w:nsid w:val="42A86928"/>
    <w:multiLevelType w:val="hybridMultilevel"/>
    <w:tmpl w:val="7480BC5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4B193393"/>
    <w:multiLevelType w:val="hybridMultilevel"/>
    <w:tmpl w:val="BD527248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9">
    <w:nsid w:val="4B8F659E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0">
    <w:nsid w:val="57AD5972"/>
    <w:multiLevelType w:val="hybridMultilevel"/>
    <w:tmpl w:val="715C6F7E"/>
    <w:lvl w:ilvl="0" w:tplc="F424C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9B7926"/>
    <w:multiLevelType w:val="multilevel"/>
    <w:tmpl w:val="056C6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2">
    <w:nsid w:val="6C3B63D8"/>
    <w:multiLevelType w:val="hybridMultilevel"/>
    <w:tmpl w:val="F5820046"/>
    <w:lvl w:ilvl="0" w:tplc="0419000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>
    <w:nsid w:val="6D052456"/>
    <w:multiLevelType w:val="hybridMultilevel"/>
    <w:tmpl w:val="67664700"/>
    <w:lvl w:ilvl="0" w:tplc="0419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4">
    <w:nsid w:val="72767700"/>
    <w:multiLevelType w:val="hybridMultilevel"/>
    <w:tmpl w:val="1704392A"/>
    <w:lvl w:ilvl="0" w:tplc="BA5CD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u w:val="none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A5FD1"/>
    <w:multiLevelType w:val="hybridMultilevel"/>
    <w:tmpl w:val="B78E35F8"/>
    <w:lvl w:ilvl="0" w:tplc="E5B050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348" w:hanging="360"/>
      </w:pPr>
    </w:lvl>
    <w:lvl w:ilvl="2" w:tplc="0419001B" w:tentative="1">
      <w:start w:val="1"/>
      <w:numFmt w:val="lowerRoman"/>
      <w:lvlText w:val="%3."/>
      <w:lvlJc w:val="right"/>
      <w:pPr>
        <w:ind w:left="372" w:hanging="180"/>
      </w:pPr>
    </w:lvl>
    <w:lvl w:ilvl="3" w:tplc="0419000F" w:tentative="1">
      <w:start w:val="1"/>
      <w:numFmt w:val="decimal"/>
      <w:lvlText w:val="%4."/>
      <w:lvlJc w:val="left"/>
      <w:pPr>
        <w:ind w:left="1092" w:hanging="360"/>
      </w:pPr>
    </w:lvl>
    <w:lvl w:ilvl="4" w:tplc="04190019" w:tentative="1">
      <w:start w:val="1"/>
      <w:numFmt w:val="lowerLetter"/>
      <w:lvlText w:val="%5."/>
      <w:lvlJc w:val="left"/>
      <w:pPr>
        <w:ind w:left="1812" w:hanging="360"/>
      </w:pPr>
    </w:lvl>
    <w:lvl w:ilvl="5" w:tplc="0419001B" w:tentative="1">
      <w:start w:val="1"/>
      <w:numFmt w:val="lowerRoman"/>
      <w:lvlText w:val="%6."/>
      <w:lvlJc w:val="right"/>
      <w:pPr>
        <w:ind w:left="2532" w:hanging="180"/>
      </w:pPr>
    </w:lvl>
    <w:lvl w:ilvl="6" w:tplc="0419000F" w:tentative="1">
      <w:start w:val="1"/>
      <w:numFmt w:val="decimal"/>
      <w:lvlText w:val="%7."/>
      <w:lvlJc w:val="left"/>
      <w:pPr>
        <w:ind w:left="3252" w:hanging="360"/>
      </w:pPr>
    </w:lvl>
    <w:lvl w:ilvl="7" w:tplc="04190019" w:tentative="1">
      <w:start w:val="1"/>
      <w:numFmt w:val="lowerLetter"/>
      <w:lvlText w:val="%8."/>
      <w:lvlJc w:val="left"/>
      <w:pPr>
        <w:ind w:left="3972" w:hanging="360"/>
      </w:pPr>
    </w:lvl>
    <w:lvl w:ilvl="8" w:tplc="0419001B" w:tentative="1">
      <w:start w:val="1"/>
      <w:numFmt w:val="lowerRoman"/>
      <w:lvlText w:val="%9."/>
      <w:lvlJc w:val="right"/>
      <w:pPr>
        <w:ind w:left="4692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5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9"/>
  </w:num>
  <w:num w:numId="10">
    <w:abstractNumId w:val="2"/>
  </w:num>
  <w:num w:numId="11">
    <w:abstractNumId w:val="5"/>
  </w:num>
  <w:num w:numId="12">
    <w:abstractNumId w:val="14"/>
  </w:num>
  <w:num w:numId="13">
    <w:abstractNumId w:val="8"/>
  </w:num>
  <w:num w:numId="14">
    <w:abstractNumId w:val="1"/>
  </w:num>
  <w:num w:numId="15">
    <w:abstractNumId w:val="7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18"/>
    <w:rsid w:val="00003598"/>
    <w:rsid w:val="00066672"/>
    <w:rsid w:val="0007166F"/>
    <w:rsid w:val="00071AD8"/>
    <w:rsid w:val="000B6B47"/>
    <w:rsid w:val="000C690E"/>
    <w:rsid w:val="000F67FF"/>
    <w:rsid w:val="0012273E"/>
    <w:rsid w:val="00132466"/>
    <w:rsid w:val="001352C9"/>
    <w:rsid w:val="0014301F"/>
    <w:rsid w:val="00162297"/>
    <w:rsid w:val="00245C5F"/>
    <w:rsid w:val="00245F72"/>
    <w:rsid w:val="002A397B"/>
    <w:rsid w:val="002C2802"/>
    <w:rsid w:val="002C6ADB"/>
    <w:rsid w:val="002F1CB8"/>
    <w:rsid w:val="003209EC"/>
    <w:rsid w:val="00354F8B"/>
    <w:rsid w:val="0037558B"/>
    <w:rsid w:val="00396418"/>
    <w:rsid w:val="003A2A7A"/>
    <w:rsid w:val="003A7A13"/>
    <w:rsid w:val="003E7195"/>
    <w:rsid w:val="003F2954"/>
    <w:rsid w:val="003F7026"/>
    <w:rsid w:val="00402FD8"/>
    <w:rsid w:val="00412731"/>
    <w:rsid w:val="004449CC"/>
    <w:rsid w:val="00461EE0"/>
    <w:rsid w:val="00490C3A"/>
    <w:rsid w:val="004E1F49"/>
    <w:rsid w:val="004E4E7B"/>
    <w:rsid w:val="004F1FE4"/>
    <w:rsid w:val="0055208E"/>
    <w:rsid w:val="005621E0"/>
    <w:rsid w:val="00574991"/>
    <w:rsid w:val="005B57CC"/>
    <w:rsid w:val="005C5C48"/>
    <w:rsid w:val="005D2CD0"/>
    <w:rsid w:val="005D5D7D"/>
    <w:rsid w:val="005F468F"/>
    <w:rsid w:val="00604F5C"/>
    <w:rsid w:val="00647D30"/>
    <w:rsid w:val="006822E4"/>
    <w:rsid w:val="00682F17"/>
    <w:rsid w:val="006D21AF"/>
    <w:rsid w:val="006D4E8A"/>
    <w:rsid w:val="006F642C"/>
    <w:rsid w:val="00720BD6"/>
    <w:rsid w:val="00723F67"/>
    <w:rsid w:val="00725894"/>
    <w:rsid w:val="0073430C"/>
    <w:rsid w:val="00740BB3"/>
    <w:rsid w:val="007747BD"/>
    <w:rsid w:val="007A5E14"/>
    <w:rsid w:val="007B7CA6"/>
    <w:rsid w:val="00810AB4"/>
    <w:rsid w:val="008167AD"/>
    <w:rsid w:val="008306C9"/>
    <w:rsid w:val="00834F14"/>
    <w:rsid w:val="00855039"/>
    <w:rsid w:val="00860185"/>
    <w:rsid w:val="0089008F"/>
    <w:rsid w:val="00893052"/>
    <w:rsid w:val="008D6D76"/>
    <w:rsid w:val="009001CA"/>
    <w:rsid w:val="0091346A"/>
    <w:rsid w:val="0096658E"/>
    <w:rsid w:val="0097299A"/>
    <w:rsid w:val="00990E8C"/>
    <w:rsid w:val="009C55F8"/>
    <w:rsid w:val="009D4077"/>
    <w:rsid w:val="00A07F09"/>
    <w:rsid w:val="00A10F32"/>
    <w:rsid w:val="00A26A6E"/>
    <w:rsid w:val="00A45AB9"/>
    <w:rsid w:val="00AD17BF"/>
    <w:rsid w:val="00AD340B"/>
    <w:rsid w:val="00AF1FF6"/>
    <w:rsid w:val="00AF5DFF"/>
    <w:rsid w:val="00B115E2"/>
    <w:rsid w:val="00B163C2"/>
    <w:rsid w:val="00B20E18"/>
    <w:rsid w:val="00B2183D"/>
    <w:rsid w:val="00B46C22"/>
    <w:rsid w:val="00B55987"/>
    <w:rsid w:val="00BC10A0"/>
    <w:rsid w:val="00C32E60"/>
    <w:rsid w:val="00C335E7"/>
    <w:rsid w:val="00C7484F"/>
    <w:rsid w:val="00C97782"/>
    <w:rsid w:val="00CB5AED"/>
    <w:rsid w:val="00CC09F6"/>
    <w:rsid w:val="00CD5CC6"/>
    <w:rsid w:val="00CE16A8"/>
    <w:rsid w:val="00CF5A4A"/>
    <w:rsid w:val="00D01315"/>
    <w:rsid w:val="00D15C20"/>
    <w:rsid w:val="00D279A0"/>
    <w:rsid w:val="00D76422"/>
    <w:rsid w:val="00D84DF0"/>
    <w:rsid w:val="00D96D1C"/>
    <w:rsid w:val="00DC03D6"/>
    <w:rsid w:val="00E72363"/>
    <w:rsid w:val="00E864DE"/>
    <w:rsid w:val="00E939A5"/>
    <w:rsid w:val="00EB6300"/>
    <w:rsid w:val="00EE6AE9"/>
    <w:rsid w:val="00EF3717"/>
    <w:rsid w:val="00F01CEF"/>
    <w:rsid w:val="00F36BEB"/>
    <w:rsid w:val="00F3757E"/>
    <w:rsid w:val="00F41F0E"/>
    <w:rsid w:val="00F62FBF"/>
    <w:rsid w:val="00F66E8F"/>
    <w:rsid w:val="00F742BA"/>
    <w:rsid w:val="00F74FB1"/>
    <w:rsid w:val="00FA3682"/>
    <w:rsid w:val="00FA36A6"/>
    <w:rsid w:val="00FC0FAB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8587F-354E-4AE8-9BCF-EC517612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Заголовок параграфа (1.),Section,level2 hdg,111"/>
    <w:basedOn w:val="a"/>
    <w:link w:val="11"/>
    <w:autoRedefine/>
    <w:qFormat/>
    <w:pPr>
      <w:keepNext/>
      <w:tabs>
        <w:tab w:val="num" w:pos="1080"/>
      </w:tabs>
      <w:spacing w:before="240" w:after="120"/>
      <w:ind w:left="1077" w:hanging="357"/>
      <w:jc w:val="center"/>
      <w:outlineLvl w:val="0"/>
    </w:pPr>
    <w:rPr>
      <w:rFonts w:ascii="Garamond" w:hAnsi="Garamond" w:cs="Garamond"/>
      <w:b/>
      <w:caps/>
      <w:color w:val="000000"/>
      <w:kern w:val="28"/>
      <w:sz w:val="22"/>
      <w:szCs w:val="22"/>
      <w:lang w:eastAsia="en-US"/>
    </w:rPr>
  </w:style>
  <w:style w:type="paragraph" w:styleId="20">
    <w:name w:val="heading 2"/>
    <w:basedOn w:val="a"/>
    <w:next w:val="a"/>
    <w:link w:val="21"/>
    <w:qFormat/>
    <w:pPr>
      <w:keepNext/>
      <w:outlineLvl w:val="1"/>
    </w:pPr>
    <w:rPr>
      <w:b/>
      <w:bCs/>
      <w:sz w:val="20"/>
      <w:szCs w:val="20"/>
    </w:rPr>
  </w:style>
  <w:style w:type="paragraph" w:styleId="3">
    <w:name w:val="heading 3"/>
    <w:aliases w:val="H3,Заголовок подпукта (1.1.1),Level 1 - 1,o"/>
    <w:basedOn w:val="a"/>
    <w:next w:val="a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clauseindent">
    <w:name w:val="subclauseindent"/>
    <w:basedOn w:val="a"/>
    <w:pPr>
      <w:spacing w:before="120" w:after="120"/>
      <w:ind w:left="1701"/>
      <w:jc w:val="both"/>
    </w:pPr>
    <w:rPr>
      <w:sz w:val="22"/>
      <w:szCs w:val="20"/>
      <w:lang w:val="en-GB" w:eastAsia="en-US"/>
    </w:rPr>
  </w:style>
  <w:style w:type="paragraph" w:styleId="a3">
    <w:name w:val="Body Text"/>
    <w:aliases w:val="body text"/>
    <w:basedOn w:val="a"/>
    <w:link w:val="12"/>
    <w:pPr>
      <w:spacing w:before="120" w:after="120"/>
      <w:jc w:val="both"/>
    </w:pPr>
    <w:rPr>
      <w:sz w:val="22"/>
      <w:szCs w:val="20"/>
      <w:lang w:val="en-GB" w:eastAsia="en-US"/>
    </w:rPr>
  </w:style>
  <w:style w:type="character" w:customStyle="1" w:styleId="a4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aliases w:val="body text Знак"/>
    <w:link w:val="a3"/>
    <w:rPr>
      <w:rFonts w:ascii="Times New Roman" w:eastAsia="Times New Roman" w:hAnsi="Times New Roman" w:cs="Times New Roman"/>
      <w:szCs w:val="20"/>
      <w:lang w:val="en-GB"/>
    </w:rPr>
  </w:style>
  <w:style w:type="paragraph" w:styleId="a5">
    <w:name w:val="Plain Text"/>
    <w:basedOn w:val="a"/>
    <w:link w:val="a6"/>
    <w:uiPriority w:val="99"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Pr>
      <w:rFonts w:ascii="Calibri" w:hAnsi="Calibri"/>
      <w:szCs w:val="21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320"/>
        <w:tab w:val="right" w:pos="8640"/>
      </w:tabs>
      <w:spacing w:before="180" w:after="60"/>
    </w:pPr>
    <w:rPr>
      <w:rFonts w:ascii="Garamond" w:hAnsi="Garamond"/>
      <w:sz w:val="22"/>
      <w:szCs w:val="20"/>
      <w:lang w:val="en-GB" w:eastAsia="en-US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Garamond" w:eastAsia="Times New Roman" w:hAnsi="Garamond" w:cs="Times New Roman"/>
      <w:szCs w:val="20"/>
      <w:lang w:val="en-GB"/>
    </w:rPr>
  </w:style>
  <w:style w:type="paragraph" w:styleId="aa">
    <w:name w:val="footer"/>
    <w:basedOn w:val="a"/>
    <w:link w:val="ab"/>
    <w:uiPriority w:val="99"/>
    <w:pPr>
      <w:tabs>
        <w:tab w:val="center" w:pos="4320"/>
        <w:tab w:val="right" w:pos="8640"/>
      </w:tabs>
      <w:spacing w:before="180" w:after="60"/>
    </w:pPr>
    <w:rPr>
      <w:rFonts w:ascii="Garamond" w:hAnsi="Garamond"/>
      <w:sz w:val="22"/>
      <w:szCs w:val="20"/>
      <w:lang w:val="en-GB" w:eastAsia="en-US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Garamond" w:eastAsia="Times New Roman" w:hAnsi="Garamond" w:cs="Times New Roman"/>
      <w:szCs w:val="20"/>
      <w:lang w:val="en-GB"/>
    </w:rPr>
  </w:style>
  <w:style w:type="table" w:styleId="ac">
    <w:name w:val="Table Grid"/>
    <w:basedOn w:val="a1"/>
    <w:uiPriority w:val="39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Bold">
    <w:name w:val="Body text + Bold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Заголовок 2 Знак"/>
    <w:basedOn w:val="a0"/>
    <w:link w:val="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List Number 2"/>
    <w:basedOn w:val="a"/>
    <w:pPr>
      <w:keepNext/>
      <w:keepLines/>
      <w:numPr>
        <w:numId w:val="1"/>
      </w:numPr>
      <w:tabs>
        <w:tab w:val="left" w:pos="1260"/>
      </w:tabs>
      <w:spacing w:before="120"/>
      <w:jc w:val="both"/>
    </w:pPr>
    <w:rPr>
      <w:rFonts w:ascii="Garamond" w:hAnsi="Garamond"/>
      <w:sz w:val="22"/>
      <w:szCs w:val="20"/>
      <w:lang w:eastAsia="en-US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annotation reference"/>
    <w:rPr>
      <w:sz w:val="16"/>
      <w:szCs w:val="16"/>
    </w:rPr>
  </w:style>
  <w:style w:type="paragraph" w:styleId="ae">
    <w:name w:val="annotation text"/>
    <w:basedOn w:val="a"/>
    <w:link w:val="a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1">
    <w:name w:val="Заголовок 1 Знак"/>
    <w:aliases w:val="Заголовок параграфа (1.) Знак,Section Знак,level2 hdg Знак,111 Знак"/>
    <w:basedOn w:val="a0"/>
    <w:link w:val="10"/>
    <w:rPr>
      <w:rFonts w:ascii="Garamond" w:eastAsia="Times New Roman" w:hAnsi="Garamond" w:cs="Garamond"/>
      <w:b/>
      <w:caps/>
      <w:color w:val="000000"/>
      <w:kern w:val="28"/>
    </w:rPr>
  </w:style>
  <w:style w:type="paragraph" w:styleId="af2">
    <w:name w:val="Body Text Indent"/>
    <w:basedOn w:val="a"/>
    <w:link w:val="af3"/>
    <w:uiPriority w:val="99"/>
    <w:unhideWhenUsed/>
    <w:pPr>
      <w:spacing w:before="180" w:after="120"/>
      <w:ind w:left="283"/>
    </w:pPr>
    <w:rPr>
      <w:rFonts w:ascii="Garamond" w:hAnsi="Garamond"/>
      <w:sz w:val="22"/>
      <w:szCs w:val="20"/>
      <w:lang w:val="en-GB"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rPr>
      <w:rFonts w:ascii="Garamond" w:eastAsia="Times New Roman" w:hAnsi="Garamond" w:cs="Times New Roman"/>
      <w:szCs w:val="20"/>
      <w:lang w:val="en-GB"/>
    </w:rPr>
  </w:style>
  <w:style w:type="character" w:customStyle="1" w:styleId="22">
    <w:name w:val="Основной текст Знак2"/>
    <w:aliases w:val="body text Знак2"/>
    <w:rPr>
      <w:sz w:val="22"/>
      <w:lang w:val="en-GB" w:eastAsia="en-US" w:bidi="ar-SA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Pr>
      <w:b/>
      <w:bCs/>
    </w:rPr>
  </w:style>
  <w:style w:type="character" w:customStyle="1" w:styleId="af5">
    <w:name w:val="Тема примечания Знак"/>
    <w:basedOn w:val="af"/>
    <w:link w:val="af4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CORP1-L3">
    <w:name w:val="CORP1-L3"/>
    <w:basedOn w:val="a"/>
    <w:pPr>
      <w:tabs>
        <w:tab w:val="left" w:pos="1800"/>
      </w:tabs>
      <w:spacing w:after="240"/>
      <w:ind w:firstLine="1440"/>
    </w:pPr>
    <w:rPr>
      <w:szCs w:val="20"/>
      <w:lang w:val="en-US"/>
    </w:rPr>
  </w:style>
  <w:style w:type="numbering" w:customStyle="1" w:styleId="13">
    <w:name w:val="Нет списка1"/>
    <w:next w:val="a2"/>
    <w:uiPriority w:val="99"/>
    <w:semiHidden/>
    <w:unhideWhenUsed/>
    <w:rsid w:val="00F62FBF"/>
  </w:style>
  <w:style w:type="paragraph" w:styleId="4">
    <w:name w:val="List Number 4"/>
    <w:basedOn w:val="a"/>
    <w:uiPriority w:val="99"/>
    <w:rsid w:val="00EF3717"/>
    <w:pPr>
      <w:numPr>
        <w:numId w:val="14"/>
      </w:numPr>
      <w:tabs>
        <w:tab w:val="clear" w:pos="360"/>
        <w:tab w:val="num" w:pos="1209"/>
      </w:tabs>
      <w:spacing w:before="180" w:after="60"/>
      <w:ind w:left="1209"/>
    </w:pPr>
    <w:rPr>
      <w:rFonts w:ascii="Garamond" w:hAnsi="Garamond"/>
      <w:sz w:val="22"/>
      <w:szCs w:val="20"/>
      <w:lang w:val="en-GB" w:eastAsia="en-US"/>
    </w:rPr>
  </w:style>
  <w:style w:type="paragraph" w:customStyle="1" w:styleId="1">
    <w:name w:val="Стиль1"/>
    <w:basedOn w:val="a"/>
    <w:qFormat/>
    <w:rsid w:val="00003598"/>
    <w:pPr>
      <w:numPr>
        <w:numId w:val="17"/>
      </w:numPr>
      <w:tabs>
        <w:tab w:val="left" w:pos="403"/>
      </w:tabs>
      <w:spacing w:before="120" w:after="120"/>
      <w:ind w:left="403" w:hanging="403"/>
      <w:jc w:val="both"/>
    </w:pPr>
    <w:rPr>
      <w:rFonts w:ascii="Garamond" w:hAnsi="Garamond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ED530-3760-4480-9DDF-2877C40D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Ерина Влада Алексеевна</dc:creator>
  <cp:keywords/>
  <dc:description/>
  <cp:lastModifiedBy>Ирина Пряхина</cp:lastModifiedBy>
  <cp:revision>11</cp:revision>
  <cp:lastPrinted>2018-12-25T13:59:00Z</cp:lastPrinted>
  <dcterms:created xsi:type="dcterms:W3CDTF">2018-12-25T09:13:00Z</dcterms:created>
  <dcterms:modified xsi:type="dcterms:W3CDTF">2018-12-28T12:46:00Z</dcterms:modified>
</cp:coreProperties>
</file>