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815CC" w14:textId="5FD32E46" w:rsidR="00F21714" w:rsidRPr="006A1A5A" w:rsidRDefault="009400EC" w:rsidP="006A1A5A">
      <w:pPr>
        <w:widowContro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X</w:t>
      </w:r>
      <w:r w:rsidR="00B61486">
        <w:rPr>
          <w:rFonts w:ascii="Garamond" w:hAnsi="Garamond"/>
          <w:b/>
          <w:sz w:val="28"/>
          <w:szCs w:val="28"/>
        </w:rPr>
        <w:t>.1.</w:t>
      </w:r>
      <w:bookmarkStart w:id="0" w:name="_GoBack"/>
      <w:bookmarkEnd w:id="0"/>
      <w:r w:rsidRPr="009400EC">
        <w:rPr>
          <w:rFonts w:ascii="Garamond" w:hAnsi="Garamond"/>
          <w:b/>
          <w:sz w:val="28"/>
          <w:szCs w:val="28"/>
        </w:rPr>
        <w:t xml:space="preserve"> </w:t>
      </w:r>
      <w:r w:rsidR="00F21714" w:rsidRPr="006A1A5A">
        <w:rPr>
          <w:rFonts w:ascii="Garamond" w:hAnsi="Garamond"/>
          <w:b/>
          <w:sz w:val="28"/>
          <w:szCs w:val="28"/>
        </w:rPr>
        <w:t xml:space="preserve">Изменения, связанные </w:t>
      </w:r>
      <w:r w:rsidR="001160E6" w:rsidRPr="006A1A5A">
        <w:rPr>
          <w:rFonts w:ascii="Garamond" w:hAnsi="Garamond"/>
          <w:b/>
          <w:sz w:val="28"/>
          <w:szCs w:val="28"/>
        </w:rPr>
        <w:t>с уточнением процедуры изменения дат начала и окончания поставки мощности на более поздние даты</w:t>
      </w:r>
    </w:p>
    <w:p w14:paraId="46DB5053" w14:textId="77777777" w:rsidR="00741B03" w:rsidRDefault="00741B03" w:rsidP="0066656D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14:paraId="6B28F651" w14:textId="7F965F84" w:rsidR="00F21714" w:rsidRPr="009400EC" w:rsidRDefault="00F21714" w:rsidP="0066656D">
      <w:pPr>
        <w:widowControl w:val="0"/>
        <w:jc w:val="right"/>
        <w:rPr>
          <w:rFonts w:ascii="Garamond" w:hAnsi="Garamond"/>
          <w:b/>
          <w:sz w:val="28"/>
          <w:szCs w:val="28"/>
          <w:lang w:val="en-US"/>
        </w:rPr>
      </w:pPr>
      <w:r w:rsidRPr="006A1A5A">
        <w:rPr>
          <w:rFonts w:ascii="Garamond" w:hAnsi="Garamond"/>
          <w:b/>
          <w:sz w:val="28"/>
          <w:szCs w:val="28"/>
        </w:rPr>
        <w:t xml:space="preserve">Приложение № </w:t>
      </w:r>
      <w:r w:rsidR="009400EC">
        <w:rPr>
          <w:rFonts w:ascii="Garamond" w:hAnsi="Garamond"/>
          <w:b/>
          <w:sz w:val="28"/>
          <w:szCs w:val="28"/>
          <w:lang w:val="en-US"/>
        </w:rPr>
        <w:t>10.1</w:t>
      </w:r>
    </w:p>
    <w:p w14:paraId="1D7E7F03" w14:textId="77777777" w:rsidR="00F21714" w:rsidRPr="006A1A5A" w:rsidRDefault="00F21714" w:rsidP="006A1A5A">
      <w:pPr>
        <w:widowControl w:val="0"/>
        <w:rPr>
          <w:rFonts w:ascii="Garamond" w:hAnsi="Garamond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6"/>
      </w:tblGrid>
      <w:tr w:rsidR="00F21714" w:rsidRPr="006A1A5A" w14:paraId="4736F6AD" w14:textId="77777777" w:rsidTr="00741B03">
        <w:trPr>
          <w:trHeight w:val="928"/>
        </w:trPr>
        <w:tc>
          <w:tcPr>
            <w:tcW w:w="15026" w:type="dxa"/>
          </w:tcPr>
          <w:p w14:paraId="7F231570" w14:textId="655C9EEC" w:rsidR="008A1625" w:rsidRPr="006A1A5A" w:rsidRDefault="008A1625" w:rsidP="006A1A5A">
            <w:pPr>
              <w:widowControl w:val="0"/>
              <w:rPr>
                <w:rFonts w:ascii="Garamond" w:hAnsi="Garamond"/>
              </w:rPr>
            </w:pPr>
            <w:r w:rsidRPr="0066656D">
              <w:rPr>
                <w:rFonts w:ascii="Garamond" w:hAnsi="Garamond"/>
                <w:b/>
              </w:rPr>
              <w:t xml:space="preserve">Инициатор: </w:t>
            </w:r>
            <w:r w:rsidR="0066656D">
              <w:rPr>
                <w:rFonts w:ascii="Garamond" w:hAnsi="Garamond"/>
              </w:rPr>
              <w:t>ч</w:t>
            </w:r>
            <w:r w:rsidR="001160E6" w:rsidRPr="006A1A5A">
              <w:rPr>
                <w:rFonts w:ascii="Garamond" w:hAnsi="Garamond"/>
              </w:rPr>
              <w:t>лен Наблюдательного совета Ассоциации «НП Совет рынка» А.Г. Панина.</w:t>
            </w:r>
          </w:p>
          <w:p w14:paraId="722B24F3" w14:textId="7C3570EA" w:rsidR="00DB6D45" w:rsidRDefault="008A1625" w:rsidP="00DB6D45">
            <w:pPr>
              <w:widowControl w:val="0"/>
              <w:rPr>
                <w:rFonts w:ascii="Garamond" w:hAnsi="Garamond"/>
              </w:rPr>
            </w:pPr>
            <w:r w:rsidRPr="0066656D">
              <w:rPr>
                <w:rFonts w:ascii="Garamond" w:hAnsi="Garamond"/>
                <w:b/>
              </w:rPr>
              <w:t>Обоснование:</w:t>
            </w:r>
            <w:r w:rsidRPr="006A1A5A">
              <w:rPr>
                <w:rFonts w:ascii="Garamond" w:hAnsi="Garamond"/>
              </w:rPr>
              <w:t xml:space="preserve"> </w:t>
            </w:r>
            <w:r w:rsidRPr="00F91FA6">
              <w:rPr>
                <w:rFonts w:ascii="Garamond" w:hAnsi="Garamond"/>
              </w:rPr>
              <w:t>предлагается</w:t>
            </w:r>
            <w:bookmarkStart w:id="1" w:name="_Hlk79770661"/>
            <w:r w:rsidRPr="001160E6">
              <w:rPr>
                <w:rFonts w:ascii="Garamond" w:hAnsi="Garamond"/>
              </w:rPr>
              <w:t xml:space="preserve"> </w:t>
            </w:r>
            <w:r w:rsidR="00DB6D45" w:rsidRPr="00DB6D45">
              <w:rPr>
                <w:rFonts w:ascii="Garamond" w:hAnsi="Garamond"/>
              </w:rPr>
              <w:t>прописать процедуру корректировки ранее поданного уведомления об изменении дат начала и окончания поставки мощности до вступления в силу изменений в ДПМ ВИЭ</w:t>
            </w:r>
            <w:bookmarkEnd w:id="1"/>
            <w:r w:rsidR="00DB6D45">
              <w:rPr>
                <w:rFonts w:ascii="Garamond" w:hAnsi="Garamond"/>
              </w:rPr>
              <w:t>.</w:t>
            </w:r>
          </w:p>
          <w:p w14:paraId="5BE6FAF9" w14:textId="13734C1B" w:rsidR="001160E6" w:rsidRPr="009C19C2" w:rsidRDefault="008A1625" w:rsidP="009400EC">
            <w:pPr>
              <w:widowControl w:val="0"/>
              <w:rPr>
                <w:rFonts w:ascii="Garamond" w:hAnsi="Garamond"/>
              </w:rPr>
            </w:pPr>
            <w:r w:rsidRPr="0066656D">
              <w:rPr>
                <w:rFonts w:ascii="Garamond" w:hAnsi="Garamond"/>
                <w:b/>
              </w:rPr>
              <w:t>Дата вступления в силу:</w:t>
            </w:r>
            <w:r w:rsidRPr="006A1A5A">
              <w:rPr>
                <w:rFonts w:ascii="Garamond" w:hAnsi="Garamond"/>
              </w:rPr>
              <w:t xml:space="preserve"> </w:t>
            </w:r>
            <w:r w:rsidR="001160E6" w:rsidRPr="006A1A5A">
              <w:rPr>
                <w:rFonts w:ascii="Garamond" w:hAnsi="Garamond"/>
              </w:rPr>
              <w:t>c</w:t>
            </w:r>
            <w:r w:rsidR="001160E6" w:rsidRPr="001160E6">
              <w:rPr>
                <w:rFonts w:ascii="Garamond" w:hAnsi="Garamond"/>
              </w:rPr>
              <w:t xml:space="preserve"> 20 декабря 2022 года </w:t>
            </w:r>
            <w:r w:rsidR="001160E6">
              <w:rPr>
                <w:rFonts w:ascii="Garamond" w:hAnsi="Garamond"/>
              </w:rPr>
              <w:t>и действу</w:t>
            </w:r>
            <w:r w:rsidR="009400EC">
              <w:rPr>
                <w:rFonts w:ascii="Garamond" w:hAnsi="Garamond"/>
              </w:rPr>
              <w:t>ю</w:t>
            </w:r>
            <w:r w:rsidR="001160E6">
              <w:rPr>
                <w:rFonts w:ascii="Garamond" w:hAnsi="Garamond"/>
              </w:rPr>
              <w:t>т по</w:t>
            </w:r>
            <w:r w:rsidR="001160E6" w:rsidRPr="001160E6">
              <w:rPr>
                <w:rFonts w:ascii="Garamond" w:hAnsi="Garamond"/>
              </w:rPr>
              <w:t xml:space="preserve"> 31 декабря 2022 года</w:t>
            </w:r>
            <w:r w:rsidR="001160E6">
              <w:rPr>
                <w:rFonts w:ascii="Garamond" w:hAnsi="Garamond"/>
              </w:rPr>
              <w:t xml:space="preserve"> (включительно)</w:t>
            </w:r>
            <w:r w:rsidRPr="001160E6">
              <w:rPr>
                <w:rFonts w:ascii="Garamond" w:hAnsi="Garamond"/>
              </w:rPr>
              <w:t>.</w:t>
            </w:r>
          </w:p>
        </w:tc>
      </w:tr>
    </w:tbl>
    <w:p w14:paraId="22A22AFC" w14:textId="77777777" w:rsidR="00F21714" w:rsidRPr="006A1A5A" w:rsidRDefault="00F21714" w:rsidP="006A1A5A">
      <w:pPr>
        <w:widowControl w:val="0"/>
        <w:rPr>
          <w:rFonts w:ascii="Garamond" w:hAnsi="Garamond"/>
        </w:rPr>
      </w:pPr>
      <w:bookmarkStart w:id="2" w:name="_Toc101261834"/>
      <w:bookmarkStart w:id="3" w:name="_Toc101672096"/>
      <w:bookmarkStart w:id="4" w:name="_Toc103055809"/>
      <w:bookmarkStart w:id="5" w:name="_Toc105228112"/>
      <w:bookmarkStart w:id="6" w:name="_Toc107045995"/>
    </w:p>
    <w:bookmarkEnd w:id="2"/>
    <w:bookmarkEnd w:id="3"/>
    <w:bookmarkEnd w:id="4"/>
    <w:bookmarkEnd w:id="5"/>
    <w:bookmarkEnd w:id="6"/>
    <w:p w14:paraId="450BE131" w14:textId="194D1177" w:rsidR="000D4B6F" w:rsidRPr="0066656D" w:rsidRDefault="000D4B6F" w:rsidP="006A1A5A">
      <w:pPr>
        <w:widowControl w:val="0"/>
        <w:rPr>
          <w:rFonts w:ascii="Garamond" w:hAnsi="Garamond"/>
          <w:b/>
          <w:sz w:val="26"/>
          <w:szCs w:val="26"/>
        </w:rPr>
      </w:pPr>
      <w:r w:rsidRPr="0066656D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66656D" w:rsidRPr="0066656D">
        <w:rPr>
          <w:rFonts w:ascii="Garamond" w:hAnsi="Garamond"/>
          <w:b/>
          <w:sz w:val="26"/>
          <w:szCs w:val="26"/>
        </w:rPr>
        <w:t xml:space="preserve">СТАНДАРТНУЮ ФОРМУ ДОГОВОРА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Pr="0066656D">
        <w:rPr>
          <w:rFonts w:ascii="Garamond" w:hAnsi="Garamond"/>
          <w:b/>
          <w:sz w:val="26"/>
          <w:szCs w:val="26"/>
        </w:rPr>
        <w:t>(Приложение № Д 6.1 к Договору о присоединении к торговой системе оптового рынка)</w:t>
      </w:r>
    </w:p>
    <w:p w14:paraId="3AA409E1" w14:textId="77777777" w:rsidR="00F21714" w:rsidRDefault="00F21714" w:rsidP="00F21714">
      <w:pPr>
        <w:widowControl w:val="0"/>
        <w:rPr>
          <w:rFonts w:ascii="Garamond" w:hAnsi="Garamond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7371"/>
      </w:tblGrid>
      <w:tr w:rsidR="004E0243" w:rsidRPr="006156C8" w14:paraId="68C1D68C" w14:textId="77777777" w:rsidTr="00741B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C412" w14:textId="77777777" w:rsidR="004E0243" w:rsidRPr="006156C8" w:rsidRDefault="004E024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156C8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3E3DBD62" w14:textId="77777777" w:rsidR="004E0243" w:rsidRPr="006156C8" w:rsidRDefault="004E024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156C8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2015" w14:textId="77777777" w:rsidR="004E0243" w:rsidRPr="006156C8" w:rsidRDefault="004E0243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156C8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7DB6AA67" w14:textId="77777777" w:rsidR="004E0243" w:rsidRPr="006156C8" w:rsidRDefault="004E0243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156C8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D62" w14:textId="77777777" w:rsidR="004E0243" w:rsidRPr="006156C8" w:rsidRDefault="004E024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156C8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14A3BE22" w14:textId="77777777" w:rsidR="004E0243" w:rsidRPr="006156C8" w:rsidRDefault="004E0243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6156C8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C76D95" w:rsidRPr="00C6782F" w14:paraId="4D0E18CB" w14:textId="77777777" w:rsidTr="00741B03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9B8A" w14:textId="01230B04" w:rsidR="00C76D95" w:rsidRPr="00C6782F" w:rsidRDefault="001160E6" w:rsidP="001160E6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768F" w14:textId="5B0297F8" w:rsidR="00820DC8" w:rsidRDefault="00820DC8" w:rsidP="000D4B6F">
            <w:pPr>
              <w:pStyle w:val="3"/>
              <w:ind w:left="217" w:firstLine="35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color w:val="auto"/>
                <w:sz w:val="22"/>
                <w:szCs w:val="22"/>
              </w:rPr>
              <w:t>…</w:t>
            </w:r>
          </w:p>
          <w:p w14:paraId="527B7A2B" w14:textId="171DE04C" w:rsidR="000D4B6F" w:rsidRDefault="000D4B6F" w:rsidP="00820DC8">
            <w:pPr>
              <w:pStyle w:val="3"/>
              <w:ind w:left="33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color w:val="auto"/>
                <w:sz w:val="22"/>
                <w:szCs w:val="22"/>
              </w:rPr>
              <w:t xml:space="preserve">Если иное не установлено настоящим пунктом, в случае осуществления Продавцом в соответствии с пунктами 2.7, 2.7', 2.8, 2.9 настоящего Договора права на изменение даты начала поставки мощности или дат начала и окончания поставки мощности, указанных в п. 2.6 настоящего Договора, соответствующие изменения вступают в силу для Сторон и настоящий Договор считается измененным в соответствующей его части: </w:t>
            </w:r>
          </w:p>
          <w:p w14:paraId="660AAA0C" w14:textId="77777777" w:rsidR="000D4B6F" w:rsidRDefault="000D4B6F" w:rsidP="00820DC8">
            <w:pPr>
              <w:pStyle w:val="3"/>
              <w:ind w:left="33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color w:val="auto"/>
                <w:sz w:val="22"/>
                <w:szCs w:val="22"/>
              </w:rPr>
              <w:t xml:space="preserve">а) в случае получения ЦФР (коммерческим представителем Продавца) уведомления и выполнения Продавцом соответствующих условий не позднее 10-го числа месяца – с первого числа месяца, следующего за месяцем получения ЦФР указанного уведомления; </w:t>
            </w:r>
          </w:p>
          <w:p w14:paraId="4811E906" w14:textId="422A73D0" w:rsidR="00C76D95" w:rsidRPr="00FC338B" w:rsidRDefault="000D4B6F" w:rsidP="00820DC8">
            <w:pPr>
              <w:spacing w:before="120" w:after="120"/>
              <w:ind w:left="33"/>
              <w:jc w:val="both"/>
              <w:outlineLvl w:val="2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б) в случае получения ЦФР (коммерческим представителем Продавца) уведомления и выполнения Продавцом соответствующих условий после 10-го числа месяца – с первого числа второго месяца, следующего за месяцем получения ЦФР указанного уведомления.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50F" w14:textId="7B1D3441" w:rsidR="00820DC8" w:rsidRDefault="00820DC8" w:rsidP="00741B03">
            <w:pPr>
              <w:pStyle w:val="3"/>
              <w:ind w:left="217" w:firstLine="35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color w:val="auto"/>
                <w:sz w:val="22"/>
                <w:szCs w:val="22"/>
              </w:rPr>
              <w:t>…</w:t>
            </w:r>
          </w:p>
          <w:p w14:paraId="120D539B" w14:textId="0D8CF377" w:rsidR="000D4B6F" w:rsidRDefault="000D4B6F" w:rsidP="00741B03">
            <w:pPr>
              <w:pStyle w:val="3"/>
              <w:ind w:left="31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color w:val="auto"/>
                <w:sz w:val="22"/>
                <w:szCs w:val="22"/>
              </w:rPr>
              <w:t xml:space="preserve">Если иное не установлено настоящим пунктом, в случае осуществления Продавцом в соответствии с пунктами 2.7, 2.7', 2.8, 2.9 настоящего Договора права на изменение даты начала поставки мощности или дат начала и окончания поставки мощности, указанных в п. 2.6 настоящего Договора, соответствующие изменения вступают в силу для Сторон и настоящий Договор считается измененным в соответствующей его части: </w:t>
            </w:r>
          </w:p>
          <w:p w14:paraId="244D165C" w14:textId="77777777" w:rsidR="000D4B6F" w:rsidRDefault="000D4B6F" w:rsidP="00741B03">
            <w:pPr>
              <w:pStyle w:val="3"/>
              <w:ind w:left="31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color w:val="auto"/>
                <w:sz w:val="22"/>
                <w:szCs w:val="22"/>
              </w:rPr>
              <w:t xml:space="preserve">а) в случае получения ЦФР (коммерческим представителем Продавца) уведомления и выполнения Продавцом соответствующих условий не позднее 10-го числа месяца – с первого числа месяца, следующего за месяцем получения ЦФР указанного уведомления; </w:t>
            </w:r>
          </w:p>
          <w:p w14:paraId="2DFD4C20" w14:textId="77777777" w:rsidR="00C76D95" w:rsidRDefault="000D4B6F" w:rsidP="00741B03">
            <w:pPr>
              <w:spacing w:before="120" w:after="120"/>
              <w:ind w:left="31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б) в случае получения ЦФР (коммерческим представителем Продавца) уведомления и выполнения Продавцом соответствующих условий после 10-го числа месяца – с первого числа второго месяца, следующего за месяцем получения ЦФР указанного уведомления.</w:t>
            </w:r>
          </w:p>
          <w:p w14:paraId="6E5BA677" w14:textId="3EA11421" w:rsidR="000D4B6F" w:rsidRPr="005F4B35" w:rsidRDefault="000D4B6F" w:rsidP="003558E3">
            <w:pPr>
              <w:spacing w:before="120" w:after="120"/>
              <w:ind w:left="31"/>
              <w:jc w:val="both"/>
              <w:outlineLvl w:val="2"/>
              <w:rPr>
                <w:rFonts w:ascii="Garamond" w:hAnsi="Garamond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получения ЦФР (коммерческим представителем Продавца) скорректированного уведомления в соответствии с п. 1.5 договора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="003558E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и выполнения Продавцом соответствующих условий</w:t>
            </w:r>
            <w:r w:rsidR="003558E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изменения в настоящий Договор на основании ранее направленного уведомления не вступают в силу, а изменения в настоящий Договор на основании скорректированного уведомления вступают в силу и настоящий Договор считается измененным в соответствующей его части с даты, с которой должны были вступить в силу изменения на основании ранее направленного уведомления.</w:t>
            </w:r>
          </w:p>
        </w:tc>
      </w:tr>
    </w:tbl>
    <w:p w14:paraId="4ACE196C" w14:textId="77777777" w:rsidR="000D4B6F" w:rsidRPr="006A1A5A" w:rsidRDefault="000D4B6F" w:rsidP="006A1A5A">
      <w:pPr>
        <w:widowControl w:val="0"/>
        <w:rPr>
          <w:rFonts w:ascii="Garamond" w:hAnsi="Garamond"/>
        </w:rPr>
      </w:pPr>
    </w:p>
    <w:p w14:paraId="6D7D589E" w14:textId="4CD158F6" w:rsidR="000D4B6F" w:rsidRPr="0066656D" w:rsidRDefault="000D4B6F" w:rsidP="006A1A5A">
      <w:pPr>
        <w:widowControl w:val="0"/>
        <w:rPr>
          <w:rFonts w:ascii="Garamond" w:hAnsi="Garamond"/>
          <w:b/>
          <w:sz w:val="26"/>
          <w:szCs w:val="26"/>
        </w:rPr>
      </w:pPr>
      <w:r w:rsidRPr="0066656D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66656D" w:rsidRPr="0066656D">
        <w:rPr>
          <w:rFonts w:ascii="Garamond" w:hAnsi="Garamond"/>
          <w:b/>
          <w:sz w:val="26"/>
          <w:szCs w:val="26"/>
        </w:rPr>
        <w:t xml:space="preserve">СТАНДАРТНУЮ ФОРМУ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Pr="0066656D">
        <w:rPr>
          <w:rFonts w:ascii="Garamond" w:hAnsi="Garamond"/>
          <w:b/>
          <w:sz w:val="26"/>
          <w:szCs w:val="26"/>
        </w:rPr>
        <w:t>(Приложение № Д 6.2 к Договору о присоединении к торговой системе оптового рынка)</w:t>
      </w:r>
    </w:p>
    <w:p w14:paraId="27A52158" w14:textId="28420C36" w:rsidR="006A1A5A" w:rsidRDefault="006A1A5A" w:rsidP="006A1A5A">
      <w:pPr>
        <w:widowControl w:val="0"/>
        <w:rPr>
          <w:rFonts w:ascii="Garamond" w:hAnsi="Garamond"/>
        </w:rPr>
      </w:pPr>
    </w:p>
    <w:tbl>
      <w:tblPr>
        <w:tblW w:w="150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662"/>
        <w:gridCol w:w="7326"/>
      </w:tblGrid>
      <w:tr w:rsidR="006A1A5A" w:rsidRPr="0066656D" w14:paraId="702736BA" w14:textId="77777777" w:rsidTr="00741B03">
        <w:trPr>
          <w:trHeight w:val="46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7D1E" w14:textId="774E1529" w:rsidR="006A1A5A" w:rsidRPr="0066656D" w:rsidRDefault="006A1A5A" w:rsidP="0066656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14:paraId="3CE2D359" w14:textId="77777777" w:rsidR="006A1A5A" w:rsidRPr="0066656D" w:rsidRDefault="006A1A5A" w:rsidP="0066656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C317" w14:textId="77777777" w:rsidR="006A1A5A" w:rsidRPr="0066656D" w:rsidRDefault="006A1A5A" w:rsidP="0066656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14:paraId="04932752" w14:textId="77777777" w:rsidR="006A1A5A" w:rsidRPr="0066656D" w:rsidRDefault="006A1A5A" w:rsidP="0066656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1FBA" w14:textId="77777777" w:rsidR="006A1A5A" w:rsidRPr="0066656D" w:rsidRDefault="006A1A5A" w:rsidP="0066656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7BC5D91D" w14:textId="77777777" w:rsidR="006A1A5A" w:rsidRPr="0066656D" w:rsidRDefault="006A1A5A" w:rsidP="0066656D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6A1A5A" w:rsidRPr="0066656D" w14:paraId="3A9852BE" w14:textId="77777777" w:rsidTr="00741B03">
        <w:trPr>
          <w:trHeight w:val="21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5F5F" w14:textId="7B73F819" w:rsidR="006A1A5A" w:rsidRPr="0066656D" w:rsidRDefault="006A1A5A" w:rsidP="006A1A5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1.5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D57" w14:textId="15D0CF7A" w:rsidR="005966D8" w:rsidRDefault="005966D8" w:rsidP="0066656D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048A9D53" w14:textId="2ABE8775" w:rsidR="006A1A5A" w:rsidRPr="0066656D" w:rsidRDefault="006A1A5A" w:rsidP="0066656D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Повторное изменение дат начала и окончания поставки мощности по ДПМ ВИЭ на более поздние даты в соответствии с пунктом 2.9 ДПМ ВИЭ для объектов генерации, отобранных до 1 января 2021 года, или в соответствии с пунктом 2.8 ДПМ ВИЭ для объектов генерации, отобранных после 1 января 2021 года, а также отзыв уведомления об их изменении не допускается.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F48A" w14:textId="6C524218" w:rsidR="005966D8" w:rsidRDefault="005966D8" w:rsidP="0066656D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34E9F561" w14:textId="28646178" w:rsidR="006A1A5A" w:rsidRPr="0066656D" w:rsidRDefault="006A1A5A" w:rsidP="0066656D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 xml:space="preserve">Повторное изменение дат начала и окончания поставки мощности по ДПМ ВИЭ на более поздние даты в соответствии с пунктом 2.9 ДПМ ВИЭ для объектов генерации, отобранных до 1 января 2021 года, или в соответствии с пунктом 2.8 ДПМ ВИЭ для объектов генерации, отобранных после 1 января 2021 года, а также отзыв уведомления об их изменении не допускается. </w:t>
            </w:r>
          </w:p>
          <w:p w14:paraId="0E775788" w14:textId="77777777" w:rsidR="006A1A5A" w:rsidRPr="0066656D" w:rsidRDefault="006A1A5A" w:rsidP="0066656D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t>При этом до вступления в силу предусмотренных настоящим пунктом изменений в ДПМ ВИЭ Доверитель может скорректировать ранее направленное Поверенному в соответствии с настоящим пунктом уведомление об изменении дат начала и окончания поставки мощности. Для этого Поверенный должен получить скорректированное уведомление на бумажном носителе, заверенное подписью уполномоченного лица Доверителя, не позднее чем за 7 (семь) рабочих дней до даты вступления в силу изменений в ДПМ ВИЭ в соответствии с ранее направленным уведомлением.</w:t>
            </w:r>
          </w:p>
          <w:p w14:paraId="1365AA9A" w14:textId="77777777" w:rsidR="006A1A5A" w:rsidRPr="0066656D" w:rsidRDefault="006A1A5A" w:rsidP="0066656D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t xml:space="preserve">Поверенный в течение 3 (трех) рабочих дней после получения указанного скорректированного уведомления проверяет соблюдение Доверителем </w:t>
            </w: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требований, предусмотренных настоящим Договором и ДПМ ВИЭ. В случае несоблюдения указанных требований Поверенный направляет Доверителю соответствующее уведомление на бумажном носителе о невозможности изменения дат начала и окончания поставки мощности по соответствующим ДПМ ВИЭ на более поздние даты с указанием причин.</w:t>
            </w:r>
          </w:p>
          <w:p w14:paraId="54C23C83" w14:textId="3E4E9BE4" w:rsidR="006A1A5A" w:rsidRPr="0066656D" w:rsidRDefault="006A1A5A" w:rsidP="0066656D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t>В случае получения Поверенным соответствующего скорректированного уведомления Доверителя в срок, указанный в настоящем пункте, и при выполнении иных установленных настоящим Договором и ДПМ ВИЭ, заключенными в отношении указанного в уведомлении объекта генерации, условий для изменения дат начала и окончания поставки мощности на более поздние даты, Поверенный направляет сторонам соответствующих ДПМ ВИЭ и Системному оператору уведомления об изменении даты начала и окончания поставки мощности указанного объекта генерации в соответствии со скорректированным уведомлением в электронном виде с применением электронной подписи в течение 5 (пяти) рабочих дней после получения указанного скорректированного уведомления.</w:t>
            </w:r>
          </w:p>
        </w:tc>
      </w:tr>
    </w:tbl>
    <w:p w14:paraId="165A9F6D" w14:textId="77777777" w:rsidR="000D4B6F" w:rsidRPr="006A1A5A" w:rsidRDefault="000D4B6F" w:rsidP="006A1A5A">
      <w:pPr>
        <w:widowControl w:val="0"/>
        <w:rPr>
          <w:rFonts w:ascii="Garamond" w:hAnsi="Garamond"/>
        </w:rPr>
      </w:pPr>
    </w:p>
    <w:p w14:paraId="5723BE82" w14:textId="30AF5508" w:rsidR="000D4B6F" w:rsidRPr="0066656D" w:rsidRDefault="000D4B6F" w:rsidP="006A1A5A">
      <w:pPr>
        <w:widowControl w:val="0"/>
        <w:rPr>
          <w:rFonts w:ascii="Garamond" w:hAnsi="Garamond"/>
          <w:b/>
          <w:sz w:val="26"/>
          <w:szCs w:val="26"/>
        </w:rPr>
      </w:pPr>
      <w:r w:rsidRPr="0066656D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(Приложение № </w:t>
      </w:r>
      <w:r w:rsidR="00915E44">
        <w:rPr>
          <w:rFonts w:ascii="Garamond" w:hAnsi="Garamond"/>
          <w:b/>
          <w:sz w:val="26"/>
          <w:szCs w:val="26"/>
        </w:rPr>
        <w:t>27 к Договору о присоединении к </w:t>
      </w:r>
      <w:r w:rsidRPr="0066656D">
        <w:rPr>
          <w:rFonts w:ascii="Garamond" w:hAnsi="Garamond"/>
          <w:b/>
          <w:sz w:val="26"/>
          <w:szCs w:val="26"/>
        </w:rPr>
        <w:t>торговой системе оптового рынка)</w:t>
      </w:r>
    </w:p>
    <w:p w14:paraId="490055A1" w14:textId="0500B7EC" w:rsidR="000D4B6F" w:rsidRDefault="000D4B6F" w:rsidP="000D4B6F">
      <w:pPr>
        <w:widowControl w:val="0"/>
        <w:rPr>
          <w:rFonts w:ascii="Garamond" w:hAnsi="Garamond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707"/>
        <w:gridCol w:w="7326"/>
      </w:tblGrid>
      <w:tr w:rsidR="0066656D" w:rsidRPr="0066656D" w14:paraId="358474C2" w14:textId="77777777" w:rsidTr="0066656D">
        <w:trPr>
          <w:trHeight w:val="50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886" w14:textId="77777777" w:rsidR="0066656D" w:rsidRPr="0066656D" w:rsidRDefault="0066656D" w:rsidP="0066656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14:paraId="48AC2A01" w14:textId="77777777" w:rsidR="0066656D" w:rsidRPr="0066656D" w:rsidRDefault="0066656D" w:rsidP="0066656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397" w14:textId="77777777" w:rsidR="0066656D" w:rsidRPr="0066656D" w:rsidRDefault="0066656D" w:rsidP="0066656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14:paraId="5F97788F" w14:textId="77777777" w:rsidR="0066656D" w:rsidRPr="0066656D" w:rsidRDefault="0066656D" w:rsidP="0066656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256" w14:textId="77777777" w:rsidR="0066656D" w:rsidRPr="0066656D" w:rsidRDefault="0066656D" w:rsidP="0066656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770FD5A8" w14:textId="77777777" w:rsidR="0066656D" w:rsidRPr="0066656D" w:rsidRDefault="0066656D" w:rsidP="0066656D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0D4B6F" w:rsidRPr="0066656D" w14:paraId="579D8A65" w14:textId="77777777" w:rsidTr="0066656D">
        <w:trPr>
          <w:trHeight w:val="569"/>
        </w:trPr>
        <w:tc>
          <w:tcPr>
            <w:tcW w:w="1060" w:type="dxa"/>
          </w:tcPr>
          <w:p w14:paraId="3E0D4716" w14:textId="268FCD3D" w:rsidR="000D4B6F" w:rsidRPr="0066656D" w:rsidRDefault="001160E6" w:rsidP="0001650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6656D">
              <w:rPr>
                <w:rFonts w:ascii="Garamond" w:hAnsi="Garamond"/>
                <w:b/>
                <w:sz w:val="22"/>
                <w:szCs w:val="22"/>
              </w:rPr>
              <w:t>7.16.1</w:t>
            </w:r>
          </w:p>
        </w:tc>
        <w:tc>
          <w:tcPr>
            <w:tcW w:w="6707" w:type="dxa"/>
          </w:tcPr>
          <w:p w14:paraId="198FA40A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7.16.1. В случае если обеспечением исполнения обязательств по ДПМ ВИЭ является поручительство третьего лица:</w:t>
            </w:r>
          </w:p>
          <w:p w14:paraId="3694D499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а) срок действия договора коммерческого представительства для целей заключения договоров поручительства по ДПМ ВИЭ и договоров поручительства по ДПМ ВИЭ, заключенных в отношении объекта генерации, дата начала поставки мощности которого изменяется, должен быть:</w:t>
            </w:r>
          </w:p>
          <w:p w14:paraId="06ACB792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 xml:space="preserve">в отношении объектов генерации, отобранных по итогам ОПВ, проведенных до 1 января 2021 года, – не менее 15 (пятнадцати) месяцев, начиная с измененной даты начала поставки мощности объекта генерации, в отношении которого заключены договоры </w:t>
            </w:r>
            <w:r w:rsidRPr="0066656D">
              <w:rPr>
                <w:rFonts w:ascii="Garamond" w:hAnsi="Garamond"/>
                <w:sz w:val="22"/>
                <w:szCs w:val="22"/>
              </w:rPr>
              <w:lastRenderedPageBreak/>
              <w:t>поручительства;</w:t>
            </w:r>
          </w:p>
          <w:p w14:paraId="2B0B022E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 отношении объектов генерации, отобранных по итогам ОПВ, проведенных после 1 января 2021 года, – не менее 11 (одиннадцати) месяцев, начиная с измененной даты начала поставки мощности объекта генерации, в отношении которого заключены договоры поручительства;</w:t>
            </w:r>
          </w:p>
          <w:p w14:paraId="605F63A5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б) год начала поставки мощности, указанный в договорах поручительства по ДПМ ВИЭ и договоре коммерческого представительства для целей заключения договоров поручительства по ДПМ ВИЭ, должен соответствовать году, в котором должна наступить измененная дата начала поставки мощности объекта генерации, в отношении которого заключены указанные договоры;</w:t>
            </w:r>
          </w:p>
          <w:p w14:paraId="467E8EFA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в) предельный объем ответственности поручителя по договорам поручительства по ДПМ ВИЭ должен составлять:</w:t>
            </w:r>
          </w:p>
          <w:p w14:paraId="003FE517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 отношении ДПМ ВИЭ, заключенных по итогам ОПВ, проведенных до 1 января 2021 года, – не менее 5 % от произведения предельной величины капитальных затрат на 1 кВт установленной мощности, учтенной в соответствии с Договором о присоединении к торговой системе оптового рынка при отборе на ОПВ соответствующего объекта генерации, и объема установленной мощности такого объекта генерации, указанного в приложении 1 к ДПМ ВИЭ (выраженного в кВт);</w:t>
            </w:r>
          </w:p>
          <w:p w14:paraId="2E4455C9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 отношении ДПМ ВИЭ, заключенных по итогам ОПВ, проведенных после 1 января 2021 года, – не менее 22 % от произведения предельной величины показателя эффективности генерирующего объекта, опубликованной в соответствии с пунктом 3.5 настоящего Регламента в отношении генерирующих объектов соответствующего вида и соответствующего планового года начала поставки мощности, и планового годового объема производства электрической энергии, определенного в отношении генерирующего объекта по итогам ОПВ.</w:t>
            </w:r>
          </w:p>
          <w:p w14:paraId="0E9BBCDE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 xml:space="preserve">Участнику оптового рынка – поставщику мощности, намеренному стать поручителем по ДПМ ВИЭ (далее – поручитель), в целях заключения договора коммерческого представительства для целей заключения договоров поручительства по ДПМ ВИЭ необходимо не позднее чем за 2 (два) месяца до даты начала поставки </w:t>
            </w:r>
            <w:r w:rsidRPr="0066656D">
              <w:rPr>
                <w:rFonts w:ascii="Garamond" w:hAnsi="Garamond"/>
                <w:sz w:val="22"/>
                <w:szCs w:val="22"/>
              </w:rPr>
              <w:lastRenderedPageBreak/>
              <w:t>по ДПМ ВИЭ предоставить в ЦФР и КО уведомление о соответствующем намерении с указанием года начала поставки мощности объекта генерации ВИЭ, а также его идентификационных параметров, указанных в приложении 1 к ДПМ ВИЭ, с приложением комплекта документов, предусмотренного пунктом 6.4.5 настоящего Регламента.</w:t>
            </w:r>
          </w:p>
          <w:p w14:paraId="07A93F08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 отношении ДПМ ВИЭ, заключенных по итогам ОПВ, проведенных после 1 января 2020 года:</w:t>
            </w:r>
          </w:p>
          <w:p w14:paraId="02E3DA18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– в случае если поставщик мощности, намеренный стать поручителем на момент предоставления такого уведомления, является действующим поручителем в отношении обязательств указанного в уведомлении объекта генерации ВИЭ и ЦФР в течение 60 календарных дней, предшествующих дате получения такого уведомления, не было получено от КО в соответствии с п. 7.12 настоящего Регламента уведомление об обязанности поставщика по ДПМ ВИЭ предоставить новое обеспечение в целях замены поручительства рассматриваемого поручителя в соответствии с требованиями раздела 7.8 настоящего Регламента, то такой поставщик мощности, намеренный стать поручителем, будет считаться соответствующим требованиям п. 7.14 настоящего Регламента;</w:t>
            </w:r>
          </w:p>
          <w:p w14:paraId="7A32896E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– в случае если поставщик мощности, намеренный стать поручителем, не является поручителем по ДПМ ВИЭ, заключенным в отношении указанного в уведомлении объекта генерации ВИЭ, то КО не позднее 5 (пяти) рабочих дней с даты получения уведомления от поручителя производит проверку соответствия поручителя требованиям п. 2.2.3 приложения 31 к настоящему Регламенту (в отношении месяца m, где месяц m – последний из месяцев, в отношении которого по состоянию на дату получения от поручителя уведомления КО было определено значение величин  ) и направляет в ЦФР информацию о соответствии/несоответствии участника оптового рынка требованиям.</w:t>
            </w:r>
          </w:p>
          <w:p w14:paraId="7FCF4270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 xml:space="preserve">В случае соответствия поручителя требованиям пункта 7.14 настоящего Регламента, а также при представлении поручителем документов, указанных в пункте 6.4.5 настоящего Регламента, ЦФР в течение 7 (семи) рабочих дней с даты наиболее поздней из даты предоставления поручителем документов и даты получения от продавца </w:t>
            </w:r>
            <w:r w:rsidRPr="0066656D">
              <w:rPr>
                <w:rFonts w:ascii="Garamond" w:hAnsi="Garamond"/>
                <w:sz w:val="22"/>
                <w:szCs w:val="22"/>
              </w:rPr>
              <w:lastRenderedPageBreak/>
              <w:t>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генерации, указанным в уведомлении поставщика по ДПМ ВИЭ об изменении даты начала поставки мощности, а также требованиям настоящего Регламента и, в случае их соответствия параметрам объекта генерации, указанным в уведомлении поставщика по ДПМ ВИЭ, и требованиям настоящего Регламента, подписании поручителем со своей стороны проекта договора коммерческого представительства в целях заключения договора поручительства по ДПМ ВИЭ, 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14:paraId="4D34AECF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При несоответствии поручителя требованиям п. 7.14 настоящего Регламента, и (или) уведомления поручителя и (или) предоставленных документов требованиям настоящего Регламента ЦФР направляет соответствующему участнику оптового рынка мотивированный отказ (на бумажном носителе).</w:t>
            </w:r>
          </w:p>
          <w:p w14:paraId="7923193B" w14:textId="77777777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 случае если участником оптового рынка, намеренным стать поручителем по ДПМ ВИЭ, уведомление о намерении и комплект документов, предусмотренных п. 6.4.5 настоящего Регламента, предоставлены в ЦФР позднее 2 (двух) месяцев до даты начала поставки мощности по ДПМ ВИЭ и (или) до указанного срока данным участником оптового рынка не подписан проект договора коммерческого представительства в целях заключения договоров поручительства по ДПМ ВИЭ, то ЦФР не рассматривает данные документы и направляет соответствующему участнику оптового рынка мотивированный отказ (на бумажном носителе).</w:t>
            </w:r>
          </w:p>
          <w:p w14:paraId="4EAF1671" w14:textId="77777777" w:rsidR="001160E6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 xml:space="preserve">В случае заключения в порядке, установленном настоящим пунктом, договора коммерческого представительства в целях заключения договоров поручительства по ДПМ ВИЭ, в которых изменяется дата начала поставки мощности на более позднюю дату, КО организует заключение новых договоров поручительства по ДПМ ВИЭ с соответствующим поручителем и не позднее 5 (пяти) рабочих дней с </w:t>
            </w:r>
            <w:r w:rsidRPr="0066656D">
              <w:rPr>
                <w:rFonts w:ascii="Garamond" w:hAnsi="Garamond"/>
                <w:sz w:val="22"/>
                <w:szCs w:val="22"/>
              </w:rPr>
              <w:lastRenderedPageBreak/>
              <w:t xml:space="preserve">даты подписания указанных договоров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ВИЭ, в которых изменяется дата начала поставки мощности на более позднюю дату (по форме приложения 11 к настоящему Регламенту). </w:t>
            </w:r>
          </w:p>
          <w:p w14:paraId="5CC59DC0" w14:textId="0F446A4F" w:rsidR="000D4B6F" w:rsidRPr="0066656D" w:rsidRDefault="000D4B6F" w:rsidP="00E86EAB">
            <w:pPr>
              <w:widowControl w:val="0"/>
              <w:spacing w:before="120" w:after="120"/>
              <w:ind w:firstLine="607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Договоры поручительства по ДПМ ВИЭ, заключенные до изменения даты начала поставки мощности, расторгаются с даты вступления в силу изменений в ДПМ ВИЭ, предусматривающих изменение даты начала поставки мощности на более позднюю дату, и в течение 5 (пяти) рабочих дней с даты расторжения договоров поручительства КО направляет ЦФР в электронном виде с применением электронной подписи соответствующий реестр расторгнутых договоров поручительства, по форме приложения 13 к настоящему Регламенту.</w:t>
            </w:r>
          </w:p>
          <w:p w14:paraId="1E6CF57B" w14:textId="76D9B8B3" w:rsidR="000D4B6F" w:rsidRPr="0066656D" w:rsidRDefault="000D4B6F" w:rsidP="0066656D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26" w:type="dxa"/>
          </w:tcPr>
          <w:p w14:paraId="356912DC" w14:textId="77777777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lastRenderedPageBreak/>
              <w:t>7.16.1. В случае если обеспечением исполнения обязательств по ДПМ ВИЭ является поручительство третьего лица:</w:t>
            </w:r>
          </w:p>
          <w:p w14:paraId="1B05456F" w14:textId="77777777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а) срок действия договора коммерческого представительства для целей заключения договоров поручительства по ДПМ ВИЭ и договоров поручительства по ДПМ ВИЭ, заключенных в отношении объекта генерации, дата начала поставки мощности которого изменяется, должен быть:</w:t>
            </w:r>
          </w:p>
          <w:p w14:paraId="3445800D" w14:textId="77777777" w:rsidR="000D4B6F" w:rsidRPr="0066656D" w:rsidRDefault="000D4B6F" w:rsidP="00E86EAB">
            <w:pPr>
              <w:widowControl w:val="0"/>
              <w:spacing w:before="120" w:after="120"/>
              <w:ind w:firstLine="550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 отношении объектов генерации, отобранных по итогам ОПВ, проведенных до 1 января 2021 года, – не менее 15 (пятнадцати) месяцев, начиная с измененной даты начала поставки мощности объекта генерации, в отношении которого заключены договоры поручительства;</w:t>
            </w:r>
          </w:p>
          <w:p w14:paraId="694E4C8F" w14:textId="77777777" w:rsidR="000D4B6F" w:rsidRPr="0066656D" w:rsidRDefault="000D4B6F" w:rsidP="00E86EAB">
            <w:pPr>
              <w:widowControl w:val="0"/>
              <w:spacing w:before="120" w:after="120"/>
              <w:ind w:firstLine="550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lastRenderedPageBreak/>
              <w:t>в отношении объектов генерации, отобранных по итогам ОПВ, проведенных после 1 января 2021 года, – не менее 11 (одиннадцати) месяцев, начиная с измененной даты начала поставки мощности объекта генерации, в отношении которого заключены договоры поручительства;</w:t>
            </w:r>
          </w:p>
          <w:p w14:paraId="7BDC01FB" w14:textId="77777777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б) год начала поставки мощности, указанный в договорах поручительства по ДПМ ВИЭ и договоре коммерческого представительства для целей заключения договоров поручительства по ДПМ ВИЭ, должен соответствовать году, в котором должна наступить измененная дата начала поставки мощности объекта генерации, в отношении которого заключены указанные договоры;</w:t>
            </w:r>
          </w:p>
          <w:p w14:paraId="4244F9F0" w14:textId="77777777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в) предельный объем ответственности поручителя по договорам поручительства по ДПМ ВИЭ должен составлять:</w:t>
            </w:r>
          </w:p>
          <w:p w14:paraId="6B353A7C" w14:textId="77777777" w:rsidR="000D4B6F" w:rsidRPr="0066656D" w:rsidRDefault="000D4B6F" w:rsidP="00E86EAB">
            <w:pPr>
              <w:widowControl w:val="0"/>
              <w:spacing w:before="120" w:after="120"/>
              <w:ind w:firstLine="550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 отношении ДПМ ВИЭ, заключенных по итогам ОПВ, проведенных до 1 января 2021 года, – не менее 5 % от произведения предельной величины капитальных затрат на 1 кВт установленной мощности, учтенной в соответствии с Договором о присоединении к торговой системе оптового рынка при отборе на ОПВ соответствующего объекта генерации, и объема установленной мощности такого объекта генерации, указанного в приложении 1 к ДПМ ВИЭ (выраженного в кВт);</w:t>
            </w:r>
          </w:p>
          <w:p w14:paraId="7411A021" w14:textId="77777777" w:rsidR="000D4B6F" w:rsidRPr="0066656D" w:rsidRDefault="000D4B6F" w:rsidP="00E86EAB">
            <w:pPr>
              <w:widowControl w:val="0"/>
              <w:spacing w:before="120" w:after="120"/>
              <w:ind w:firstLine="550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 отношении ДПМ ВИЭ, заключенных по итогам ОПВ, проведенных после 1 января 2021 года, – не менее 22 % от произведения предельной величины показателя эффективности генерирующего объекта, опубликованной в соответствии с пунктом 3.5 настоящего Регламента в отношении генерирующих объектов соответствующего вида и соответствующего планового года начала поставки мощности, и планового годового объема производства электрической энергии, определенного в отношении генерирующего объекта по итогам ОПВ.</w:t>
            </w:r>
          </w:p>
          <w:p w14:paraId="63390035" w14:textId="77777777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 xml:space="preserve">Участнику оптового рынка – поставщику мощности, намеренному стать поручителем по ДПМ ВИЭ (далее – поручитель), в целях заключения договора коммерческого представительства для целей заключения договоров поручительства по ДПМ ВИЭ необходимо не позднее чем за 2 (два) месяца до даты начала поставки по ДПМ ВИЭ предоставить в ЦФР и КО уведомление о соответствующем намерении с указанием года начала поставки мощности объекта генерации ВИЭ, а также его идентификационных параметров, указанных в приложении 1 к ДПМ ВИЭ, с приложением комплекта </w:t>
            </w:r>
            <w:r w:rsidRPr="0066656D">
              <w:rPr>
                <w:rFonts w:ascii="Garamond" w:hAnsi="Garamond"/>
                <w:sz w:val="22"/>
                <w:szCs w:val="22"/>
              </w:rPr>
              <w:lastRenderedPageBreak/>
              <w:t>документов, предусмотренного пунктом 6.4.5 настоящего Регламента.</w:t>
            </w:r>
          </w:p>
          <w:p w14:paraId="1CC9D297" w14:textId="0771650D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t>В случае намерения поставщика мощности по ДПМ ВИЭ направить ЦФР скорректированное уведомление об изменении дат начала и окончания поставки мощности по ДПМ ВИЭ в соответствии с п.</w:t>
            </w:r>
            <w:r w:rsidR="000D6E43">
              <w:rPr>
                <w:rFonts w:ascii="Garamond" w:hAnsi="Garamond"/>
                <w:sz w:val="22"/>
                <w:szCs w:val="22"/>
                <w:highlight w:val="yellow"/>
              </w:rPr>
              <w:t xml:space="preserve"> 1.5 д</w:t>
            </w: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t>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</w:t>
            </w:r>
            <w:r w:rsidR="000D6E43">
              <w:rPr>
                <w:rFonts w:ascii="Garamond" w:hAnsi="Garamond"/>
                <w:sz w:val="22"/>
                <w:szCs w:val="22"/>
                <w:highlight w:val="yellow"/>
              </w:rPr>
              <w:t>очников энергии (Приложение № Д</w:t>
            </w: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t xml:space="preserve"> 6.2 к </w:t>
            </w:r>
            <w:r w:rsidRPr="00E86EAB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0D6E4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t xml:space="preserve"> поручителю необходимо не позднее чем за 10 календарных дней до даты вступления в силу изменений дат начала и окончания поставки мощности по ДПМ ВИЭ на более поздние даты предоставить ЦФР и КО скорректированное уведомление о намерении стать поручителем по ДПМ ВИЭ с указанием года начала поставки мощности объекта генерации ВИЭ, а также его идентификационных параметров, указанных в приложении 1 к ДПМ ВИЭ, и подписать со своей стороны проект договора коммерческого представительства в целях заключения договора поручительства по ДПМ ВИЭ.</w:t>
            </w:r>
          </w:p>
          <w:p w14:paraId="7D9F17C8" w14:textId="77777777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 отношении ДПМ ВИЭ, заключенных по итогам ОПВ, проведенных после 1 января 2020 года:</w:t>
            </w:r>
          </w:p>
          <w:p w14:paraId="5B604758" w14:textId="77777777" w:rsidR="000D4B6F" w:rsidRPr="0066656D" w:rsidRDefault="000D4B6F" w:rsidP="00E86EAB">
            <w:pPr>
              <w:widowControl w:val="0"/>
              <w:spacing w:before="120" w:after="120"/>
              <w:ind w:firstLine="550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– в случае если поставщик мощности, намеренный стать поручителем на момент предоставления такого уведомления, является действующим поручителем в отношении обязательств указанного в уведомлении объекта генерации ВИЭ и ЦФР в течение 60 календарных дней, предшествующих дате получения такого уведомления, не было получено от КО в соответствии с п. 7.12 настоящего Регламента уведомление об обязанности поставщика по ДПМ ВИЭ предоставить новое обеспечение в целях замены поручительства рассматриваемого поручителя в соответствии с требованиями раздела 7.8 настоящего Регламента, то такой поставщик мощности, намеренный стать поручителем, будет считаться соответствующим требованиям п. 7.14 настоящего Регламента;</w:t>
            </w:r>
          </w:p>
          <w:p w14:paraId="179DE632" w14:textId="77777777" w:rsidR="000D4B6F" w:rsidRPr="0066656D" w:rsidRDefault="000D4B6F" w:rsidP="00E86EAB">
            <w:pPr>
              <w:widowControl w:val="0"/>
              <w:spacing w:before="120" w:after="120"/>
              <w:ind w:firstLine="550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 xml:space="preserve">– в случае если поставщик мощности, намеренный стать поручителем, не является поручителем по ДПМ ВИЭ, заключенным в отношении указанного в уведомлении объекта генерации ВИЭ, то КО не позднее 5 (пяти) рабочих дней с даты получения уведомления от поручителя производит проверку соответствия поручителя требованиям п. 2.2.3 приложения 31 к настоящему Регламенту (в отношении месяца m, где месяц m – последний из </w:t>
            </w:r>
            <w:r w:rsidRPr="0066656D">
              <w:rPr>
                <w:rFonts w:ascii="Garamond" w:hAnsi="Garamond"/>
                <w:sz w:val="22"/>
                <w:szCs w:val="22"/>
              </w:rPr>
              <w:lastRenderedPageBreak/>
              <w:t>месяцев, в отношении которого по состоянию на дату получения от поручителя уведомления КО было определено значение величин  ) и направляет в ЦФР информацию о соответствии/несоответствии участника оптового рынка требованиям.</w:t>
            </w:r>
          </w:p>
          <w:p w14:paraId="1F94BCDF" w14:textId="26C525CA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 случае соответствия поручителя требованиям пункта 7.14 настоящего Регламента, а также при представлении поручителем документов, указанных в пункте 6.4.5 настоящего Регламента, ЦФР в течение 7 (семи) рабочих дней с даты</w:t>
            </w:r>
            <w:r w:rsidR="00A921F3" w:rsidRPr="00A921F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66656D">
              <w:rPr>
                <w:rFonts w:ascii="Garamond" w:hAnsi="Garamond"/>
                <w:sz w:val="22"/>
                <w:szCs w:val="22"/>
              </w:rPr>
              <w:t xml:space="preserve">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</w:t>
            </w:r>
            <w:r w:rsidR="00A921F3" w:rsidRPr="00A921F3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66656D">
              <w:rPr>
                <w:rFonts w:ascii="Garamond" w:hAnsi="Garamond"/>
                <w:sz w:val="22"/>
                <w:szCs w:val="22"/>
              </w:rPr>
              <w:t xml:space="preserve"> рассматривает уведомление поручителя и предоставленный комплект документов на соответствие параметрам объекта генерации, указанным в уведомлении поставщика по ДПМ ВИЭ об изменении даты начала поставки мощности, а также требованиям настоящего Регламента и, в случае их соответствия параметрам объекта генерации, указанным в уведомлении поставщика по ДПМ ВИЭ, и требованиям настоящего Регламента, подписании поручителем со своей стороны проекта договора коммерческого представительства в целях заключения договора поручительства по ДПМ ВИЭ, 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14:paraId="281E6D09" w14:textId="0820BA4C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t>В случае направления поставщиком мощности скорректированного уведомления об изменении дат начала и окончания поставки мощности по ДПМ ВИЭ и поручителем скорректированного уведомления о намерении стать поручителем по ДПМ ВИЭ, а также при условии подписания поручителем со своей стороны проекта договора коммерческого представительства в целях заключения договоров поручительства по ДПМ ВИЭ, ЦФР в течение 3 (трех) рабочих дней с даты</w:t>
            </w:r>
            <w:r w:rsidR="00970E4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t xml:space="preserve"> наиболее поздней из даты получения скорректированного уведомления поставщика мощности и даты получения скорректированного уведомления поручителя</w:t>
            </w:r>
            <w:r w:rsidR="00970E4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66656D">
              <w:rPr>
                <w:rFonts w:ascii="Garamond" w:hAnsi="Garamond"/>
                <w:sz w:val="22"/>
                <w:szCs w:val="22"/>
                <w:highlight w:val="yellow"/>
              </w:rPr>
              <w:t xml:space="preserve"> подписывает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14:paraId="3249CAB0" w14:textId="492C242B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 xml:space="preserve">При несоответствии поручителя требованиям п. 7.14 настоящего </w:t>
            </w:r>
            <w:r w:rsidRPr="0066656D">
              <w:rPr>
                <w:rFonts w:ascii="Garamond" w:hAnsi="Garamond"/>
                <w:sz w:val="22"/>
                <w:szCs w:val="22"/>
              </w:rPr>
              <w:lastRenderedPageBreak/>
              <w:t>Регламента, и (или) уведомления поручителя и (или) предоставленных документов требованиям настоящего Регламента ЦФР направляет соответствующему участнику оптового рынка мотивированный отказ (на бумажном носителе).</w:t>
            </w:r>
          </w:p>
          <w:p w14:paraId="53F1824D" w14:textId="77777777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В случае если участником оптового рынка, намеренным стать поручителем по ДПМ ВИЭ, уведомление о намерении и комплект документов, предусмотренных п. 6.4.5 настоящего Регламента, предоставлены в ЦФР позднее 2 (двух) месяцев до даты начала поставки мощности по ДПМ ВИЭ и (или) до указанного срока данным участником оптового рынка не подписан проект договора коммерческого представительства в целях заключения договоров поручительства по ДПМ ВИЭ, то ЦФР не рассматривает данные документы и направляет соответствующему участнику оптового рынка мотивированный отказ (на бумажном носителе).</w:t>
            </w:r>
          </w:p>
          <w:p w14:paraId="73209EEF" w14:textId="77777777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 xml:space="preserve">В случае заключения в порядке, установленном настоящим пунктом, договора коммерческого представительства в целях заключения договоров поручительства по ДПМ ВИЭ, в которых изменяется дата начала поставки мощности на более позднюю дату, КО организует заключение новых договоров поручительства по ДПМ ВИЭ с соответствующим поручителем и не позднее 5 (пяти) рабочих дней с даты подписания указанных договоров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ВИЭ, в которых изменяется дата начала поставки мощности на более позднюю дату (по форме приложения 11 к настоящему Регламенту). </w:t>
            </w:r>
          </w:p>
          <w:p w14:paraId="643EC878" w14:textId="457E244B" w:rsidR="000D4B6F" w:rsidRPr="0066656D" w:rsidRDefault="000D4B6F" w:rsidP="004A5E08">
            <w:pPr>
              <w:widowControl w:val="0"/>
              <w:spacing w:before="120" w:after="120"/>
              <w:ind w:firstLine="552"/>
              <w:jc w:val="both"/>
              <w:rPr>
                <w:rFonts w:ascii="Garamond" w:hAnsi="Garamond"/>
                <w:sz w:val="22"/>
                <w:szCs w:val="22"/>
              </w:rPr>
            </w:pPr>
            <w:r w:rsidRPr="0066656D">
              <w:rPr>
                <w:rFonts w:ascii="Garamond" w:hAnsi="Garamond"/>
                <w:sz w:val="22"/>
                <w:szCs w:val="22"/>
              </w:rPr>
              <w:t>Договоры поручительства по ДПМ ВИЭ, заключенные до изменения даты начала поставки мощности, расторгаются с даты вступления в силу изменений в ДПМ ВИЭ, предусматривающих изменение даты начала поставки мощности на более позднюю дату, и в течение 5 (пяти) рабочих дней с даты расторжения договоров поручительства КО направляет ЦФР в электронном виде с применением электронной подписи соответствующий реестр расторгнутых договоров поручительства, по форме приложения 13 к настоящему Регламенту.</w:t>
            </w:r>
          </w:p>
        </w:tc>
      </w:tr>
    </w:tbl>
    <w:p w14:paraId="468160FC" w14:textId="77777777" w:rsidR="000D4B6F" w:rsidRPr="006A1A5A" w:rsidRDefault="000D4B6F" w:rsidP="006A1A5A">
      <w:pPr>
        <w:widowControl w:val="0"/>
        <w:rPr>
          <w:rFonts w:ascii="Garamond" w:hAnsi="Garamond"/>
        </w:rPr>
      </w:pPr>
    </w:p>
    <w:sectPr w:rsidR="000D4B6F" w:rsidRPr="006A1A5A" w:rsidSect="00741B03">
      <w:pgSz w:w="16838" w:h="11906" w:orient="landscape" w:code="9"/>
      <w:pgMar w:top="1134" w:right="73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4BFFB" w14:textId="77777777" w:rsidR="00004F8B" w:rsidRDefault="00004F8B" w:rsidP="007260C6">
      <w:r>
        <w:separator/>
      </w:r>
    </w:p>
  </w:endnote>
  <w:endnote w:type="continuationSeparator" w:id="0">
    <w:p w14:paraId="7A553992" w14:textId="77777777" w:rsidR="00004F8B" w:rsidRDefault="00004F8B" w:rsidP="0072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A24B8" w14:textId="77777777" w:rsidR="00004F8B" w:rsidRDefault="00004F8B" w:rsidP="007260C6">
      <w:r>
        <w:separator/>
      </w:r>
    </w:p>
  </w:footnote>
  <w:footnote w:type="continuationSeparator" w:id="0">
    <w:p w14:paraId="76F0D9FC" w14:textId="77777777" w:rsidR="00004F8B" w:rsidRDefault="00004F8B" w:rsidP="0072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CA6958"/>
    <w:multiLevelType w:val="hybridMultilevel"/>
    <w:tmpl w:val="2F007680"/>
    <w:lvl w:ilvl="0" w:tplc="9E6ACFE0">
      <w:start w:val="2"/>
      <w:numFmt w:val="decimal"/>
      <w:lvlText w:val="%1."/>
      <w:lvlJc w:val="left"/>
      <w:pPr>
        <w:tabs>
          <w:tab w:val="num" w:pos="360"/>
        </w:tabs>
        <w:ind w:left="360" w:hanging="133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404C11E">
      <w:start w:val="1"/>
      <w:numFmt w:val="russianLower"/>
      <w:lvlText w:val="%3)"/>
      <w:lvlJc w:val="right"/>
      <w:pPr>
        <w:tabs>
          <w:tab w:val="num" w:pos="1134"/>
        </w:tabs>
        <w:ind w:left="1134" w:hanging="567"/>
      </w:pPr>
      <w:rPr>
        <w:sz w:val="22"/>
        <w:szCs w:val="22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1079B"/>
    <w:multiLevelType w:val="multilevel"/>
    <w:tmpl w:val="F0069CA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50162"/>
    <w:multiLevelType w:val="hybridMultilevel"/>
    <w:tmpl w:val="8BC8E9B2"/>
    <w:lvl w:ilvl="0" w:tplc="83303C86">
      <w:start w:val="1"/>
      <w:numFmt w:val="russianLower"/>
      <w:lvlText w:val="%1)"/>
      <w:lvlJc w:val="right"/>
      <w:pPr>
        <w:tabs>
          <w:tab w:val="num" w:pos="567"/>
        </w:tabs>
        <w:ind w:left="567" w:hanging="567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4B50DF"/>
    <w:multiLevelType w:val="multilevel"/>
    <w:tmpl w:val="A146A91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7" w15:restartNumberingAfterBreak="0">
    <w:nsid w:val="1D1018FF"/>
    <w:multiLevelType w:val="multilevel"/>
    <w:tmpl w:val="6F0828F4"/>
    <w:lvl w:ilvl="0">
      <w:start w:val="5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88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</w:rPr>
    </w:lvl>
  </w:abstractNum>
  <w:abstractNum w:abstractNumId="8" w15:restartNumberingAfterBreak="0">
    <w:nsid w:val="1E4911DB"/>
    <w:multiLevelType w:val="multilevel"/>
    <w:tmpl w:val="529C8BA0"/>
    <w:lvl w:ilvl="0">
      <w:start w:val="1"/>
      <w:numFmt w:val="bullet"/>
      <w:pStyle w:val="-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B2651E"/>
    <w:multiLevelType w:val="multilevel"/>
    <w:tmpl w:val="04847B2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0" w15:restartNumberingAfterBreak="0">
    <w:nsid w:val="26F12F44"/>
    <w:multiLevelType w:val="multilevel"/>
    <w:tmpl w:val="1ED63C3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1" w15:restartNumberingAfterBreak="0">
    <w:nsid w:val="28FF063A"/>
    <w:multiLevelType w:val="hybridMultilevel"/>
    <w:tmpl w:val="2768202E"/>
    <w:lvl w:ilvl="0" w:tplc="FD7034B2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31ED14B0"/>
    <w:multiLevelType w:val="multilevel"/>
    <w:tmpl w:val="1950684A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88" w:hanging="405"/>
      </w:pPr>
      <w:rPr>
        <w:rFonts w:cs="Times New Roman" w:hint="default"/>
        <w:u w:val="none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29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1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  <w:rPr>
        <w:rFonts w:cs="Times New Roman" w:hint="default"/>
        <w:u w:val="none"/>
      </w:rPr>
    </w:lvl>
  </w:abstractNum>
  <w:abstractNum w:abstractNumId="13" w15:restartNumberingAfterBreak="0">
    <w:nsid w:val="33D51F2F"/>
    <w:multiLevelType w:val="hybridMultilevel"/>
    <w:tmpl w:val="2620F26C"/>
    <w:lvl w:ilvl="0" w:tplc="DCC617E0">
      <w:start w:val="1"/>
      <w:numFmt w:val="russianLower"/>
      <w:lvlText w:val="%1)"/>
      <w:lvlJc w:val="right"/>
      <w:pPr>
        <w:tabs>
          <w:tab w:val="num" w:pos="567"/>
        </w:tabs>
        <w:ind w:left="567" w:hanging="425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C584A"/>
    <w:multiLevelType w:val="hybridMultilevel"/>
    <w:tmpl w:val="BDE8EC78"/>
    <w:lvl w:ilvl="0" w:tplc="DCB6EB22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color w:val="auto"/>
      </w:rPr>
    </w:lvl>
    <w:lvl w:ilvl="1" w:tplc="181AF978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1868931E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4E86C9DA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3704034C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D55CB78C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EFF06174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252A2AE2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7598C79E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5497599"/>
    <w:multiLevelType w:val="hybridMultilevel"/>
    <w:tmpl w:val="973EA98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370B7113"/>
    <w:multiLevelType w:val="multilevel"/>
    <w:tmpl w:val="EA9AC092"/>
    <w:lvl w:ilvl="0">
      <w:start w:val="4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8" w:hanging="40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  <w:rPr>
        <w:rFonts w:cs="Times New Roman" w:hint="default"/>
      </w:rPr>
    </w:lvl>
  </w:abstractNum>
  <w:abstractNum w:abstractNumId="17" w15:restartNumberingAfterBreak="0">
    <w:nsid w:val="38030C3C"/>
    <w:multiLevelType w:val="hybridMultilevel"/>
    <w:tmpl w:val="07127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1C1B"/>
    <w:multiLevelType w:val="multilevel"/>
    <w:tmpl w:val="D3AAC4D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39CA28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285336"/>
    <w:multiLevelType w:val="hybridMultilevel"/>
    <w:tmpl w:val="0E1E0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B3B99"/>
    <w:multiLevelType w:val="multilevel"/>
    <w:tmpl w:val="A146A91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2" w15:restartNumberingAfterBreak="0">
    <w:nsid w:val="51573B63"/>
    <w:multiLevelType w:val="hybridMultilevel"/>
    <w:tmpl w:val="E41208E8"/>
    <w:lvl w:ilvl="0" w:tplc="FD7034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5171497"/>
    <w:multiLevelType w:val="multilevel"/>
    <w:tmpl w:val="4E5EDB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6AE22CE"/>
    <w:multiLevelType w:val="hybridMultilevel"/>
    <w:tmpl w:val="C596A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B7C86"/>
    <w:multiLevelType w:val="hybridMultilevel"/>
    <w:tmpl w:val="CB1A3BE6"/>
    <w:lvl w:ilvl="0" w:tplc="A404C11E">
      <w:start w:val="1"/>
      <w:numFmt w:val="russianLower"/>
      <w:lvlText w:val="%1)"/>
      <w:lvlJc w:val="right"/>
      <w:pPr>
        <w:tabs>
          <w:tab w:val="num" w:pos="1134"/>
        </w:tabs>
        <w:ind w:left="1134" w:hanging="567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7555BA"/>
    <w:multiLevelType w:val="multilevel"/>
    <w:tmpl w:val="18C81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hint="default"/>
      </w:rPr>
    </w:lvl>
  </w:abstractNum>
  <w:abstractNum w:abstractNumId="27" w15:restartNumberingAfterBreak="0">
    <w:nsid w:val="666C7B94"/>
    <w:multiLevelType w:val="hybridMultilevel"/>
    <w:tmpl w:val="3B62A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FE4E57"/>
    <w:multiLevelType w:val="hybridMultilevel"/>
    <w:tmpl w:val="A4BC3C44"/>
    <w:lvl w:ilvl="0" w:tplc="3C1691E8">
      <w:start w:val="1"/>
      <w:numFmt w:val="russianLower"/>
      <w:lvlText w:val="%1)"/>
      <w:lvlJc w:val="right"/>
      <w:pPr>
        <w:tabs>
          <w:tab w:val="num" w:pos="567"/>
        </w:tabs>
        <w:ind w:left="567" w:hanging="425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5698A"/>
    <w:multiLevelType w:val="hybridMultilevel"/>
    <w:tmpl w:val="3F62E73C"/>
    <w:lvl w:ilvl="0" w:tplc="67080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F6988"/>
    <w:multiLevelType w:val="hybridMultilevel"/>
    <w:tmpl w:val="95F20526"/>
    <w:lvl w:ilvl="0" w:tplc="4C4EB27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B01FA8"/>
    <w:multiLevelType w:val="multilevel"/>
    <w:tmpl w:val="87F8C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BB228D7"/>
    <w:multiLevelType w:val="multilevel"/>
    <w:tmpl w:val="F7D43FA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  <w:num w:numId="13">
    <w:abstractNumId w:val="16"/>
  </w:num>
  <w:num w:numId="14">
    <w:abstractNumId w:val="21"/>
  </w:num>
  <w:num w:numId="15">
    <w:abstractNumId w:val="7"/>
  </w:num>
  <w:num w:numId="16">
    <w:abstractNumId w:val="2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2"/>
  </w:num>
  <w:num w:numId="22">
    <w:abstractNumId w:val="11"/>
  </w:num>
  <w:num w:numId="2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9"/>
  </w:num>
  <w:num w:numId="27">
    <w:abstractNumId w:val="19"/>
  </w:num>
  <w:num w:numId="28">
    <w:abstractNumId w:val="2"/>
  </w:num>
  <w:num w:numId="29">
    <w:abstractNumId w:val="24"/>
  </w:num>
  <w:num w:numId="30">
    <w:abstractNumId w:val="17"/>
  </w:num>
  <w:num w:numId="31">
    <w:abstractNumId w:val="20"/>
  </w:num>
  <w:num w:numId="32">
    <w:abstractNumId w:val="15"/>
  </w:num>
  <w:num w:numId="33">
    <w:abstractNumId w:val="23"/>
  </w:num>
  <w:num w:numId="34">
    <w:abstractNumId w:val="14"/>
  </w:num>
  <w:num w:numId="35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FE"/>
    <w:rsid w:val="000019E6"/>
    <w:rsid w:val="00004F8B"/>
    <w:rsid w:val="000052A1"/>
    <w:rsid w:val="00010BF2"/>
    <w:rsid w:val="0001650E"/>
    <w:rsid w:val="00026D2F"/>
    <w:rsid w:val="00033166"/>
    <w:rsid w:val="000334BE"/>
    <w:rsid w:val="00035C4C"/>
    <w:rsid w:val="00037823"/>
    <w:rsid w:val="000728BF"/>
    <w:rsid w:val="00075EC2"/>
    <w:rsid w:val="00081953"/>
    <w:rsid w:val="00093322"/>
    <w:rsid w:val="00093D07"/>
    <w:rsid w:val="00093D9F"/>
    <w:rsid w:val="00096828"/>
    <w:rsid w:val="000A2771"/>
    <w:rsid w:val="000A4622"/>
    <w:rsid w:val="000A67DA"/>
    <w:rsid w:val="000A6C20"/>
    <w:rsid w:val="000A6E0B"/>
    <w:rsid w:val="000B5EEC"/>
    <w:rsid w:val="000C0F3F"/>
    <w:rsid w:val="000C1CAD"/>
    <w:rsid w:val="000C2649"/>
    <w:rsid w:val="000C3228"/>
    <w:rsid w:val="000C7E75"/>
    <w:rsid w:val="000D4B6F"/>
    <w:rsid w:val="000D5ACE"/>
    <w:rsid w:val="000D6E43"/>
    <w:rsid w:val="000E65C4"/>
    <w:rsid w:val="000E664E"/>
    <w:rsid w:val="000F369C"/>
    <w:rsid w:val="000F36C5"/>
    <w:rsid w:val="000F3E58"/>
    <w:rsid w:val="000F4CE9"/>
    <w:rsid w:val="000F537D"/>
    <w:rsid w:val="0010261C"/>
    <w:rsid w:val="00103D0F"/>
    <w:rsid w:val="001071D2"/>
    <w:rsid w:val="00110754"/>
    <w:rsid w:val="00113714"/>
    <w:rsid w:val="00113F41"/>
    <w:rsid w:val="001160E6"/>
    <w:rsid w:val="001165F2"/>
    <w:rsid w:val="001232B5"/>
    <w:rsid w:val="0013098F"/>
    <w:rsid w:val="0013135D"/>
    <w:rsid w:val="0014538B"/>
    <w:rsid w:val="00152ADB"/>
    <w:rsid w:val="00153947"/>
    <w:rsid w:val="00155239"/>
    <w:rsid w:val="0016001D"/>
    <w:rsid w:val="001649FA"/>
    <w:rsid w:val="00170503"/>
    <w:rsid w:val="00173A5C"/>
    <w:rsid w:val="00174E9B"/>
    <w:rsid w:val="0017702E"/>
    <w:rsid w:val="00180A87"/>
    <w:rsid w:val="00184B69"/>
    <w:rsid w:val="00192035"/>
    <w:rsid w:val="00192BB3"/>
    <w:rsid w:val="001A4783"/>
    <w:rsid w:val="001B0524"/>
    <w:rsid w:val="001B08F9"/>
    <w:rsid w:val="001B5849"/>
    <w:rsid w:val="001B6251"/>
    <w:rsid w:val="001B7067"/>
    <w:rsid w:val="001C38E5"/>
    <w:rsid w:val="001D1C2D"/>
    <w:rsid w:val="001D39D9"/>
    <w:rsid w:val="001E08D6"/>
    <w:rsid w:val="001E63E7"/>
    <w:rsid w:val="001F31C1"/>
    <w:rsid w:val="001F3D27"/>
    <w:rsid w:val="001F50DF"/>
    <w:rsid w:val="001F6779"/>
    <w:rsid w:val="001F7E3F"/>
    <w:rsid w:val="00203397"/>
    <w:rsid w:val="0021417B"/>
    <w:rsid w:val="00214890"/>
    <w:rsid w:val="00214E8B"/>
    <w:rsid w:val="00216A19"/>
    <w:rsid w:val="00220263"/>
    <w:rsid w:val="00221E8B"/>
    <w:rsid w:val="00226943"/>
    <w:rsid w:val="002365CC"/>
    <w:rsid w:val="00236CBC"/>
    <w:rsid w:val="00240F12"/>
    <w:rsid w:val="0024644F"/>
    <w:rsid w:val="00250C0E"/>
    <w:rsid w:val="00252BD2"/>
    <w:rsid w:val="00255282"/>
    <w:rsid w:val="0025600E"/>
    <w:rsid w:val="00262A7B"/>
    <w:rsid w:val="00263159"/>
    <w:rsid w:val="00265447"/>
    <w:rsid w:val="002730D9"/>
    <w:rsid w:val="00282E61"/>
    <w:rsid w:val="00286716"/>
    <w:rsid w:val="0028783B"/>
    <w:rsid w:val="00296F5F"/>
    <w:rsid w:val="002978A2"/>
    <w:rsid w:val="002A0EB8"/>
    <w:rsid w:val="002A5DBA"/>
    <w:rsid w:val="002B0FEF"/>
    <w:rsid w:val="002B2997"/>
    <w:rsid w:val="002B7075"/>
    <w:rsid w:val="002C11B7"/>
    <w:rsid w:val="002C226D"/>
    <w:rsid w:val="002C4F82"/>
    <w:rsid w:val="002C6749"/>
    <w:rsid w:val="002D0AA6"/>
    <w:rsid w:val="002D174E"/>
    <w:rsid w:val="002D25B1"/>
    <w:rsid w:val="002D4351"/>
    <w:rsid w:val="002D656C"/>
    <w:rsid w:val="002D7F6F"/>
    <w:rsid w:val="002E491F"/>
    <w:rsid w:val="002F1407"/>
    <w:rsid w:val="002F3FD1"/>
    <w:rsid w:val="002F6118"/>
    <w:rsid w:val="002F68A2"/>
    <w:rsid w:val="002F6DC2"/>
    <w:rsid w:val="002F706A"/>
    <w:rsid w:val="00300891"/>
    <w:rsid w:val="003156F7"/>
    <w:rsid w:val="0032310A"/>
    <w:rsid w:val="00323D54"/>
    <w:rsid w:val="00326A47"/>
    <w:rsid w:val="00334641"/>
    <w:rsid w:val="003418F4"/>
    <w:rsid w:val="003433BF"/>
    <w:rsid w:val="003452FA"/>
    <w:rsid w:val="003454A1"/>
    <w:rsid w:val="0035273E"/>
    <w:rsid w:val="00354C80"/>
    <w:rsid w:val="003558E3"/>
    <w:rsid w:val="00355CBF"/>
    <w:rsid w:val="003651DA"/>
    <w:rsid w:val="003778C6"/>
    <w:rsid w:val="00380BD0"/>
    <w:rsid w:val="003857A4"/>
    <w:rsid w:val="00390DE0"/>
    <w:rsid w:val="00392574"/>
    <w:rsid w:val="003938D2"/>
    <w:rsid w:val="003A1296"/>
    <w:rsid w:val="003A69CB"/>
    <w:rsid w:val="003B2A19"/>
    <w:rsid w:val="003B339C"/>
    <w:rsid w:val="003B539F"/>
    <w:rsid w:val="003C07DE"/>
    <w:rsid w:val="003C1CB6"/>
    <w:rsid w:val="003C2569"/>
    <w:rsid w:val="003D185A"/>
    <w:rsid w:val="003D4D96"/>
    <w:rsid w:val="003D57F8"/>
    <w:rsid w:val="003D7C61"/>
    <w:rsid w:val="003E2D88"/>
    <w:rsid w:val="003E3FBD"/>
    <w:rsid w:val="003F3699"/>
    <w:rsid w:val="003F547A"/>
    <w:rsid w:val="003F5C65"/>
    <w:rsid w:val="004003A6"/>
    <w:rsid w:val="00401E48"/>
    <w:rsid w:val="00407AB6"/>
    <w:rsid w:val="00407AE8"/>
    <w:rsid w:val="00422AF8"/>
    <w:rsid w:val="00424B8D"/>
    <w:rsid w:val="00426B76"/>
    <w:rsid w:val="00426F1D"/>
    <w:rsid w:val="00427855"/>
    <w:rsid w:val="00431CBC"/>
    <w:rsid w:val="00432756"/>
    <w:rsid w:val="00436678"/>
    <w:rsid w:val="004411F7"/>
    <w:rsid w:val="00444682"/>
    <w:rsid w:val="0044729A"/>
    <w:rsid w:val="00447C4F"/>
    <w:rsid w:val="004502DA"/>
    <w:rsid w:val="00455B66"/>
    <w:rsid w:val="00455C45"/>
    <w:rsid w:val="004657AD"/>
    <w:rsid w:val="00470E14"/>
    <w:rsid w:val="00471FCE"/>
    <w:rsid w:val="00475A2B"/>
    <w:rsid w:val="00475BF8"/>
    <w:rsid w:val="00475D28"/>
    <w:rsid w:val="00475E92"/>
    <w:rsid w:val="004770DC"/>
    <w:rsid w:val="004860AB"/>
    <w:rsid w:val="00486621"/>
    <w:rsid w:val="0049067D"/>
    <w:rsid w:val="00490824"/>
    <w:rsid w:val="00491395"/>
    <w:rsid w:val="004941A6"/>
    <w:rsid w:val="00496A7A"/>
    <w:rsid w:val="004A2EC5"/>
    <w:rsid w:val="004A558D"/>
    <w:rsid w:val="004A5E08"/>
    <w:rsid w:val="004A612B"/>
    <w:rsid w:val="004A712D"/>
    <w:rsid w:val="004B1767"/>
    <w:rsid w:val="004C2A79"/>
    <w:rsid w:val="004C38E1"/>
    <w:rsid w:val="004D0794"/>
    <w:rsid w:val="004D08C8"/>
    <w:rsid w:val="004E0243"/>
    <w:rsid w:val="004E1391"/>
    <w:rsid w:val="004F427E"/>
    <w:rsid w:val="00503C53"/>
    <w:rsid w:val="00503FF1"/>
    <w:rsid w:val="00506F71"/>
    <w:rsid w:val="00515707"/>
    <w:rsid w:val="005170F5"/>
    <w:rsid w:val="00521CA7"/>
    <w:rsid w:val="00523FC4"/>
    <w:rsid w:val="00526305"/>
    <w:rsid w:val="005345FF"/>
    <w:rsid w:val="00537E6F"/>
    <w:rsid w:val="005425A2"/>
    <w:rsid w:val="00542631"/>
    <w:rsid w:val="005445CD"/>
    <w:rsid w:val="005460EF"/>
    <w:rsid w:val="00547137"/>
    <w:rsid w:val="0055212D"/>
    <w:rsid w:val="00552B1B"/>
    <w:rsid w:val="00553328"/>
    <w:rsid w:val="00565B3F"/>
    <w:rsid w:val="00566E63"/>
    <w:rsid w:val="005734F0"/>
    <w:rsid w:val="00573ACB"/>
    <w:rsid w:val="00576C5B"/>
    <w:rsid w:val="00580BE9"/>
    <w:rsid w:val="00583D5E"/>
    <w:rsid w:val="005918E0"/>
    <w:rsid w:val="005931B1"/>
    <w:rsid w:val="005966D8"/>
    <w:rsid w:val="005A02F8"/>
    <w:rsid w:val="005A4C8D"/>
    <w:rsid w:val="005A536E"/>
    <w:rsid w:val="005A53EE"/>
    <w:rsid w:val="005B066F"/>
    <w:rsid w:val="005B3291"/>
    <w:rsid w:val="005B3AF5"/>
    <w:rsid w:val="005C2E65"/>
    <w:rsid w:val="005C7D5B"/>
    <w:rsid w:val="005D16E3"/>
    <w:rsid w:val="005D7211"/>
    <w:rsid w:val="005E0388"/>
    <w:rsid w:val="005E1BD6"/>
    <w:rsid w:val="005F39AD"/>
    <w:rsid w:val="005F4947"/>
    <w:rsid w:val="005F4B35"/>
    <w:rsid w:val="0060049F"/>
    <w:rsid w:val="00600F78"/>
    <w:rsid w:val="006023F3"/>
    <w:rsid w:val="006025D1"/>
    <w:rsid w:val="00604323"/>
    <w:rsid w:val="00610084"/>
    <w:rsid w:val="00610303"/>
    <w:rsid w:val="006156C8"/>
    <w:rsid w:val="00615DD6"/>
    <w:rsid w:val="00616A7E"/>
    <w:rsid w:val="00616DDF"/>
    <w:rsid w:val="0062168D"/>
    <w:rsid w:val="006253B9"/>
    <w:rsid w:val="006300E2"/>
    <w:rsid w:val="00631213"/>
    <w:rsid w:val="00634EBF"/>
    <w:rsid w:val="0064269A"/>
    <w:rsid w:val="00642E55"/>
    <w:rsid w:val="00643334"/>
    <w:rsid w:val="00643518"/>
    <w:rsid w:val="006468B2"/>
    <w:rsid w:val="00646A7F"/>
    <w:rsid w:val="00647422"/>
    <w:rsid w:val="00651B6C"/>
    <w:rsid w:val="006651BB"/>
    <w:rsid w:val="0066525B"/>
    <w:rsid w:val="006654B8"/>
    <w:rsid w:val="0066656D"/>
    <w:rsid w:val="0067092A"/>
    <w:rsid w:val="00675741"/>
    <w:rsid w:val="006800C9"/>
    <w:rsid w:val="0068111C"/>
    <w:rsid w:val="0068279B"/>
    <w:rsid w:val="00684439"/>
    <w:rsid w:val="00685E7E"/>
    <w:rsid w:val="006869C0"/>
    <w:rsid w:val="006869DC"/>
    <w:rsid w:val="00686E8A"/>
    <w:rsid w:val="00694BA9"/>
    <w:rsid w:val="006A1A5A"/>
    <w:rsid w:val="006A40FF"/>
    <w:rsid w:val="006A5295"/>
    <w:rsid w:val="006A5E12"/>
    <w:rsid w:val="006B03AC"/>
    <w:rsid w:val="006B50A7"/>
    <w:rsid w:val="006B5822"/>
    <w:rsid w:val="006C24BA"/>
    <w:rsid w:val="006C2E23"/>
    <w:rsid w:val="006C4EA8"/>
    <w:rsid w:val="006C4F0E"/>
    <w:rsid w:val="006C6660"/>
    <w:rsid w:val="006D3EA0"/>
    <w:rsid w:val="006D50E5"/>
    <w:rsid w:val="006D7038"/>
    <w:rsid w:val="006E0290"/>
    <w:rsid w:val="006E0884"/>
    <w:rsid w:val="006E186E"/>
    <w:rsid w:val="006E70C1"/>
    <w:rsid w:val="006E7E75"/>
    <w:rsid w:val="006F458F"/>
    <w:rsid w:val="006F7A64"/>
    <w:rsid w:val="00700A97"/>
    <w:rsid w:val="00701308"/>
    <w:rsid w:val="00703A58"/>
    <w:rsid w:val="00706E82"/>
    <w:rsid w:val="007103E6"/>
    <w:rsid w:val="00710F49"/>
    <w:rsid w:val="007118CA"/>
    <w:rsid w:val="00712DE9"/>
    <w:rsid w:val="007141C3"/>
    <w:rsid w:val="00714B04"/>
    <w:rsid w:val="007229D2"/>
    <w:rsid w:val="007256DA"/>
    <w:rsid w:val="007260C6"/>
    <w:rsid w:val="00727758"/>
    <w:rsid w:val="0072786A"/>
    <w:rsid w:val="00741B03"/>
    <w:rsid w:val="00744C77"/>
    <w:rsid w:val="00745CED"/>
    <w:rsid w:val="00754331"/>
    <w:rsid w:val="00755FB8"/>
    <w:rsid w:val="00756D33"/>
    <w:rsid w:val="00761722"/>
    <w:rsid w:val="00762130"/>
    <w:rsid w:val="00763057"/>
    <w:rsid w:val="00766F7D"/>
    <w:rsid w:val="00774382"/>
    <w:rsid w:val="007759B6"/>
    <w:rsid w:val="00777173"/>
    <w:rsid w:val="00777CA0"/>
    <w:rsid w:val="00785000"/>
    <w:rsid w:val="007944DE"/>
    <w:rsid w:val="007B1DE1"/>
    <w:rsid w:val="007B23D3"/>
    <w:rsid w:val="007B4A3C"/>
    <w:rsid w:val="007B64F8"/>
    <w:rsid w:val="007B71C4"/>
    <w:rsid w:val="007C0D20"/>
    <w:rsid w:val="007C1C81"/>
    <w:rsid w:val="007C7421"/>
    <w:rsid w:val="007D2551"/>
    <w:rsid w:val="007D37FF"/>
    <w:rsid w:val="007D5847"/>
    <w:rsid w:val="007E4C47"/>
    <w:rsid w:val="007F0EC9"/>
    <w:rsid w:val="007F1BB1"/>
    <w:rsid w:val="00801235"/>
    <w:rsid w:val="008051A5"/>
    <w:rsid w:val="00810FD8"/>
    <w:rsid w:val="00813DD0"/>
    <w:rsid w:val="00817CF5"/>
    <w:rsid w:val="00820DC8"/>
    <w:rsid w:val="00825853"/>
    <w:rsid w:val="0083334D"/>
    <w:rsid w:val="0083793F"/>
    <w:rsid w:val="00841699"/>
    <w:rsid w:val="00846A72"/>
    <w:rsid w:val="008476F3"/>
    <w:rsid w:val="0085128E"/>
    <w:rsid w:val="0085767C"/>
    <w:rsid w:val="00860844"/>
    <w:rsid w:val="008667AB"/>
    <w:rsid w:val="00867A62"/>
    <w:rsid w:val="00871C3C"/>
    <w:rsid w:val="008768CC"/>
    <w:rsid w:val="00877701"/>
    <w:rsid w:val="008814B7"/>
    <w:rsid w:val="00895F40"/>
    <w:rsid w:val="008A1625"/>
    <w:rsid w:val="008A7A51"/>
    <w:rsid w:val="008B1149"/>
    <w:rsid w:val="008B7484"/>
    <w:rsid w:val="008C5329"/>
    <w:rsid w:val="008C5E6E"/>
    <w:rsid w:val="008D2027"/>
    <w:rsid w:val="008D330E"/>
    <w:rsid w:val="008D7E82"/>
    <w:rsid w:val="008E1D97"/>
    <w:rsid w:val="008E6099"/>
    <w:rsid w:val="008E66F3"/>
    <w:rsid w:val="008F48B7"/>
    <w:rsid w:val="00904306"/>
    <w:rsid w:val="00906728"/>
    <w:rsid w:val="009076E2"/>
    <w:rsid w:val="00911CA0"/>
    <w:rsid w:val="00915E44"/>
    <w:rsid w:val="00915ED8"/>
    <w:rsid w:val="00917B70"/>
    <w:rsid w:val="0092413F"/>
    <w:rsid w:val="009259DE"/>
    <w:rsid w:val="00930726"/>
    <w:rsid w:val="0093153F"/>
    <w:rsid w:val="0093258F"/>
    <w:rsid w:val="0093704C"/>
    <w:rsid w:val="009377D2"/>
    <w:rsid w:val="00937EE0"/>
    <w:rsid w:val="009400EC"/>
    <w:rsid w:val="00940BFD"/>
    <w:rsid w:val="009426A9"/>
    <w:rsid w:val="00942BDE"/>
    <w:rsid w:val="009449C2"/>
    <w:rsid w:val="009518E9"/>
    <w:rsid w:val="00954728"/>
    <w:rsid w:val="0096247F"/>
    <w:rsid w:val="00964C47"/>
    <w:rsid w:val="0096738A"/>
    <w:rsid w:val="00967FDE"/>
    <w:rsid w:val="00970E40"/>
    <w:rsid w:val="00976301"/>
    <w:rsid w:val="00983B5C"/>
    <w:rsid w:val="00985932"/>
    <w:rsid w:val="00993274"/>
    <w:rsid w:val="00993797"/>
    <w:rsid w:val="00994762"/>
    <w:rsid w:val="00996B1E"/>
    <w:rsid w:val="00997768"/>
    <w:rsid w:val="009A36B0"/>
    <w:rsid w:val="009A378C"/>
    <w:rsid w:val="009A5D00"/>
    <w:rsid w:val="009A6538"/>
    <w:rsid w:val="009B1F30"/>
    <w:rsid w:val="009B6311"/>
    <w:rsid w:val="009B7E50"/>
    <w:rsid w:val="009C19C2"/>
    <w:rsid w:val="009C5123"/>
    <w:rsid w:val="009D1D4E"/>
    <w:rsid w:val="009D1F71"/>
    <w:rsid w:val="009E74A8"/>
    <w:rsid w:val="009F0564"/>
    <w:rsid w:val="009F1D61"/>
    <w:rsid w:val="00A01115"/>
    <w:rsid w:val="00A02008"/>
    <w:rsid w:val="00A04357"/>
    <w:rsid w:val="00A05453"/>
    <w:rsid w:val="00A23C24"/>
    <w:rsid w:val="00A2401C"/>
    <w:rsid w:val="00A30CEE"/>
    <w:rsid w:val="00A30DE2"/>
    <w:rsid w:val="00A4040B"/>
    <w:rsid w:val="00A41F59"/>
    <w:rsid w:val="00A42C3E"/>
    <w:rsid w:val="00A46132"/>
    <w:rsid w:val="00A56CDB"/>
    <w:rsid w:val="00A63B39"/>
    <w:rsid w:val="00A6619F"/>
    <w:rsid w:val="00A66931"/>
    <w:rsid w:val="00A6777F"/>
    <w:rsid w:val="00A67E64"/>
    <w:rsid w:val="00A707F8"/>
    <w:rsid w:val="00A70BC2"/>
    <w:rsid w:val="00A750D1"/>
    <w:rsid w:val="00A750E6"/>
    <w:rsid w:val="00A77A38"/>
    <w:rsid w:val="00A84A90"/>
    <w:rsid w:val="00A9092C"/>
    <w:rsid w:val="00A90B81"/>
    <w:rsid w:val="00A915AD"/>
    <w:rsid w:val="00A921F3"/>
    <w:rsid w:val="00A95912"/>
    <w:rsid w:val="00A97388"/>
    <w:rsid w:val="00A97917"/>
    <w:rsid w:val="00AA1EFE"/>
    <w:rsid w:val="00AA467A"/>
    <w:rsid w:val="00AA48A5"/>
    <w:rsid w:val="00AB004D"/>
    <w:rsid w:val="00AB405B"/>
    <w:rsid w:val="00AB4E0B"/>
    <w:rsid w:val="00AB5210"/>
    <w:rsid w:val="00AC56F2"/>
    <w:rsid w:val="00AC76ED"/>
    <w:rsid w:val="00AE7220"/>
    <w:rsid w:val="00AF1CF5"/>
    <w:rsid w:val="00AF728C"/>
    <w:rsid w:val="00AF7380"/>
    <w:rsid w:val="00B125B0"/>
    <w:rsid w:val="00B1602D"/>
    <w:rsid w:val="00B166E7"/>
    <w:rsid w:val="00B168D1"/>
    <w:rsid w:val="00B17310"/>
    <w:rsid w:val="00B25CC5"/>
    <w:rsid w:val="00B30B9A"/>
    <w:rsid w:val="00B370A0"/>
    <w:rsid w:val="00B402CF"/>
    <w:rsid w:val="00B4452A"/>
    <w:rsid w:val="00B4684A"/>
    <w:rsid w:val="00B61486"/>
    <w:rsid w:val="00B6733D"/>
    <w:rsid w:val="00B72F96"/>
    <w:rsid w:val="00B80691"/>
    <w:rsid w:val="00B81CC9"/>
    <w:rsid w:val="00B90BC8"/>
    <w:rsid w:val="00B91F38"/>
    <w:rsid w:val="00B96649"/>
    <w:rsid w:val="00B973F0"/>
    <w:rsid w:val="00BA2977"/>
    <w:rsid w:val="00BB13E3"/>
    <w:rsid w:val="00BB67D3"/>
    <w:rsid w:val="00BC063F"/>
    <w:rsid w:val="00BC5C31"/>
    <w:rsid w:val="00BD2775"/>
    <w:rsid w:val="00BD5341"/>
    <w:rsid w:val="00BE0A15"/>
    <w:rsid w:val="00BE19DC"/>
    <w:rsid w:val="00BE3DEF"/>
    <w:rsid w:val="00BE5A27"/>
    <w:rsid w:val="00BE6EF8"/>
    <w:rsid w:val="00BF6F9A"/>
    <w:rsid w:val="00BF7911"/>
    <w:rsid w:val="00C06D31"/>
    <w:rsid w:val="00C07F23"/>
    <w:rsid w:val="00C14B37"/>
    <w:rsid w:val="00C16147"/>
    <w:rsid w:val="00C234DB"/>
    <w:rsid w:val="00C23BB6"/>
    <w:rsid w:val="00C24628"/>
    <w:rsid w:val="00C25A6C"/>
    <w:rsid w:val="00C31AAE"/>
    <w:rsid w:val="00C33BC8"/>
    <w:rsid w:val="00C402A7"/>
    <w:rsid w:val="00C41FB4"/>
    <w:rsid w:val="00C451C3"/>
    <w:rsid w:val="00C4663B"/>
    <w:rsid w:val="00C50FB3"/>
    <w:rsid w:val="00C54947"/>
    <w:rsid w:val="00C56D44"/>
    <w:rsid w:val="00C576D8"/>
    <w:rsid w:val="00C57806"/>
    <w:rsid w:val="00C62604"/>
    <w:rsid w:val="00C62A8C"/>
    <w:rsid w:val="00C63DBE"/>
    <w:rsid w:val="00C672E1"/>
    <w:rsid w:val="00C6782F"/>
    <w:rsid w:val="00C707F7"/>
    <w:rsid w:val="00C7088C"/>
    <w:rsid w:val="00C71527"/>
    <w:rsid w:val="00C76D95"/>
    <w:rsid w:val="00C867C3"/>
    <w:rsid w:val="00C93551"/>
    <w:rsid w:val="00C93F67"/>
    <w:rsid w:val="00C94F47"/>
    <w:rsid w:val="00C9599E"/>
    <w:rsid w:val="00CA523B"/>
    <w:rsid w:val="00CA5FD6"/>
    <w:rsid w:val="00CA64E1"/>
    <w:rsid w:val="00CB3A5C"/>
    <w:rsid w:val="00CB7D07"/>
    <w:rsid w:val="00CC54B6"/>
    <w:rsid w:val="00CD3D8E"/>
    <w:rsid w:val="00CD4381"/>
    <w:rsid w:val="00CD68D2"/>
    <w:rsid w:val="00CE64B3"/>
    <w:rsid w:val="00CE7AC6"/>
    <w:rsid w:val="00CF1DC5"/>
    <w:rsid w:val="00D003B3"/>
    <w:rsid w:val="00D00720"/>
    <w:rsid w:val="00D02717"/>
    <w:rsid w:val="00D05E80"/>
    <w:rsid w:val="00D2408F"/>
    <w:rsid w:val="00D259CB"/>
    <w:rsid w:val="00D45F74"/>
    <w:rsid w:val="00D539B2"/>
    <w:rsid w:val="00D559EB"/>
    <w:rsid w:val="00D56873"/>
    <w:rsid w:val="00D604CC"/>
    <w:rsid w:val="00D615DA"/>
    <w:rsid w:val="00D633BF"/>
    <w:rsid w:val="00D712B3"/>
    <w:rsid w:val="00D72F45"/>
    <w:rsid w:val="00D75CEF"/>
    <w:rsid w:val="00D8167F"/>
    <w:rsid w:val="00D81A64"/>
    <w:rsid w:val="00D8380E"/>
    <w:rsid w:val="00D858B6"/>
    <w:rsid w:val="00D861D1"/>
    <w:rsid w:val="00D90053"/>
    <w:rsid w:val="00D93D17"/>
    <w:rsid w:val="00D95639"/>
    <w:rsid w:val="00D97B9F"/>
    <w:rsid w:val="00DA1B1D"/>
    <w:rsid w:val="00DA3CF2"/>
    <w:rsid w:val="00DA3FA9"/>
    <w:rsid w:val="00DA7FE4"/>
    <w:rsid w:val="00DB18CC"/>
    <w:rsid w:val="00DB30D8"/>
    <w:rsid w:val="00DB61FF"/>
    <w:rsid w:val="00DB6CD3"/>
    <w:rsid w:val="00DB6D45"/>
    <w:rsid w:val="00DC0535"/>
    <w:rsid w:val="00DD010F"/>
    <w:rsid w:val="00DD0F49"/>
    <w:rsid w:val="00DE2072"/>
    <w:rsid w:val="00DE2768"/>
    <w:rsid w:val="00DE4CC0"/>
    <w:rsid w:val="00DE517D"/>
    <w:rsid w:val="00DF59EA"/>
    <w:rsid w:val="00E03715"/>
    <w:rsid w:val="00E239EC"/>
    <w:rsid w:val="00E30821"/>
    <w:rsid w:val="00E33CB2"/>
    <w:rsid w:val="00E356A6"/>
    <w:rsid w:val="00E37F3E"/>
    <w:rsid w:val="00E406B0"/>
    <w:rsid w:val="00E4537B"/>
    <w:rsid w:val="00E507EA"/>
    <w:rsid w:val="00E614A7"/>
    <w:rsid w:val="00E616AE"/>
    <w:rsid w:val="00E62901"/>
    <w:rsid w:val="00E63D0D"/>
    <w:rsid w:val="00E7505B"/>
    <w:rsid w:val="00E764DC"/>
    <w:rsid w:val="00E80253"/>
    <w:rsid w:val="00E86EAB"/>
    <w:rsid w:val="00E92E27"/>
    <w:rsid w:val="00E930CA"/>
    <w:rsid w:val="00EB3205"/>
    <w:rsid w:val="00EC69EC"/>
    <w:rsid w:val="00ED423D"/>
    <w:rsid w:val="00EE126E"/>
    <w:rsid w:val="00EE196C"/>
    <w:rsid w:val="00EE1ECC"/>
    <w:rsid w:val="00EE292C"/>
    <w:rsid w:val="00EE30A6"/>
    <w:rsid w:val="00EE59FA"/>
    <w:rsid w:val="00EE64A7"/>
    <w:rsid w:val="00EF0B16"/>
    <w:rsid w:val="00EF2989"/>
    <w:rsid w:val="00EF2ED3"/>
    <w:rsid w:val="00F01471"/>
    <w:rsid w:val="00F04DC6"/>
    <w:rsid w:val="00F10201"/>
    <w:rsid w:val="00F20144"/>
    <w:rsid w:val="00F20B4B"/>
    <w:rsid w:val="00F211DC"/>
    <w:rsid w:val="00F21714"/>
    <w:rsid w:val="00F22591"/>
    <w:rsid w:val="00F24852"/>
    <w:rsid w:val="00F320E2"/>
    <w:rsid w:val="00F3287D"/>
    <w:rsid w:val="00F32CE9"/>
    <w:rsid w:val="00F362D7"/>
    <w:rsid w:val="00F511D2"/>
    <w:rsid w:val="00F52255"/>
    <w:rsid w:val="00F5769B"/>
    <w:rsid w:val="00F617D4"/>
    <w:rsid w:val="00F62AAF"/>
    <w:rsid w:val="00F636EE"/>
    <w:rsid w:val="00F66830"/>
    <w:rsid w:val="00F67C8A"/>
    <w:rsid w:val="00F70D02"/>
    <w:rsid w:val="00F728EC"/>
    <w:rsid w:val="00F75D5A"/>
    <w:rsid w:val="00F77266"/>
    <w:rsid w:val="00F81168"/>
    <w:rsid w:val="00F83CA7"/>
    <w:rsid w:val="00F90081"/>
    <w:rsid w:val="00F9050B"/>
    <w:rsid w:val="00F93AC0"/>
    <w:rsid w:val="00F9597D"/>
    <w:rsid w:val="00FA2B1B"/>
    <w:rsid w:val="00FA4DCE"/>
    <w:rsid w:val="00FB0CBC"/>
    <w:rsid w:val="00FB3D0B"/>
    <w:rsid w:val="00FB7BFF"/>
    <w:rsid w:val="00FC1806"/>
    <w:rsid w:val="00FC338B"/>
    <w:rsid w:val="00FC3E4D"/>
    <w:rsid w:val="00FC3F9D"/>
    <w:rsid w:val="00FD73F8"/>
    <w:rsid w:val="00FE090C"/>
    <w:rsid w:val="00FE2C5B"/>
    <w:rsid w:val="00FE6F00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A5D2728"/>
  <w15:chartTrackingRefBased/>
  <w15:docId w15:val="{5D25BF83-0DF6-4292-8825-A6ACD234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FE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7088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0">
    <w:name w:val="heading 2"/>
    <w:basedOn w:val="a"/>
    <w:next w:val="a"/>
    <w:link w:val="21"/>
    <w:qFormat/>
    <w:rsid w:val="00AA1EFE"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C7088C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qFormat/>
    <w:rsid w:val="006869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088C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Number 2"/>
    <w:basedOn w:val="a"/>
    <w:rsid w:val="00AA1EFE"/>
    <w:pPr>
      <w:keepNext/>
      <w:keepLines/>
      <w:numPr>
        <w:numId w:val="1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character" w:customStyle="1" w:styleId="11">
    <w:name w:val="Заголовок 1 Знак"/>
    <w:link w:val="10"/>
    <w:rsid w:val="00C7088C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semiHidden/>
    <w:rsid w:val="00C7088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50">
    <w:name w:val="Заголовок 5 Знак"/>
    <w:link w:val="5"/>
    <w:uiPriority w:val="99"/>
    <w:rsid w:val="00C7088C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AB405B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755F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755FB8"/>
    <w:rPr>
      <w:rFonts w:ascii="Tahoma" w:hAnsi="Tahoma" w:cs="Tahoma"/>
      <w:sz w:val="16"/>
      <w:szCs w:val="16"/>
    </w:rPr>
  </w:style>
  <w:style w:type="character" w:styleId="a7">
    <w:name w:val="annotation reference"/>
    <w:semiHidden/>
    <w:unhideWhenUsed/>
    <w:rsid w:val="007E4C47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7E4C4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7E4C47"/>
  </w:style>
  <w:style w:type="paragraph" w:styleId="aa">
    <w:name w:val="annotation subject"/>
    <w:basedOn w:val="a8"/>
    <w:next w:val="a8"/>
    <w:link w:val="ab"/>
    <w:semiHidden/>
    <w:unhideWhenUsed/>
    <w:rsid w:val="007E4C47"/>
    <w:rPr>
      <w:b/>
      <w:bCs/>
    </w:rPr>
  </w:style>
  <w:style w:type="character" w:customStyle="1" w:styleId="ab">
    <w:name w:val="Тема примечания Знак"/>
    <w:link w:val="aa"/>
    <w:semiHidden/>
    <w:rsid w:val="007E4C47"/>
    <w:rPr>
      <w:b/>
      <w:bCs/>
    </w:rPr>
  </w:style>
  <w:style w:type="paragraph" w:styleId="ac">
    <w:name w:val="caption"/>
    <w:basedOn w:val="a"/>
    <w:next w:val="a"/>
    <w:qFormat/>
    <w:rsid w:val="0093704C"/>
    <w:pPr>
      <w:spacing w:before="120" w:after="120" w:line="270" w:lineRule="atLeast"/>
      <w:ind w:left="1134"/>
    </w:pPr>
    <w:rPr>
      <w:rFonts w:ascii="NewsGoth Lt BT" w:hAnsi="NewsGoth Lt BT"/>
      <w:sz w:val="15"/>
      <w:szCs w:val="20"/>
      <w:lang w:val="de-DE"/>
    </w:rPr>
  </w:style>
  <w:style w:type="paragraph" w:styleId="22">
    <w:name w:val="Body Text 2"/>
    <w:basedOn w:val="a"/>
    <w:link w:val="23"/>
    <w:uiPriority w:val="99"/>
    <w:rsid w:val="00F320E2"/>
    <w:pPr>
      <w:ind w:left="851"/>
      <w:jc w:val="both"/>
    </w:pPr>
    <w:rPr>
      <w:szCs w:val="20"/>
      <w:lang w:val="en-GB" w:eastAsia="en-US"/>
    </w:rPr>
  </w:style>
  <w:style w:type="character" w:customStyle="1" w:styleId="23">
    <w:name w:val="Основной текст 2 Знак"/>
    <w:link w:val="22"/>
    <w:uiPriority w:val="99"/>
    <w:rsid w:val="00F320E2"/>
    <w:rPr>
      <w:sz w:val="24"/>
      <w:lang w:val="en-GB" w:eastAsia="en-US"/>
    </w:rPr>
  </w:style>
  <w:style w:type="paragraph" w:customStyle="1" w:styleId="subclauseindent">
    <w:name w:val="subclauseindent"/>
    <w:basedOn w:val="a"/>
    <w:uiPriority w:val="99"/>
    <w:rsid w:val="00E7505B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paragraph" w:customStyle="1" w:styleId="1">
    <w:name w:val="Маркированный 1"/>
    <w:basedOn w:val="a"/>
    <w:uiPriority w:val="99"/>
    <w:rsid w:val="00684439"/>
    <w:pPr>
      <w:numPr>
        <w:numId w:val="3"/>
      </w:numPr>
      <w:spacing w:before="120"/>
      <w:jc w:val="both"/>
    </w:pPr>
    <w:rPr>
      <w:rFonts w:ascii="Arial" w:hAnsi="Arial"/>
      <w:color w:val="000000"/>
      <w:sz w:val="22"/>
      <w:szCs w:val="20"/>
    </w:rPr>
  </w:style>
  <w:style w:type="paragraph" w:customStyle="1" w:styleId="-2">
    <w:name w:val="Маркированный -2"/>
    <w:basedOn w:val="a"/>
    <w:next w:val="a"/>
    <w:autoRedefine/>
    <w:uiPriority w:val="99"/>
    <w:rsid w:val="00226943"/>
    <w:pPr>
      <w:widowControl w:val="0"/>
      <w:numPr>
        <w:numId w:val="5"/>
      </w:numPr>
      <w:suppressAutoHyphens/>
      <w:spacing w:before="60"/>
      <w:jc w:val="both"/>
    </w:pPr>
    <w:rPr>
      <w:rFonts w:ascii="Arial" w:hAnsi="Arial" w:cs="Arial"/>
      <w:i/>
      <w:iCs/>
      <w:color w:val="000000"/>
      <w:sz w:val="22"/>
      <w:szCs w:val="20"/>
    </w:rPr>
  </w:style>
  <w:style w:type="paragraph" w:styleId="31">
    <w:name w:val="Body Text 3"/>
    <w:basedOn w:val="a"/>
    <w:link w:val="32"/>
    <w:semiHidden/>
    <w:unhideWhenUsed/>
    <w:rsid w:val="00566E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566E63"/>
    <w:rPr>
      <w:sz w:val="16"/>
      <w:szCs w:val="16"/>
    </w:rPr>
  </w:style>
  <w:style w:type="paragraph" w:customStyle="1" w:styleId="Handbuchtitel">
    <w:name w:val="Handbuchtitel"/>
    <w:basedOn w:val="a"/>
    <w:uiPriority w:val="99"/>
    <w:rsid w:val="00566E63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character" w:customStyle="1" w:styleId="a4">
    <w:name w:val="Абзац списка Знак"/>
    <w:link w:val="a3"/>
    <w:uiPriority w:val="99"/>
    <w:rsid w:val="006869C0"/>
    <w:rPr>
      <w:sz w:val="24"/>
      <w:szCs w:val="24"/>
    </w:rPr>
  </w:style>
  <w:style w:type="character" w:customStyle="1" w:styleId="40">
    <w:name w:val="Заголовок 4 Знак"/>
    <w:link w:val="4"/>
    <w:semiHidden/>
    <w:rsid w:val="006869D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header"/>
    <w:basedOn w:val="a"/>
    <w:link w:val="ae"/>
    <w:unhideWhenUsed/>
    <w:rsid w:val="0072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7260C6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2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260C6"/>
    <w:rPr>
      <w:sz w:val="24"/>
      <w:szCs w:val="24"/>
    </w:rPr>
  </w:style>
  <w:style w:type="character" w:customStyle="1" w:styleId="21">
    <w:name w:val="Заголовок 2 Знак"/>
    <w:link w:val="20"/>
    <w:rsid w:val="004E0243"/>
    <w:rPr>
      <w:b/>
      <w:bCs/>
    </w:rPr>
  </w:style>
  <w:style w:type="paragraph" w:styleId="af1">
    <w:name w:val="Revision"/>
    <w:hidden/>
    <w:uiPriority w:val="99"/>
    <w:semiHidden/>
    <w:rsid w:val="00553328"/>
    <w:rPr>
      <w:sz w:val="24"/>
      <w:szCs w:val="24"/>
    </w:rPr>
  </w:style>
  <w:style w:type="character" w:styleId="af2">
    <w:name w:val="Placeholder Text"/>
    <w:basedOn w:val="a0"/>
    <w:uiPriority w:val="99"/>
    <w:semiHidden/>
    <w:rsid w:val="003E3FBD"/>
    <w:rPr>
      <w:color w:val="808080"/>
    </w:rPr>
  </w:style>
  <w:style w:type="character" w:customStyle="1" w:styleId="BodytextBold">
    <w:name w:val="Body text + Bold"/>
    <w:uiPriority w:val="99"/>
    <w:rsid w:val="001160E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FontStyle17">
    <w:name w:val="Font Style17"/>
    <w:uiPriority w:val="99"/>
    <w:rsid w:val="001160E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AC21-4F9C-4BAD-85BD-9632D909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3131</Words>
  <Characters>20784</Characters>
  <Application>Microsoft Office Word</Application>
  <DocSecurity>0</DocSecurity>
  <Lines>173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rybnikova</dc:creator>
  <cp:keywords/>
  <cp:lastModifiedBy>Гирина Марина Владимировна</cp:lastModifiedBy>
  <cp:revision>9</cp:revision>
  <cp:lastPrinted>2022-06-16T07:13:00Z</cp:lastPrinted>
  <dcterms:created xsi:type="dcterms:W3CDTF">2022-12-16T10:54:00Z</dcterms:created>
  <dcterms:modified xsi:type="dcterms:W3CDTF">2022-12-20T01:55:00Z</dcterms:modified>
</cp:coreProperties>
</file>