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A8" w:rsidRPr="00C064A8" w:rsidRDefault="00C064A8" w:rsidP="00C064A8">
      <w:pPr>
        <w:widowControl w:val="0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4A8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Приложение</w:t>
      </w:r>
      <w:r w:rsidRPr="00C06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bookmarkStart w:id="0" w:name="_GoBack"/>
      <w:bookmarkEnd w:id="0"/>
    </w:p>
    <w:p w:rsidR="00C064A8" w:rsidRPr="00C064A8" w:rsidRDefault="00C064A8" w:rsidP="00C064A8">
      <w:pPr>
        <w:widowControl w:val="0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№ 3/2021 заседания Наблюдательного совета </w:t>
      </w:r>
    </w:p>
    <w:p w:rsidR="00C064A8" w:rsidRPr="00C064A8" w:rsidRDefault="00C064A8" w:rsidP="00C064A8">
      <w:pPr>
        <w:widowControl w:val="0"/>
        <w:spacing w:after="0" w:line="276" w:lineRule="auto"/>
        <w:jc w:val="right"/>
        <w:rPr>
          <w:rFonts w:ascii="Garamond" w:eastAsia="Times New Roman" w:hAnsi="Garamond" w:cs="Times New Roman"/>
          <w:b/>
          <w:sz w:val="28"/>
          <w:szCs w:val="28"/>
          <w:lang w:eastAsia="ru-RU"/>
        </w:rPr>
      </w:pPr>
      <w:r w:rsidRPr="00C064A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Ассоциации «НП Совет рынка» от 26 января 2021 года.</w:t>
      </w:r>
    </w:p>
    <w:p w:rsidR="00C064A8" w:rsidRPr="00C064A8" w:rsidRDefault="00C064A8" w:rsidP="0087313D">
      <w:pPr>
        <w:autoSpaceDE w:val="0"/>
        <w:autoSpaceDN w:val="0"/>
        <w:adjustRightInd w:val="0"/>
        <w:spacing w:after="0" w:line="240" w:lineRule="auto"/>
        <w:outlineLvl w:val="0"/>
        <w:rPr>
          <w:rFonts w:ascii="Garamond" w:hAnsi="Garamond"/>
          <w:b/>
          <w:bCs/>
          <w:sz w:val="28"/>
          <w:szCs w:val="28"/>
        </w:rPr>
      </w:pPr>
    </w:p>
    <w:p w:rsidR="00950586" w:rsidRDefault="00BD50E0" w:rsidP="0087313D">
      <w:pPr>
        <w:autoSpaceDE w:val="0"/>
        <w:autoSpaceDN w:val="0"/>
        <w:adjustRightInd w:val="0"/>
        <w:spacing w:after="0" w:line="240" w:lineRule="auto"/>
        <w:outlineLvl w:val="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lang w:val="en-US"/>
        </w:rPr>
        <w:t>V</w:t>
      </w:r>
      <w:r w:rsidRPr="00BD50E0">
        <w:rPr>
          <w:rFonts w:ascii="Garamond" w:hAnsi="Garamond"/>
          <w:b/>
          <w:bCs/>
          <w:sz w:val="28"/>
          <w:szCs w:val="28"/>
        </w:rPr>
        <w:t>.1</w:t>
      </w:r>
      <w:r w:rsidR="00313075">
        <w:rPr>
          <w:rFonts w:ascii="Garamond" w:hAnsi="Garamond"/>
          <w:b/>
          <w:bCs/>
          <w:sz w:val="28"/>
          <w:szCs w:val="28"/>
        </w:rPr>
        <w:t xml:space="preserve">. </w:t>
      </w:r>
      <w:r w:rsidR="006E512E" w:rsidRPr="006E512E">
        <w:rPr>
          <w:rFonts w:ascii="Garamond" w:hAnsi="Garamond"/>
          <w:b/>
          <w:bCs/>
          <w:sz w:val="28"/>
          <w:szCs w:val="28"/>
        </w:rPr>
        <w:t xml:space="preserve">Изменения, связанные c </w:t>
      </w:r>
      <w:r w:rsidR="00565A27">
        <w:rPr>
          <w:rFonts w:ascii="Garamond" w:hAnsi="Garamond"/>
          <w:b/>
          <w:bCs/>
          <w:sz w:val="28"/>
          <w:szCs w:val="28"/>
        </w:rPr>
        <w:t>особенностями учета и оплаты неустойки</w:t>
      </w:r>
    </w:p>
    <w:p w:rsidR="00950586" w:rsidRDefault="00950586">
      <w:pPr>
        <w:autoSpaceDE w:val="0"/>
        <w:autoSpaceDN w:val="0"/>
        <w:adjustRightInd w:val="0"/>
        <w:spacing w:after="0" w:line="240" w:lineRule="auto"/>
        <w:ind w:right="-296"/>
        <w:jc w:val="right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</w:p>
    <w:p w:rsidR="00950586" w:rsidRPr="00840F22" w:rsidRDefault="0025050C">
      <w:pPr>
        <w:autoSpaceDE w:val="0"/>
        <w:autoSpaceDN w:val="0"/>
        <w:adjustRightInd w:val="0"/>
        <w:spacing w:after="0" w:line="240" w:lineRule="auto"/>
        <w:ind w:right="-296"/>
        <w:jc w:val="right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 xml:space="preserve">Приложение № </w:t>
      </w:r>
      <w:r w:rsidR="00840F22">
        <w:rPr>
          <w:rFonts w:ascii="Garamond" w:hAnsi="Garamond" w:cs="Arial"/>
          <w:b/>
          <w:sz w:val="28"/>
          <w:szCs w:val="28"/>
          <w:shd w:val="clear" w:color="auto" w:fill="FFFFFF"/>
        </w:rPr>
        <w:t>1.2</w:t>
      </w:r>
    </w:p>
    <w:p w:rsidR="00950586" w:rsidRDefault="00950586">
      <w:pPr>
        <w:autoSpaceDE w:val="0"/>
        <w:autoSpaceDN w:val="0"/>
        <w:adjustRightInd w:val="0"/>
        <w:spacing w:after="0" w:line="240" w:lineRule="auto"/>
        <w:ind w:right="-296"/>
        <w:jc w:val="right"/>
        <w:outlineLvl w:val="0"/>
        <w:rPr>
          <w:rFonts w:ascii="Garamond" w:hAnsi="Garamond"/>
          <w:b/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9"/>
      </w:tblGrid>
      <w:tr w:rsidR="00950586">
        <w:tc>
          <w:tcPr>
            <w:tcW w:w="14879" w:type="dxa"/>
          </w:tcPr>
          <w:p w:rsidR="00950586" w:rsidRDefault="0025050C" w:rsidP="006E512E">
            <w:pPr>
              <w:keepNext/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Инициатор: </w:t>
            </w:r>
            <w:r w:rsidR="000747FE" w:rsidRPr="000747FE">
              <w:rPr>
                <w:rFonts w:ascii="Garamond" w:hAnsi="Garamond"/>
                <w:bCs/>
                <w:sz w:val="24"/>
                <w:szCs w:val="24"/>
              </w:rPr>
              <w:t>Ассоциация «НП Совет рынка».</w:t>
            </w:r>
          </w:p>
          <w:p w:rsidR="00950586" w:rsidRDefault="002505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Обоснование</w:t>
            </w:r>
            <w:r>
              <w:rPr>
                <w:rFonts w:ascii="Garamond" w:hAnsi="Garamond"/>
                <w:b/>
                <w:sz w:val="24"/>
                <w:szCs w:val="24"/>
              </w:rPr>
              <w:t>: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0747FE">
              <w:rPr>
                <w:rFonts w:ascii="Garamond" w:hAnsi="Garamond"/>
                <w:sz w:val="24"/>
                <w:szCs w:val="24"/>
              </w:rPr>
              <w:t>и</w:t>
            </w:r>
            <w:r w:rsidR="000747FE" w:rsidRPr="00FD6917">
              <w:rPr>
                <w:rFonts w:ascii="Garamond" w:hAnsi="Garamond"/>
                <w:sz w:val="24"/>
                <w:szCs w:val="24"/>
              </w:rPr>
              <w:t>сполнение решения Наблюдательного совета Ассоциации «НП Совет рынка» в части реализации перечня мероприятий по урегулированию задолженности на оптовом рынке электрической энергии и мощности</w:t>
            </w:r>
            <w:r w:rsidR="0087313D">
              <w:rPr>
                <w:rFonts w:ascii="Garamond" w:hAnsi="Garamond"/>
                <w:sz w:val="24"/>
                <w:szCs w:val="24"/>
              </w:rPr>
              <w:t>.</w:t>
            </w:r>
          </w:p>
          <w:p w:rsidR="00950586" w:rsidRDefault="0025050C" w:rsidP="00BD50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Дата вступления в силу:</w:t>
            </w:r>
            <w:r w:rsidR="006E512E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r w:rsidR="00BD50E0">
              <w:rPr>
                <w:rFonts w:ascii="Garamond" w:hAnsi="Garamond"/>
                <w:bCs/>
                <w:sz w:val="24"/>
                <w:szCs w:val="24"/>
              </w:rPr>
              <w:t>1 февраля 2021 года.</w:t>
            </w:r>
          </w:p>
        </w:tc>
      </w:tr>
    </w:tbl>
    <w:p w:rsidR="00950586" w:rsidRDefault="00950586">
      <w:pPr>
        <w:spacing w:after="0" w:line="240" w:lineRule="auto"/>
        <w:ind w:left="142" w:right="-312"/>
        <w:rPr>
          <w:rFonts w:ascii="Garamond" w:hAnsi="Garamond"/>
          <w:b/>
          <w:sz w:val="26"/>
          <w:szCs w:val="26"/>
        </w:rPr>
      </w:pPr>
    </w:p>
    <w:p w:rsidR="00950586" w:rsidRDefault="0025050C">
      <w:pPr>
        <w:spacing w:after="0" w:line="240" w:lineRule="auto"/>
        <w:ind w:left="142" w:right="-312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</w:t>
      </w:r>
      <w:r>
        <w:rPr>
          <w:rFonts w:ascii="Garamond" w:hAnsi="Garamond"/>
          <w:b/>
          <w:sz w:val="26"/>
          <w:szCs w:val="26"/>
        </w:rPr>
        <w:t xml:space="preserve"> (Приложение № 16 к Договору о присоединении к торговой системе оптового рынка)</w:t>
      </w:r>
    </w:p>
    <w:p w:rsidR="00A4106F" w:rsidRDefault="00A4106F">
      <w:pPr>
        <w:spacing w:after="0" w:line="240" w:lineRule="auto"/>
        <w:ind w:left="142" w:right="-312"/>
        <w:rPr>
          <w:rFonts w:ascii="Garamond" w:hAnsi="Garamond"/>
          <w:b/>
          <w:sz w:val="26"/>
          <w:szCs w:val="26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6521"/>
        <w:gridCol w:w="7229"/>
      </w:tblGrid>
      <w:tr w:rsidR="00C53B0F" w:rsidTr="00C64048">
        <w:tc>
          <w:tcPr>
            <w:tcW w:w="1021" w:type="dxa"/>
            <w:vAlign w:val="center"/>
          </w:tcPr>
          <w:p w:rsidR="00C53B0F" w:rsidRDefault="00C53B0F" w:rsidP="00C64048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№ </w:t>
            </w:r>
          </w:p>
          <w:p w:rsidR="00C53B0F" w:rsidRDefault="00C53B0F" w:rsidP="00C64048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C53B0F" w:rsidRDefault="00C53B0F" w:rsidP="00C64048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:rsidR="00C53B0F" w:rsidRDefault="00C53B0F" w:rsidP="00C64048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C53B0F" w:rsidRDefault="00C53B0F" w:rsidP="00C64048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Предлагаемая редакция</w:t>
            </w:r>
          </w:p>
          <w:p w:rsidR="00C53B0F" w:rsidRDefault="00C53B0F" w:rsidP="00C64048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(изменения выделены цветом)</w:t>
            </w:r>
          </w:p>
        </w:tc>
      </w:tr>
      <w:tr w:rsidR="00C53B0F" w:rsidTr="00C64048">
        <w:trPr>
          <w:trHeight w:val="561"/>
        </w:trPr>
        <w:tc>
          <w:tcPr>
            <w:tcW w:w="1021" w:type="dxa"/>
          </w:tcPr>
          <w:p w:rsidR="00C53B0F" w:rsidRPr="00DF5543" w:rsidRDefault="00C53B0F" w:rsidP="00C64048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DF5543">
              <w:rPr>
                <w:rFonts w:ascii="Garamond" w:hAnsi="Garamond"/>
                <w:b/>
              </w:rPr>
              <w:t>12.5.3</w:t>
            </w:r>
          </w:p>
        </w:tc>
        <w:tc>
          <w:tcPr>
            <w:tcW w:w="6521" w:type="dxa"/>
            <w:shd w:val="clear" w:color="auto" w:fill="auto"/>
          </w:tcPr>
          <w:p w:rsidR="00C53B0F" w:rsidRPr="00A4106F" w:rsidRDefault="00C53B0F" w:rsidP="00C64048">
            <w:pPr>
              <w:pStyle w:val="20"/>
              <w:spacing w:before="120" w:after="120"/>
              <w:ind w:left="601" w:hanging="426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A4106F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12.5.3. Особенности оплаты неустойки (пени) в отношении отдельных участников оптового рынка</w:t>
            </w:r>
          </w:p>
          <w:p w:rsidR="00C53B0F" w:rsidRPr="00A36B23" w:rsidRDefault="00C53B0F" w:rsidP="00C64048">
            <w:pPr>
              <w:pStyle w:val="a3"/>
              <w:ind w:firstLine="598"/>
              <w:rPr>
                <w:rFonts w:ascii="Garamond" w:hAnsi="Garamond"/>
                <w:szCs w:val="22"/>
                <w:lang w:val="ru-RU"/>
              </w:rPr>
            </w:pPr>
            <w:r w:rsidRPr="00A36B23">
              <w:rPr>
                <w:rFonts w:ascii="Garamond" w:hAnsi="Garamond"/>
                <w:szCs w:val="22"/>
                <w:lang w:val="ru-RU"/>
              </w:rPr>
              <w:t>ЦФР начиная со дня, следующего за днем получения от Совета рынка уведомления со списком участников, указанного в п. 2.5.5 настоящего Регламента</w:t>
            </w:r>
            <w:r w:rsidRPr="0024748A">
              <w:rPr>
                <w:rFonts w:ascii="Garamond" w:hAnsi="Garamond"/>
                <w:szCs w:val="22"/>
                <w:highlight w:val="yellow"/>
                <w:lang w:val="ru-RU"/>
              </w:rPr>
              <w:t>, и до 31.01.2021</w:t>
            </w:r>
            <w:r w:rsidRPr="00A36B23">
              <w:rPr>
                <w:rFonts w:ascii="Garamond" w:hAnsi="Garamond"/>
                <w:szCs w:val="22"/>
                <w:lang w:val="ru-RU"/>
              </w:rPr>
              <w:t>:</w:t>
            </w:r>
          </w:p>
          <w:p w:rsidR="00C53B0F" w:rsidRPr="0013239A" w:rsidRDefault="00C53B0F" w:rsidP="00C64048">
            <w:pPr>
              <w:pStyle w:val="a3"/>
              <w:numPr>
                <w:ilvl w:val="0"/>
                <w:numId w:val="25"/>
              </w:numPr>
              <w:tabs>
                <w:tab w:val="left" w:pos="982"/>
              </w:tabs>
              <w:ind w:left="34" w:firstLine="567"/>
              <w:rPr>
                <w:rFonts w:ascii="Garamond" w:hAnsi="Garamond"/>
                <w:szCs w:val="22"/>
                <w:lang w:val="ru-RU"/>
              </w:rPr>
            </w:pPr>
            <w:r w:rsidRPr="00A36B23">
              <w:rPr>
                <w:rFonts w:ascii="Garamond" w:hAnsi="Garamond"/>
                <w:szCs w:val="22"/>
                <w:lang w:val="ru-RU"/>
              </w:rPr>
              <w:t xml:space="preserve">не включает в Сводный реестр </w:t>
            </w:r>
            <w:r w:rsidRPr="0013239A">
              <w:rPr>
                <w:rFonts w:ascii="Garamond" w:hAnsi="Garamond"/>
                <w:szCs w:val="22"/>
                <w:lang w:val="ru-RU"/>
              </w:rPr>
              <w:t xml:space="preserve">платежей, передаваемый в уполномоченную кредитную организацию, неустойку (пени) по обязательствам указанных участников по оплате электрической энергии и (или) мощности, а также услуг инфраструктурных организаций, срок исполнения которых наступил с 01.01.2020 по 30.06.2020; </w:t>
            </w:r>
          </w:p>
          <w:p w:rsidR="00C53B0F" w:rsidRPr="0013239A" w:rsidRDefault="00C53B0F" w:rsidP="00C64048">
            <w:pPr>
              <w:pStyle w:val="a3"/>
              <w:numPr>
                <w:ilvl w:val="0"/>
                <w:numId w:val="25"/>
              </w:numPr>
              <w:tabs>
                <w:tab w:val="left" w:pos="982"/>
              </w:tabs>
              <w:ind w:left="34" w:firstLine="567"/>
              <w:rPr>
                <w:rFonts w:ascii="Garamond" w:hAnsi="Garamond"/>
                <w:szCs w:val="22"/>
                <w:lang w:val="ru-RU"/>
              </w:rPr>
            </w:pPr>
            <w:r w:rsidRPr="0013239A">
              <w:rPr>
                <w:rFonts w:ascii="Garamond" w:hAnsi="Garamond"/>
                <w:szCs w:val="22"/>
                <w:lang w:val="ru-RU"/>
              </w:rPr>
              <w:t>не рассчитывает и не включает в Сводный реестр платежей, передаваемый в уполномоченную кредитную организацию, неустойку (пени) по обязательствам указанных участников по оплате электрической энергии и (или) мощности, а также услуг инфраструктурных организаций, срок исполнения которых наступил до 01.01.2020.</w:t>
            </w:r>
          </w:p>
          <w:p w:rsidR="00C53B0F" w:rsidRPr="00DD2E87" w:rsidRDefault="00C53B0F" w:rsidP="00C64048">
            <w:pPr>
              <w:pStyle w:val="a3"/>
              <w:ind w:firstLine="598"/>
              <w:rPr>
                <w:rFonts w:ascii="Garamond" w:hAnsi="Garamond"/>
                <w:szCs w:val="22"/>
                <w:lang w:val="ru-RU"/>
              </w:rPr>
            </w:pPr>
            <w:r w:rsidRPr="00DD2E87">
              <w:rPr>
                <w:rFonts w:ascii="Garamond" w:hAnsi="Garamond"/>
                <w:szCs w:val="22"/>
                <w:lang w:val="ru-RU"/>
              </w:rPr>
              <w:lastRenderedPageBreak/>
              <w:t>ЦФР не рассчитывает и не включает в Сводный реестр платежей, передаваемый в уполномоченную кредитную организацию, неустойку (пени) по обязательствам по оплате электрической энергии и (или) мощности по договорам, в отношении которых заключены Соглашения о реструктуризации задолженности по форме приложения 114.3 к настоящему Регламенту, в течение периода учета ЦФР указанных соглашений.</w:t>
            </w:r>
          </w:p>
          <w:p w:rsidR="00C53B0F" w:rsidRPr="00A36B23" w:rsidRDefault="00C53B0F" w:rsidP="00C64048">
            <w:pPr>
              <w:pStyle w:val="a3"/>
              <w:ind w:firstLine="598"/>
              <w:rPr>
                <w:rFonts w:ascii="Garamond" w:hAnsi="Garamond"/>
                <w:szCs w:val="22"/>
                <w:lang w:val="ru-RU"/>
              </w:rPr>
            </w:pPr>
            <w:r w:rsidRPr="00DD2E87">
              <w:rPr>
                <w:rFonts w:ascii="Garamond" w:hAnsi="Garamond"/>
                <w:szCs w:val="22"/>
                <w:lang w:val="ru-RU"/>
              </w:rPr>
              <w:t>ЦФР не рассчитывает и не включает в Сводный реестр платежей, передаваемый в уполномоченную кредитную организацию, неустойку (пени) по обязательствам по оплате процентов за пользование денежными средствами по Соглашениям о реструктуризации задолженности, заключенным по форме приложения 114.3 к настоящему Регламенту, в течение периода учета ЦФР указанных соглашений.</w:t>
            </w:r>
          </w:p>
          <w:p w:rsidR="00C53B0F" w:rsidRDefault="00C53B0F" w:rsidP="00C64048">
            <w:pPr>
              <w:pStyle w:val="a3"/>
              <w:spacing w:line="259" w:lineRule="auto"/>
              <w:rPr>
                <w:rFonts w:ascii="Garamond" w:hAnsi="Garamond"/>
                <w:b/>
                <w:lang w:val="ru-RU"/>
              </w:rPr>
            </w:pPr>
          </w:p>
        </w:tc>
        <w:tc>
          <w:tcPr>
            <w:tcW w:w="7229" w:type="dxa"/>
            <w:shd w:val="clear" w:color="auto" w:fill="auto"/>
          </w:tcPr>
          <w:p w:rsidR="00C53B0F" w:rsidRPr="00A4106F" w:rsidRDefault="00C53B0F" w:rsidP="00C64048">
            <w:pPr>
              <w:pStyle w:val="20"/>
              <w:spacing w:before="120" w:after="120"/>
              <w:ind w:left="601" w:hanging="426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A4106F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lastRenderedPageBreak/>
              <w:t>12.5.3. Особенности оплаты неустойки (пени) в отношении отдельных участников оптового рынка</w:t>
            </w:r>
          </w:p>
          <w:p w:rsidR="00C53B0F" w:rsidRPr="00A36B23" w:rsidRDefault="00C53B0F" w:rsidP="00C64048">
            <w:pPr>
              <w:pStyle w:val="a3"/>
              <w:ind w:firstLine="598"/>
              <w:rPr>
                <w:rFonts w:ascii="Garamond" w:hAnsi="Garamond"/>
                <w:szCs w:val="22"/>
                <w:lang w:val="ru-RU"/>
              </w:rPr>
            </w:pPr>
            <w:r w:rsidRPr="00A36B23">
              <w:rPr>
                <w:rFonts w:ascii="Garamond" w:hAnsi="Garamond"/>
                <w:szCs w:val="22"/>
                <w:lang w:val="ru-RU"/>
              </w:rPr>
              <w:t>ЦФР начиная со дня, следующего за днем получения от Совета рынка уведомления со списком участников, указанного в п. 2.5.5 настоящего Регламента:</w:t>
            </w:r>
          </w:p>
          <w:p w:rsidR="00C53B0F" w:rsidRPr="0013239A" w:rsidRDefault="00C53B0F" w:rsidP="00C64048">
            <w:pPr>
              <w:pStyle w:val="a3"/>
              <w:numPr>
                <w:ilvl w:val="0"/>
                <w:numId w:val="25"/>
              </w:numPr>
              <w:tabs>
                <w:tab w:val="left" w:pos="982"/>
              </w:tabs>
              <w:ind w:left="34" w:firstLine="567"/>
              <w:rPr>
                <w:rFonts w:ascii="Garamond" w:hAnsi="Garamond"/>
                <w:szCs w:val="22"/>
                <w:lang w:val="ru-RU"/>
              </w:rPr>
            </w:pPr>
            <w:r w:rsidRPr="00A36B23">
              <w:rPr>
                <w:rFonts w:ascii="Garamond" w:hAnsi="Garamond"/>
                <w:szCs w:val="22"/>
                <w:lang w:val="ru-RU"/>
              </w:rPr>
              <w:t xml:space="preserve">не включает в Сводный реестр </w:t>
            </w:r>
            <w:r w:rsidRPr="0013239A">
              <w:rPr>
                <w:rFonts w:ascii="Garamond" w:hAnsi="Garamond"/>
                <w:szCs w:val="22"/>
                <w:lang w:val="ru-RU"/>
              </w:rPr>
              <w:t xml:space="preserve">платежей, передаваемый в уполномоченную кредитную организацию, неустойку (пени) по обязательствам указанных участников по оплате электрической энергии и (или) мощности, а также услуг инфраструктурных организаций, срок исполнения которых наступил с 01.01.2020 по 30.06.2020; </w:t>
            </w:r>
          </w:p>
          <w:p w:rsidR="00C53B0F" w:rsidRDefault="00C53B0F" w:rsidP="00C64048">
            <w:pPr>
              <w:pStyle w:val="a3"/>
              <w:numPr>
                <w:ilvl w:val="0"/>
                <w:numId w:val="25"/>
              </w:numPr>
              <w:tabs>
                <w:tab w:val="left" w:pos="982"/>
              </w:tabs>
              <w:ind w:left="34" w:firstLine="567"/>
              <w:rPr>
                <w:rFonts w:ascii="Garamond" w:hAnsi="Garamond"/>
                <w:szCs w:val="22"/>
                <w:lang w:val="ru-RU"/>
              </w:rPr>
            </w:pPr>
            <w:r w:rsidRPr="0013239A">
              <w:rPr>
                <w:rFonts w:ascii="Garamond" w:hAnsi="Garamond"/>
                <w:szCs w:val="22"/>
                <w:lang w:val="ru-RU"/>
              </w:rPr>
              <w:t>не рассчитывает и не включает в Сводный реестр платежей, передаваемый в уполномоченную кредитную организацию, неустойку (пени) по обязательствам указанных участников по оплате электрической энергии и (или) мощности, а также услуг инфраструктурных организаций, срок исполнения которых наступил до 01.01.2020.</w:t>
            </w:r>
          </w:p>
          <w:p w:rsidR="004B66CE" w:rsidRDefault="00CE2312" w:rsidP="00C53B0F">
            <w:pPr>
              <w:pStyle w:val="a3"/>
              <w:tabs>
                <w:tab w:val="left" w:pos="982"/>
              </w:tabs>
              <w:ind w:left="34"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CE2312">
              <w:rPr>
                <w:rFonts w:ascii="Garamond" w:hAnsi="Garamond"/>
                <w:szCs w:val="22"/>
                <w:highlight w:val="yellow"/>
                <w:lang w:val="ru-RU"/>
              </w:rPr>
              <w:t>С 01.02.202</w:t>
            </w:r>
            <w:r w:rsidR="0024748A">
              <w:rPr>
                <w:rFonts w:ascii="Garamond" w:hAnsi="Garamond"/>
                <w:szCs w:val="22"/>
                <w:highlight w:val="yellow"/>
                <w:lang w:val="ru-RU"/>
              </w:rPr>
              <w:t>1</w:t>
            </w:r>
            <w:r w:rsidRPr="00CE2312">
              <w:rPr>
                <w:rFonts w:ascii="Garamond" w:hAnsi="Garamond"/>
                <w:szCs w:val="22"/>
                <w:highlight w:val="yellow"/>
                <w:lang w:val="ru-RU"/>
              </w:rPr>
              <w:t xml:space="preserve"> ЦФР</w:t>
            </w:r>
            <w:r w:rsidR="004B66CE">
              <w:rPr>
                <w:rFonts w:ascii="Garamond" w:hAnsi="Garamond"/>
                <w:szCs w:val="22"/>
                <w:highlight w:val="yellow"/>
                <w:lang w:val="ru-RU"/>
              </w:rPr>
              <w:t>:</w:t>
            </w:r>
          </w:p>
          <w:p w:rsidR="00C64048" w:rsidRPr="00DF5543" w:rsidRDefault="00C64048" w:rsidP="00C64048">
            <w:pPr>
              <w:pStyle w:val="a3"/>
              <w:tabs>
                <w:tab w:val="left" w:pos="982"/>
              </w:tabs>
              <w:ind w:left="34"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szCs w:val="22"/>
                <w:highlight w:val="yellow"/>
                <w:lang w:val="ru-RU"/>
              </w:rPr>
              <w:lastRenderedPageBreak/>
              <w:t xml:space="preserve">– прекращает расчет неустойки (пени) по обязательствам участников, </w:t>
            </w:r>
            <w:r w:rsidRPr="00DF5543">
              <w:rPr>
                <w:rFonts w:ascii="Garamond" w:hAnsi="Garamond"/>
                <w:szCs w:val="22"/>
                <w:highlight w:val="yellow"/>
                <w:lang w:val="ru-RU"/>
              </w:rPr>
              <w:t xml:space="preserve">указанных </w:t>
            </w:r>
            <w:r w:rsidRPr="00DF5543">
              <w:rPr>
                <w:rFonts w:ascii="Garamond" w:hAnsi="Garamond"/>
                <w:highlight w:val="yellow"/>
                <w:lang w:val="ru-RU"/>
              </w:rPr>
              <w:t>в уведомлении, полученном в соответствии с</w:t>
            </w:r>
            <w:r w:rsidRPr="00DF5543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п. 2.5.5 настоящего Регламента, по оплате электрической энергии и (или) мощности, а также услуг инфраструктурных организаций, срок исполнения которых наступил с 01.01.2020 по 30.06.2020;</w:t>
            </w:r>
          </w:p>
          <w:p w:rsidR="00C64048" w:rsidRPr="00DF5543" w:rsidRDefault="00C64048" w:rsidP="00C64048">
            <w:pPr>
              <w:pStyle w:val="a3"/>
              <w:tabs>
                <w:tab w:val="left" w:pos="982"/>
              </w:tabs>
              <w:ind w:left="34"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DF5543">
              <w:rPr>
                <w:rFonts w:ascii="Garamond" w:hAnsi="Garamond"/>
                <w:szCs w:val="22"/>
                <w:highlight w:val="yellow"/>
                <w:lang w:val="ru-RU"/>
              </w:rPr>
              <w:t xml:space="preserve">– исключает из отчетов, предусмотренных разделом 9 настоящего Регламента, а также из иных документов, содержащих информацию о сумме задолженности по оплате неустойки (пени), сведения о неисполненных обязательствах по оплате неустойки (пени) по обязательствам участников, указанных </w:t>
            </w:r>
            <w:r w:rsidRPr="00DF5543">
              <w:rPr>
                <w:rFonts w:ascii="Garamond" w:hAnsi="Garamond"/>
                <w:highlight w:val="yellow"/>
                <w:lang w:val="ru-RU"/>
              </w:rPr>
              <w:t xml:space="preserve">в уведомлении, полученном в соответствии с </w:t>
            </w:r>
            <w:r w:rsidRPr="00DF5543">
              <w:rPr>
                <w:rFonts w:ascii="Garamond" w:hAnsi="Garamond"/>
                <w:szCs w:val="22"/>
                <w:highlight w:val="yellow"/>
                <w:lang w:val="ru-RU"/>
              </w:rPr>
              <w:t>п. 2.5.5 настоящего Регламента, по оплате электрической энергии и (или) мощности, а также услуг инфраструктурных организаций, срок исполнения которых наступил до 01.07.2020;</w:t>
            </w:r>
          </w:p>
          <w:p w:rsidR="00C64048" w:rsidRDefault="00C64048" w:rsidP="00C64048">
            <w:pPr>
              <w:pStyle w:val="a3"/>
              <w:tabs>
                <w:tab w:val="left" w:pos="982"/>
              </w:tabs>
              <w:ind w:left="34"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DF5543">
              <w:rPr>
                <w:rFonts w:ascii="Garamond" w:hAnsi="Garamond"/>
                <w:szCs w:val="22"/>
                <w:highlight w:val="yellow"/>
                <w:lang w:val="ru-RU"/>
              </w:rPr>
              <w:t>– прекращает учет указанных обязательств по оплате неустойки (пени)</w:t>
            </w:r>
            <w:r w:rsidRPr="00DF5543">
              <w:rPr>
                <w:rFonts w:ascii="Garamond" w:hAnsi="Garamond"/>
                <w:highlight w:val="yellow"/>
                <w:lang w:val="ru-RU"/>
              </w:rPr>
              <w:t xml:space="preserve"> по обязательствам участников, указанных в уведомлении, полученном в соответствии с п. 2.5.5 настоящего Регламента, по оплате электрической энергии и (или) мощности, а также услуг инфраструктурных организаций, срок исполнения которых наступил до 01.07.2020,</w:t>
            </w:r>
            <w:r w:rsidRPr="00DF5543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случае, если учет не был прекращен ранее в соответствии 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>с положениями настоящего Регламента.</w:t>
            </w:r>
          </w:p>
          <w:p w:rsidR="00C53B0F" w:rsidRPr="00DD2E87" w:rsidRDefault="00C53B0F" w:rsidP="00C64048">
            <w:pPr>
              <w:pStyle w:val="a3"/>
              <w:ind w:firstLine="598"/>
              <w:rPr>
                <w:rFonts w:ascii="Garamond" w:hAnsi="Garamond"/>
                <w:szCs w:val="22"/>
                <w:lang w:val="ru-RU"/>
              </w:rPr>
            </w:pPr>
            <w:r w:rsidRPr="00DD2E87">
              <w:rPr>
                <w:rFonts w:ascii="Garamond" w:hAnsi="Garamond"/>
                <w:szCs w:val="22"/>
                <w:lang w:val="ru-RU"/>
              </w:rPr>
              <w:t>ЦФР не рассчитывает и не включает в Сводный реестр платежей, передаваемый в уполномоченную кредитную организацию, неустойку (пени) по обязательствам по оплате электрической энергии и (или) мощности по договорам, в отношении которых заключены Соглашения о реструктуризации задолженности по форме приложения 114.3 к настоящему Регламенту, в течение периода учета ЦФР указанных соглашений.</w:t>
            </w:r>
          </w:p>
          <w:p w:rsidR="00C53B0F" w:rsidRPr="00E776D0" w:rsidRDefault="00C53B0F" w:rsidP="00C64048">
            <w:pPr>
              <w:pStyle w:val="a3"/>
              <w:spacing w:line="259" w:lineRule="auto"/>
              <w:ind w:firstLine="567"/>
              <w:rPr>
                <w:rFonts w:ascii="Garamond" w:hAnsi="Garamond"/>
                <w:b/>
                <w:lang w:val="ru-RU"/>
              </w:rPr>
            </w:pPr>
            <w:r w:rsidRPr="00DD2E87">
              <w:rPr>
                <w:rFonts w:ascii="Garamond" w:hAnsi="Garamond"/>
                <w:szCs w:val="22"/>
                <w:lang w:val="ru-RU"/>
              </w:rPr>
              <w:t>ЦФР не рассчитывает и не включает в Сводный реестр платежей, передаваемый в уполномоченную кредитную организацию, неустойку (пени) по обязательствам по оплате процентов за пользование денежными средствами по Соглашениям о реструктуризации задолженности, заключенным по форме приложения 114.3 к настоящему Регламенту, в течение периода учета ЦФР указанных соглашений.</w:t>
            </w:r>
          </w:p>
        </w:tc>
      </w:tr>
      <w:tr w:rsidR="00C27736" w:rsidTr="00C64048">
        <w:trPr>
          <w:trHeight w:val="561"/>
        </w:trPr>
        <w:tc>
          <w:tcPr>
            <w:tcW w:w="1021" w:type="dxa"/>
          </w:tcPr>
          <w:p w:rsidR="00C27736" w:rsidRPr="00DF5543" w:rsidRDefault="00C27736" w:rsidP="00C64048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lang w:val="en-US"/>
              </w:rPr>
            </w:pPr>
            <w:r w:rsidRPr="00DF5543">
              <w:rPr>
                <w:rFonts w:ascii="Garamond" w:hAnsi="Garamond"/>
                <w:b/>
                <w:lang w:val="en-US"/>
              </w:rPr>
              <w:lastRenderedPageBreak/>
              <w:t>12.6.5</w:t>
            </w:r>
          </w:p>
        </w:tc>
        <w:tc>
          <w:tcPr>
            <w:tcW w:w="6521" w:type="dxa"/>
            <w:shd w:val="clear" w:color="auto" w:fill="auto"/>
          </w:tcPr>
          <w:p w:rsidR="00C27736" w:rsidRPr="00E4458E" w:rsidRDefault="00C27736" w:rsidP="00C27736">
            <w:pPr>
              <w:pStyle w:val="a3"/>
              <w:ind w:firstLine="571"/>
              <w:rPr>
                <w:rFonts w:ascii="Garamond" w:eastAsia="Calibri" w:hAnsi="Garamond"/>
                <w:szCs w:val="22"/>
                <w:lang w:val="ru-RU"/>
              </w:rPr>
            </w:pPr>
            <w:r w:rsidRPr="003C0090">
              <w:rPr>
                <w:rFonts w:ascii="Garamond" w:eastAsia="Calibri" w:hAnsi="Garamond"/>
                <w:szCs w:val="22"/>
                <w:lang w:val="ru-RU"/>
              </w:rPr>
              <w:t xml:space="preserve">Не позднее 5 (пятого) рабочего дня, следующего за днем предоставления в ЦФР участником </w:t>
            </w:r>
            <w:r w:rsidRPr="001D14FD">
              <w:rPr>
                <w:rFonts w:ascii="Garamond" w:eastAsia="Calibri" w:hAnsi="Garamond"/>
                <w:szCs w:val="22"/>
                <w:lang w:val="ru-RU"/>
              </w:rPr>
              <w:t>оптового рынка</w:t>
            </w:r>
            <w:r w:rsidRPr="001D14FD">
              <w:rPr>
                <w:rFonts w:ascii="Garamond" w:eastAsia="Calibri" w:hAnsi="Garamond"/>
                <w:lang w:val="ru-RU"/>
              </w:rPr>
              <w:t>, ФСК и СО</w:t>
            </w:r>
            <w:r w:rsidRPr="001D14FD">
              <w:rPr>
                <w:rFonts w:ascii="Garamond" w:eastAsia="Calibri" w:hAnsi="Garamond"/>
                <w:szCs w:val="22"/>
                <w:lang w:val="ru-RU"/>
              </w:rPr>
              <w:t xml:space="preserve"> документов, указанных в </w:t>
            </w:r>
            <w:proofErr w:type="spellStart"/>
            <w:r w:rsidRPr="001D14FD">
              <w:rPr>
                <w:rFonts w:ascii="Garamond" w:eastAsia="Calibri" w:hAnsi="Garamond"/>
                <w:szCs w:val="22"/>
                <w:lang w:val="ru-RU"/>
              </w:rPr>
              <w:t>пп</w:t>
            </w:r>
            <w:proofErr w:type="spellEnd"/>
            <w:r w:rsidRPr="001D14FD">
              <w:rPr>
                <w:rFonts w:ascii="Garamond" w:eastAsia="Calibri" w:hAnsi="Garamond"/>
                <w:szCs w:val="22"/>
                <w:lang w:val="ru-RU"/>
              </w:rPr>
              <w:t>. 19.2, 19.</w:t>
            </w:r>
            <w:r w:rsidRPr="006E10BA">
              <w:rPr>
                <w:rFonts w:ascii="Garamond" w:eastAsia="Calibri" w:hAnsi="Garamond"/>
                <w:szCs w:val="22"/>
                <w:lang w:val="ru-RU"/>
              </w:rPr>
              <w:t>3</w:t>
            </w:r>
            <w:r w:rsidRPr="001D14FD">
              <w:rPr>
                <w:rFonts w:ascii="Garamond" w:eastAsia="Calibri" w:hAnsi="Garamond"/>
                <w:szCs w:val="22"/>
                <w:lang w:val="ru-RU"/>
              </w:rPr>
              <w:t xml:space="preserve"> настоящего Регламента, ЦФР исключает из отчетов, предусмотренных разделом 9 настоящего </w:t>
            </w:r>
            <w:r w:rsidRPr="001D14FD">
              <w:rPr>
                <w:rFonts w:ascii="Garamond" w:eastAsia="Calibri" w:hAnsi="Garamond"/>
                <w:szCs w:val="22"/>
                <w:lang w:val="ru-RU"/>
              </w:rPr>
              <w:lastRenderedPageBreak/>
              <w:t>Регламента, а также из иных документов, содержащих</w:t>
            </w:r>
            <w:r w:rsidRPr="003C0090">
              <w:rPr>
                <w:rFonts w:ascii="Garamond" w:eastAsia="Calibri" w:hAnsi="Garamond"/>
                <w:szCs w:val="22"/>
                <w:lang w:val="ru-RU"/>
              </w:rPr>
              <w:t xml:space="preserve"> информацию о сумме задолженности по оплате неустойки (пени), рассчитанной за нарушение сроков исполнения обязательств по оплате электрической энергии и мощности, </w:t>
            </w:r>
            <w:r>
              <w:rPr>
                <w:rFonts w:ascii="Garamond" w:eastAsia="Calibri" w:hAnsi="Garamond"/>
                <w:szCs w:val="22"/>
                <w:lang w:val="ru-RU"/>
              </w:rPr>
              <w:t xml:space="preserve">оплате услуг, </w:t>
            </w:r>
            <w:r w:rsidRPr="003C0090">
              <w:rPr>
                <w:rFonts w:ascii="Garamond" w:eastAsia="Calibri" w:hAnsi="Garamond"/>
                <w:szCs w:val="22"/>
                <w:lang w:val="ru-RU"/>
              </w:rPr>
              <w:t xml:space="preserve">сведения о неисполненных обязательствах по оплате неустойки (пени), рассчитанной за нарушение сроков исполнения обязательств по оплате, подтвержденных судебным </w:t>
            </w:r>
            <w:r w:rsidRPr="00E4458E">
              <w:rPr>
                <w:rFonts w:ascii="Garamond" w:eastAsia="Calibri" w:hAnsi="Garamond"/>
                <w:szCs w:val="22"/>
                <w:lang w:val="ru-RU"/>
              </w:rPr>
              <w:t xml:space="preserve">актом. </w:t>
            </w:r>
            <w:r w:rsidRPr="00C27736">
              <w:rPr>
                <w:rFonts w:ascii="Garamond" w:eastAsia="Calibri" w:hAnsi="Garamond"/>
                <w:szCs w:val="22"/>
                <w:highlight w:val="yellow"/>
                <w:lang w:val="ru-RU"/>
              </w:rPr>
              <w:t xml:space="preserve">При этом ЦФР </w:t>
            </w:r>
            <w:r w:rsidRPr="00C27736">
              <w:rPr>
                <w:rFonts w:ascii="Garamond" w:hAnsi="Garamond"/>
                <w:szCs w:val="22"/>
                <w:highlight w:val="yellow"/>
                <w:lang w:val="ru-RU"/>
              </w:rPr>
              <w:t xml:space="preserve">до 31.01.2021 </w:t>
            </w:r>
            <w:r w:rsidRPr="00C27736">
              <w:rPr>
                <w:rFonts w:ascii="Garamond" w:eastAsia="Calibri" w:hAnsi="Garamond"/>
                <w:szCs w:val="22"/>
                <w:highlight w:val="yellow"/>
                <w:lang w:val="ru-RU"/>
              </w:rPr>
              <w:t>не исключает</w:t>
            </w:r>
            <w:r w:rsidRPr="00C27736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C27736">
              <w:rPr>
                <w:rFonts w:ascii="Garamond" w:eastAsia="Calibri" w:hAnsi="Garamond"/>
                <w:szCs w:val="22"/>
                <w:highlight w:val="yellow"/>
                <w:lang w:val="ru-RU"/>
              </w:rPr>
              <w:t>из отчетов, предусмотренных разделом 9 настоящего Регламента, а также из иных документов, содержащих информацию о сумме задолженности по оплате неустойки (пени), рассчитанной за нарушение сроков исполнения обязательств по оплате электрической энергии и мощности, сведения о неисполненных обязательствах по оплате неустойки (пени), рассчитанной за нарушение сроков исполнения обязательств по оплате электрической энергии и (или) мощности, оплата которых предусмотрена заключенным Соглашением о реструктуризации задолженности в соответствии с разделом 18</w:t>
            </w:r>
            <w:r w:rsidRPr="00C27736">
              <w:rPr>
                <w:rFonts w:ascii="Garamond" w:hAnsi="Garamond"/>
                <w:highlight w:val="yellow"/>
                <w:lang w:val="ru-RU"/>
              </w:rPr>
              <w:t>´</w:t>
            </w:r>
            <w:r w:rsidRPr="00C27736">
              <w:rPr>
                <w:rFonts w:ascii="Garamond" w:eastAsia="Calibri" w:hAnsi="Garamond"/>
                <w:szCs w:val="22"/>
                <w:highlight w:val="yellow"/>
                <w:lang w:val="ru-RU"/>
              </w:rPr>
              <w:t xml:space="preserve"> настоящего Регламента.</w:t>
            </w:r>
          </w:p>
          <w:p w:rsidR="00C27736" w:rsidRPr="0040488E" w:rsidRDefault="00C27736" w:rsidP="00C27736">
            <w:pPr>
              <w:pStyle w:val="a3"/>
              <w:ind w:firstLine="571"/>
              <w:rPr>
                <w:rFonts w:ascii="Garamond" w:hAnsi="Garamond"/>
                <w:b/>
                <w:color w:val="000000" w:themeColor="text1"/>
                <w:szCs w:val="22"/>
                <w:lang w:val="ru-RU"/>
              </w:rPr>
            </w:pPr>
            <w:r w:rsidRPr="00E4458E">
              <w:rPr>
                <w:rFonts w:ascii="Garamond" w:eastAsia="Calibri" w:hAnsi="Garamond"/>
                <w:szCs w:val="22"/>
                <w:lang w:val="ru-RU"/>
              </w:rPr>
              <w:t>В случае подтверждения</w:t>
            </w:r>
            <w:r w:rsidRPr="00C27736">
              <w:rPr>
                <w:rFonts w:ascii="Garamond" w:eastAsia="Calibri" w:hAnsi="Garamond"/>
                <w:szCs w:val="22"/>
                <w:lang w:val="ru-RU"/>
              </w:rPr>
              <w:t xml:space="preserve"> факта недостоверности предоставленных должником документов и (или) информации в соответствии с п. 19.3.2.3 </w:t>
            </w:r>
            <w:r w:rsidRPr="003C0090">
              <w:rPr>
                <w:rFonts w:ascii="Garamond" w:eastAsia="Calibri" w:hAnsi="Garamond"/>
                <w:szCs w:val="22"/>
                <w:lang w:val="ru-RU"/>
              </w:rPr>
              <w:t>настоящего Регламента, ЦФР включает в отчеты, предусмотренные разделом 9 настоящего Регламента, информацию, исключенную в соответствии с настоящим пунктом.</w:t>
            </w:r>
          </w:p>
        </w:tc>
        <w:tc>
          <w:tcPr>
            <w:tcW w:w="7229" w:type="dxa"/>
            <w:shd w:val="clear" w:color="auto" w:fill="auto"/>
          </w:tcPr>
          <w:p w:rsidR="00C27736" w:rsidRPr="00E4458E" w:rsidRDefault="00C27736" w:rsidP="00C27736">
            <w:pPr>
              <w:pStyle w:val="a3"/>
              <w:ind w:firstLine="571"/>
              <w:rPr>
                <w:rFonts w:ascii="Garamond" w:eastAsia="Calibri" w:hAnsi="Garamond"/>
                <w:szCs w:val="22"/>
                <w:lang w:val="ru-RU"/>
              </w:rPr>
            </w:pPr>
            <w:r w:rsidRPr="003C0090">
              <w:rPr>
                <w:rFonts w:ascii="Garamond" w:eastAsia="Calibri" w:hAnsi="Garamond"/>
                <w:szCs w:val="22"/>
                <w:lang w:val="ru-RU"/>
              </w:rPr>
              <w:lastRenderedPageBreak/>
              <w:t xml:space="preserve">Не позднее 5 (пятого) рабочего дня, следующего за днем предоставления в ЦФР участником </w:t>
            </w:r>
            <w:r w:rsidRPr="001D14FD">
              <w:rPr>
                <w:rFonts w:ascii="Garamond" w:eastAsia="Calibri" w:hAnsi="Garamond"/>
                <w:szCs w:val="22"/>
                <w:lang w:val="ru-RU"/>
              </w:rPr>
              <w:t>оптового рынка</w:t>
            </w:r>
            <w:r w:rsidRPr="001D14FD">
              <w:rPr>
                <w:rFonts w:ascii="Garamond" w:eastAsia="Calibri" w:hAnsi="Garamond"/>
                <w:lang w:val="ru-RU"/>
              </w:rPr>
              <w:t>, ФСК и СО</w:t>
            </w:r>
            <w:r w:rsidRPr="001D14FD">
              <w:rPr>
                <w:rFonts w:ascii="Garamond" w:eastAsia="Calibri" w:hAnsi="Garamond"/>
                <w:szCs w:val="22"/>
                <w:lang w:val="ru-RU"/>
              </w:rPr>
              <w:t xml:space="preserve"> документов, указанных в </w:t>
            </w:r>
            <w:proofErr w:type="spellStart"/>
            <w:r w:rsidRPr="001D14FD">
              <w:rPr>
                <w:rFonts w:ascii="Garamond" w:eastAsia="Calibri" w:hAnsi="Garamond"/>
                <w:szCs w:val="22"/>
                <w:lang w:val="ru-RU"/>
              </w:rPr>
              <w:t>пп</w:t>
            </w:r>
            <w:proofErr w:type="spellEnd"/>
            <w:r w:rsidRPr="001D14FD">
              <w:rPr>
                <w:rFonts w:ascii="Garamond" w:eastAsia="Calibri" w:hAnsi="Garamond"/>
                <w:szCs w:val="22"/>
                <w:lang w:val="ru-RU"/>
              </w:rPr>
              <w:t>. 19.2, 19.</w:t>
            </w:r>
            <w:r w:rsidRPr="006E10BA">
              <w:rPr>
                <w:rFonts w:ascii="Garamond" w:eastAsia="Calibri" w:hAnsi="Garamond"/>
                <w:szCs w:val="22"/>
                <w:lang w:val="ru-RU"/>
              </w:rPr>
              <w:t>3</w:t>
            </w:r>
            <w:r w:rsidRPr="001D14FD">
              <w:rPr>
                <w:rFonts w:ascii="Garamond" w:eastAsia="Calibri" w:hAnsi="Garamond"/>
                <w:szCs w:val="22"/>
                <w:lang w:val="ru-RU"/>
              </w:rPr>
              <w:t xml:space="preserve"> настоящего Регламента, ЦФР исключает из отчетов, предусмотренных разделом 9 настоящего Регламента, а также из иных </w:t>
            </w:r>
            <w:r w:rsidRPr="001D14FD">
              <w:rPr>
                <w:rFonts w:ascii="Garamond" w:eastAsia="Calibri" w:hAnsi="Garamond"/>
                <w:szCs w:val="22"/>
                <w:lang w:val="ru-RU"/>
              </w:rPr>
              <w:lastRenderedPageBreak/>
              <w:t>документов, содержащих</w:t>
            </w:r>
            <w:r w:rsidRPr="003C0090">
              <w:rPr>
                <w:rFonts w:ascii="Garamond" w:eastAsia="Calibri" w:hAnsi="Garamond"/>
                <w:szCs w:val="22"/>
                <w:lang w:val="ru-RU"/>
              </w:rPr>
              <w:t xml:space="preserve"> информацию о сумме задолженности по оплате неустойки (пени), рассчитанной за нарушение сроков исполнения обязательств по оплате электрической энергии и мощности, </w:t>
            </w:r>
            <w:r>
              <w:rPr>
                <w:rFonts w:ascii="Garamond" w:eastAsia="Calibri" w:hAnsi="Garamond"/>
                <w:szCs w:val="22"/>
                <w:lang w:val="ru-RU"/>
              </w:rPr>
              <w:t xml:space="preserve">оплате услуг, </w:t>
            </w:r>
            <w:r w:rsidRPr="003C0090">
              <w:rPr>
                <w:rFonts w:ascii="Garamond" w:eastAsia="Calibri" w:hAnsi="Garamond"/>
                <w:szCs w:val="22"/>
                <w:lang w:val="ru-RU"/>
              </w:rPr>
              <w:t xml:space="preserve">сведения о неисполненных обязательствах по оплате неустойки (пени), рассчитанной за нарушение сроков исполнения обязательств по оплате, подтвержденных судебным </w:t>
            </w:r>
            <w:r w:rsidRPr="00E4458E">
              <w:rPr>
                <w:rFonts w:ascii="Garamond" w:eastAsia="Calibri" w:hAnsi="Garamond"/>
                <w:szCs w:val="22"/>
                <w:lang w:val="ru-RU"/>
              </w:rPr>
              <w:t>актом.</w:t>
            </w:r>
          </w:p>
          <w:p w:rsidR="00C27736" w:rsidRPr="0040488E" w:rsidRDefault="00C27736" w:rsidP="00C27736">
            <w:pPr>
              <w:pStyle w:val="a3"/>
              <w:ind w:firstLine="571"/>
              <w:rPr>
                <w:rFonts w:ascii="Garamond" w:hAnsi="Garamond"/>
                <w:b/>
                <w:color w:val="000000" w:themeColor="text1"/>
                <w:szCs w:val="22"/>
                <w:lang w:val="ru-RU"/>
              </w:rPr>
            </w:pPr>
            <w:r w:rsidRPr="00E4458E">
              <w:rPr>
                <w:rFonts w:ascii="Garamond" w:eastAsia="Calibri" w:hAnsi="Garamond"/>
                <w:szCs w:val="22"/>
                <w:lang w:val="ru-RU"/>
              </w:rPr>
              <w:t>В случае подтверждения</w:t>
            </w:r>
            <w:r w:rsidRPr="00C27736">
              <w:rPr>
                <w:rFonts w:ascii="Garamond" w:eastAsia="Calibri" w:hAnsi="Garamond"/>
                <w:szCs w:val="22"/>
                <w:lang w:val="ru-RU"/>
              </w:rPr>
              <w:t xml:space="preserve"> факта недостоверности предоставленных должником документов и (или) информации в соответствии с п. 19.3.2.3 </w:t>
            </w:r>
            <w:r w:rsidRPr="003C0090">
              <w:rPr>
                <w:rFonts w:ascii="Garamond" w:eastAsia="Calibri" w:hAnsi="Garamond"/>
                <w:szCs w:val="22"/>
                <w:lang w:val="ru-RU"/>
              </w:rPr>
              <w:t>настоящего Регламента, ЦФР включает в отчеты, предусмотренные разделом 9 настоящего Регламента, информацию, исключенную в соответствии с настоящим пунктом.</w:t>
            </w:r>
          </w:p>
        </w:tc>
      </w:tr>
    </w:tbl>
    <w:p w:rsidR="00E73A3F" w:rsidRPr="00E73A3F" w:rsidRDefault="00E73A3F" w:rsidP="009D6A84">
      <w:pPr>
        <w:rPr>
          <w:rFonts w:ascii="Garamond" w:hAnsi="Garamond"/>
        </w:rPr>
      </w:pPr>
    </w:p>
    <w:sectPr w:rsidR="00E73A3F" w:rsidRPr="00E73A3F" w:rsidSect="00A4106F">
      <w:footerReference w:type="default" r:id="rId8"/>
      <w:footerReference w:type="first" r:id="rId9"/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048" w:rsidRDefault="00C64048">
      <w:pPr>
        <w:spacing w:after="0" w:line="240" w:lineRule="auto"/>
      </w:pPr>
      <w:r>
        <w:separator/>
      </w:r>
    </w:p>
  </w:endnote>
  <w:endnote w:type="continuationSeparator" w:id="0">
    <w:p w:rsidR="00C64048" w:rsidRDefault="00C64048">
      <w:pPr>
        <w:spacing w:after="0" w:line="240" w:lineRule="auto"/>
      </w:pPr>
      <w:r>
        <w:continuationSeparator/>
      </w:r>
    </w:p>
  </w:endnote>
  <w:endnote w:type="continuationNotice" w:id="1">
    <w:p w:rsidR="00C64048" w:rsidRDefault="00C640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8852633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C64048" w:rsidRDefault="00C64048">
        <w:pPr>
          <w:pStyle w:val="af0"/>
          <w:jc w:val="right"/>
        </w:pPr>
        <w:r>
          <w:rPr>
            <w:rFonts w:ascii="Garamond" w:hAnsi="Garamond"/>
          </w:rPr>
          <w:fldChar w:fldCharType="begin"/>
        </w:r>
        <w:r>
          <w:rPr>
            <w:rFonts w:ascii="Garamond" w:hAnsi="Garamond"/>
          </w:rPr>
          <w:instrText>PAGE   \* MERGEFORMAT</w:instrText>
        </w:r>
        <w:r>
          <w:rPr>
            <w:rFonts w:ascii="Garamond" w:hAnsi="Garamond"/>
          </w:rPr>
          <w:fldChar w:fldCharType="separate"/>
        </w:r>
        <w:r w:rsidR="00C064A8">
          <w:rPr>
            <w:rFonts w:ascii="Garamond" w:hAnsi="Garamond"/>
            <w:noProof/>
          </w:rPr>
          <w:t>2</w:t>
        </w:r>
        <w:r>
          <w:rPr>
            <w:rFonts w:ascii="Garamond" w:hAnsi="Garamond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963288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C64048" w:rsidRDefault="00C64048">
        <w:pPr>
          <w:pStyle w:val="af0"/>
          <w:jc w:val="right"/>
          <w:rPr>
            <w:rFonts w:ascii="Garamond" w:hAnsi="Garamond"/>
          </w:rPr>
        </w:pPr>
        <w:r>
          <w:rPr>
            <w:rFonts w:ascii="Garamond" w:hAnsi="Garamond"/>
          </w:rPr>
          <w:fldChar w:fldCharType="begin"/>
        </w:r>
        <w:r>
          <w:rPr>
            <w:rFonts w:ascii="Garamond" w:hAnsi="Garamond"/>
          </w:rPr>
          <w:instrText>PAGE   \* MERGEFORMAT</w:instrText>
        </w:r>
        <w:r>
          <w:rPr>
            <w:rFonts w:ascii="Garamond" w:hAnsi="Garamond"/>
          </w:rPr>
          <w:fldChar w:fldCharType="separate"/>
        </w:r>
        <w:r w:rsidR="00C064A8">
          <w:rPr>
            <w:rFonts w:ascii="Garamond" w:hAnsi="Garamond"/>
            <w:noProof/>
          </w:rPr>
          <w:t>1</w:t>
        </w:r>
        <w:r>
          <w:rPr>
            <w:rFonts w:ascii="Garamond" w:hAnsi="Garamond"/>
          </w:rPr>
          <w:fldChar w:fldCharType="end"/>
        </w:r>
      </w:p>
    </w:sdtContent>
  </w:sdt>
  <w:p w:rsidR="00C64048" w:rsidRDefault="00C6404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048" w:rsidRDefault="00C64048">
      <w:pPr>
        <w:spacing w:after="0" w:line="240" w:lineRule="auto"/>
      </w:pPr>
      <w:r>
        <w:separator/>
      </w:r>
    </w:p>
  </w:footnote>
  <w:footnote w:type="continuationSeparator" w:id="0">
    <w:p w:rsidR="00C64048" w:rsidRDefault="00C64048">
      <w:pPr>
        <w:spacing w:after="0" w:line="240" w:lineRule="auto"/>
      </w:pPr>
      <w:r>
        <w:continuationSeparator/>
      </w:r>
    </w:p>
  </w:footnote>
  <w:footnote w:type="continuationNotice" w:id="1">
    <w:p w:rsidR="00C64048" w:rsidRDefault="00C6404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97DF7"/>
    <w:multiLevelType w:val="hybridMultilevel"/>
    <w:tmpl w:val="78F615AC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E06CBF"/>
    <w:multiLevelType w:val="hybridMultilevel"/>
    <w:tmpl w:val="A0402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42B51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A02EC"/>
    <w:multiLevelType w:val="hybridMultilevel"/>
    <w:tmpl w:val="A4609966"/>
    <w:lvl w:ilvl="0" w:tplc="FFFFFFFF">
      <w:start w:val="1"/>
      <w:numFmt w:val="bullet"/>
      <w:lvlText w:val="−"/>
      <w:lvlJc w:val="left"/>
      <w:pPr>
        <w:ind w:left="319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4" w15:restartNumberingAfterBreak="0">
    <w:nsid w:val="14C9077E"/>
    <w:multiLevelType w:val="hybridMultilevel"/>
    <w:tmpl w:val="3F948E82"/>
    <w:lvl w:ilvl="0" w:tplc="80C0C3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84CA8"/>
    <w:multiLevelType w:val="hybridMultilevel"/>
    <w:tmpl w:val="011029CE"/>
    <w:lvl w:ilvl="0" w:tplc="27F8A260">
      <w:start w:val="1"/>
      <w:numFmt w:val="bullet"/>
      <w:lvlText w:val="−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BEF46BE"/>
    <w:multiLevelType w:val="hybridMultilevel"/>
    <w:tmpl w:val="77B8725A"/>
    <w:lvl w:ilvl="0" w:tplc="0419000F">
      <w:start w:val="1"/>
      <w:numFmt w:val="decimal"/>
      <w:lvlText w:val="%1."/>
      <w:lvlJc w:val="left"/>
      <w:pPr>
        <w:ind w:left="1138" w:hanging="360"/>
      </w:p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7" w15:restartNumberingAfterBreak="0">
    <w:nsid w:val="1E056EA5"/>
    <w:multiLevelType w:val="hybridMultilevel"/>
    <w:tmpl w:val="157823B2"/>
    <w:styleLink w:val="2"/>
    <w:lvl w:ilvl="0" w:tplc="DCD2E5F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4E01EA">
      <w:start w:val="1"/>
      <w:numFmt w:val="lowerLetter"/>
      <w:lvlText w:val="%2."/>
      <w:lvlJc w:val="left"/>
      <w:pPr>
        <w:ind w:left="72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4D238">
      <w:start w:val="1"/>
      <w:numFmt w:val="lowerRoman"/>
      <w:lvlText w:val="%3."/>
      <w:lvlJc w:val="left"/>
      <w:pPr>
        <w:ind w:left="144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F65E62">
      <w:start w:val="1"/>
      <w:numFmt w:val="decimal"/>
      <w:lvlText w:val="%4."/>
      <w:lvlJc w:val="left"/>
      <w:pPr>
        <w:ind w:left="216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BAFD78">
      <w:start w:val="1"/>
      <w:numFmt w:val="lowerLetter"/>
      <w:lvlText w:val="%5."/>
      <w:lvlJc w:val="left"/>
      <w:pPr>
        <w:ind w:left="288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62D080">
      <w:start w:val="1"/>
      <w:numFmt w:val="lowerRoman"/>
      <w:lvlText w:val="%6."/>
      <w:lvlJc w:val="left"/>
      <w:pPr>
        <w:ind w:left="360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1EC450">
      <w:start w:val="1"/>
      <w:numFmt w:val="decimal"/>
      <w:lvlText w:val="%7."/>
      <w:lvlJc w:val="left"/>
      <w:pPr>
        <w:ind w:left="432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3862BE">
      <w:start w:val="1"/>
      <w:numFmt w:val="lowerLetter"/>
      <w:lvlText w:val="%8."/>
      <w:lvlJc w:val="left"/>
      <w:pPr>
        <w:ind w:left="504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1A47B8">
      <w:start w:val="1"/>
      <w:numFmt w:val="lowerRoman"/>
      <w:lvlText w:val="%9."/>
      <w:lvlJc w:val="left"/>
      <w:pPr>
        <w:ind w:left="576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ABA6E96"/>
    <w:multiLevelType w:val="hybridMultilevel"/>
    <w:tmpl w:val="8E84FB3C"/>
    <w:lvl w:ilvl="0" w:tplc="FFFFFFFF">
      <w:start w:val="1"/>
      <w:numFmt w:val="bullet"/>
      <w:lvlText w:val="–"/>
      <w:lvlJc w:val="left"/>
      <w:pPr>
        <w:ind w:left="132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9" w15:restartNumberingAfterBreak="0">
    <w:nsid w:val="2BC00D47"/>
    <w:multiLevelType w:val="hybridMultilevel"/>
    <w:tmpl w:val="25A0BB0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F016B43"/>
    <w:multiLevelType w:val="hybridMultilevel"/>
    <w:tmpl w:val="6CF0AD6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3591420"/>
    <w:multiLevelType w:val="hybridMultilevel"/>
    <w:tmpl w:val="8CB81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87491"/>
    <w:multiLevelType w:val="hybridMultilevel"/>
    <w:tmpl w:val="799A94F0"/>
    <w:lvl w:ilvl="0" w:tplc="FFFFFFFF">
      <w:start w:val="1"/>
      <w:numFmt w:val="bullet"/>
      <w:lvlText w:val="−"/>
      <w:lvlJc w:val="left"/>
      <w:pPr>
        <w:ind w:left="77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 w15:restartNumberingAfterBreak="0">
    <w:nsid w:val="485C284F"/>
    <w:multiLevelType w:val="hybridMultilevel"/>
    <w:tmpl w:val="1AC41D50"/>
    <w:lvl w:ilvl="0" w:tplc="B7EC78EE">
      <w:start w:val="1"/>
      <w:numFmt w:val="decimal"/>
      <w:lvlText w:val="%1."/>
      <w:lvlJc w:val="left"/>
      <w:pPr>
        <w:ind w:left="1080" w:hanging="360"/>
      </w:pPr>
      <w:rPr>
        <w:rFonts w:cs="Garamon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021F9A"/>
    <w:multiLevelType w:val="hybridMultilevel"/>
    <w:tmpl w:val="04964776"/>
    <w:lvl w:ilvl="0" w:tplc="FFFFFFFF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41CD9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16673"/>
    <w:multiLevelType w:val="multilevel"/>
    <w:tmpl w:val="3034A53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6"/>
        </w:tabs>
        <w:ind w:left="2556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64"/>
        </w:tabs>
        <w:ind w:left="3264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72"/>
        </w:tabs>
        <w:ind w:left="3972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7" w15:restartNumberingAfterBreak="0">
    <w:nsid w:val="4BDE3E36"/>
    <w:multiLevelType w:val="hybridMultilevel"/>
    <w:tmpl w:val="C12891EA"/>
    <w:lvl w:ilvl="0" w:tplc="5EB01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26D65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9230B2"/>
    <w:multiLevelType w:val="hybridMultilevel"/>
    <w:tmpl w:val="B6709FA4"/>
    <w:lvl w:ilvl="0" w:tplc="5A469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B7926"/>
    <w:multiLevelType w:val="multilevel"/>
    <w:tmpl w:val="056C60F8"/>
    <w:lvl w:ilvl="0">
      <w:start w:val="1"/>
      <w:numFmt w:val="decimal"/>
      <w:pStyle w:val="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1" w15:restartNumberingAfterBreak="0">
    <w:nsid w:val="5A7A4EF1"/>
    <w:multiLevelType w:val="hybridMultilevel"/>
    <w:tmpl w:val="36387074"/>
    <w:lvl w:ilvl="0" w:tplc="5A469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E74CD"/>
    <w:multiLevelType w:val="hybridMultilevel"/>
    <w:tmpl w:val="46FEFEBC"/>
    <w:lvl w:ilvl="0" w:tplc="F6445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5D1D0E"/>
    <w:multiLevelType w:val="hybridMultilevel"/>
    <w:tmpl w:val="157823B2"/>
    <w:numStyleLink w:val="2"/>
  </w:abstractNum>
  <w:abstractNum w:abstractNumId="24" w15:restartNumberingAfterBreak="0">
    <w:nsid w:val="712D1B2C"/>
    <w:multiLevelType w:val="hybridMultilevel"/>
    <w:tmpl w:val="596620A2"/>
    <w:lvl w:ilvl="0" w:tplc="3F46AC2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C40ECA"/>
    <w:multiLevelType w:val="hybridMultilevel"/>
    <w:tmpl w:val="EAC8A4C8"/>
    <w:lvl w:ilvl="0" w:tplc="FFFFFFFF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182A5E"/>
    <w:multiLevelType w:val="hybridMultilevel"/>
    <w:tmpl w:val="1734834A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4669C5"/>
    <w:multiLevelType w:val="hybridMultilevel"/>
    <w:tmpl w:val="C5F01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B11BF"/>
    <w:multiLevelType w:val="hybridMultilevel"/>
    <w:tmpl w:val="708C1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4"/>
  </w:num>
  <w:num w:numId="4">
    <w:abstractNumId w:val="5"/>
  </w:num>
  <w:num w:numId="5">
    <w:abstractNumId w:val="25"/>
  </w:num>
  <w:num w:numId="6">
    <w:abstractNumId w:val="14"/>
  </w:num>
  <w:num w:numId="7">
    <w:abstractNumId w:val="12"/>
  </w:num>
  <w:num w:numId="8">
    <w:abstractNumId w:val="6"/>
  </w:num>
  <w:num w:numId="9">
    <w:abstractNumId w:val="3"/>
  </w:num>
  <w:num w:numId="10">
    <w:abstractNumId w:val="0"/>
  </w:num>
  <w:num w:numId="11">
    <w:abstractNumId w:val="16"/>
  </w:num>
  <w:num w:numId="12">
    <w:abstractNumId w:val="18"/>
  </w:num>
  <w:num w:numId="13">
    <w:abstractNumId w:val="22"/>
  </w:num>
  <w:num w:numId="14">
    <w:abstractNumId w:val="11"/>
  </w:num>
  <w:num w:numId="15">
    <w:abstractNumId w:val="21"/>
  </w:num>
  <w:num w:numId="16">
    <w:abstractNumId w:val="19"/>
  </w:num>
  <w:num w:numId="17">
    <w:abstractNumId w:val="13"/>
  </w:num>
  <w:num w:numId="18">
    <w:abstractNumId w:val="9"/>
  </w:num>
  <w:num w:numId="19">
    <w:abstractNumId w:val="1"/>
  </w:num>
  <w:num w:numId="20">
    <w:abstractNumId w:val="10"/>
  </w:num>
  <w:num w:numId="21">
    <w:abstractNumId w:val="15"/>
  </w:num>
  <w:num w:numId="22">
    <w:abstractNumId w:val="2"/>
  </w:num>
  <w:num w:numId="23">
    <w:abstractNumId w:val="27"/>
  </w:num>
  <w:num w:numId="24">
    <w:abstractNumId w:val="28"/>
  </w:num>
  <w:num w:numId="25">
    <w:abstractNumId w:val="17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7"/>
  </w:num>
  <w:num w:numId="29">
    <w:abstractNumId w:val="23"/>
  </w:num>
  <w:num w:numId="30">
    <w:abstractNumId w:val="23"/>
    <w:lvlOverride w:ilvl="0">
      <w:lvl w:ilvl="0" w:tplc="6096EA72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8B843FE">
        <w:start w:val="1"/>
        <w:numFmt w:val="lowerLetter"/>
        <w:lvlText w:val="%2."/>
        <w:lvlJc w:val="left"/>
        <w:pPr>
          <w:ind w:left="414" w:hanging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DE487B4">
        <w:start w:val="1"/>
        <w:numFmt w:val="lowerRoman"/>
        <w:lvlText w:val="%3."/>
        <w:lvlJc w:val="left"/>
        <w:pPr>
          <w:ind w:left="1014" w:hanging="3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C448D94">
        <w:start w:val="1"/>
        <w:numFmt w:val="decimal"/>
        <w:lvlText w:val="%4."/>
        <w:lvlJc w:val="left"/>
        <w:pPr>
          <w:ind w:left="1734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80AA20A">
        <w:start w:val="1"/>
        <w:numFmt w:val="lowerLetter"/>
        <w:lvlText w:val="%5."/>
        <w:lvlJc w:val="left"/>
        <w:pPr>
          <w:ind w:left="2454" w:hanging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A90B708">
        <w:start w:val="1"/>
        <w:numFmt w:val="lowerRoman"/>
        <w:lvlText w:val="%6."/>
        <w:lvlJc w:val="left"/>
        <w:pPr>
          <w:ind w:left="3174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DBA7FCC">
        <w:start w:val="1"/>
        <w:numFmt w:val="decimal"/>
        <w:lvlText w:val="%7."/>
        <w:lvlJc w:val="left"/>
        <w:pPr>
          <w:ind w:left="3894" w:hanging="3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A126838">
        <w:start w:val="1"/>
        <w:numFmt w:val="lowerLetter"/>
        <w:lvlText w:val="%8."/>
        <w:lvlJc w:val="left"/>
        <w:pPr>
          <w:ind w:left="4614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216FEEC">
        <w:start w:val="1"/>
        <w:numFmt w:val="lowerRoman"/>
        <w:lvlText w:val="%9."/>
        <w:lvlJc w:val="left"/>
        <w:pPr>
          <w:ind w:left="5334" w:hanging="2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586"/>
    <w:rsid w:val="00001769"/>
    <w:rsid w:val="00025F75"/>
    <w:rsid w:val="000747FE"/>
    <w:rsid w:val="000A5D19"/>
    <w:rsid w:val="000B5072"/>
    <w:rsid w:val="0010576D"/>
    <w:rsid w:val="00165586"/>
    <w:rsid w:val="00165CAE"/>
    <w:rsid w:val="001742CB"/>
    <w:rsid w:val="00186F41"/>
    <w:rsid w:val="001C548F"/>
    <w:rsid w:val="001E7C2C"/>
    <w:rsid w:val="00200010"/>
    <w:rsid w:val="00236110"/>
    <w:rsid w:val="00236A09"/>
    <w:rsid w:val="00237EE8"/>
    <w:rsid w:val="0024748A"/>
    <w:rsid w:val="0025050C"/>
    <w:rsid w:val="00253F90"/>
    <w:rsid w:val="002720AA"/>
    <w:rsid w:val="002819C6"/>
    <w:rsid w:val="00291ED9"/>
    <w:rsid w:val="002945F7"/>
    <w:rsid w:val="0029513E"/>
    <w:rsid w:val="002B4E6E"/>
    <w:rsid w:val="002E37C4"/>
    <w:rsid w:val="00300098"/>
    <w:rsid w:val="00304FBF"/>
    <w:rsid w:val="00311340"/>
    <w:rsid w:val="00313075"/>
    <w:rsid w:val="00324AFC"/>
    <w:rsid w:val="0037079A"/>
    <w:rsid w:val="00383D24"/>
    <w:rsid w:val="00385F92"/>
    <w:rsid w:val="003901E3"/>
    <w:rsid w:val="00395CDF"/>
    <w:rsid w:val="003B45E3"/>
    <w:rsid w:val="003E21E1"/>
    <w:rsid w:val="00403D48"/>
    <w:rsid w:val="0040488E"/>
    <w:rsid w:val="0043363F"/>
    <w:rsid w:val="00467E15"/>
    <w:rsid w:val="00477D36"/>
    <w:rsid w:val="00492728"/>
    <w:rsid w:val="004954B7"/>
    <w:rsid w:val="004B66CE"/>
    <w:rsid w:val="004B6D3C"/>
    <w:rsid w:val="004F6B56"/>
    <w:rsid w:val="00535B45"/>
    <w:rsid w:val="00565A27"/>
    <w:rsid w:val="0057708B"/>
    <w:rsid w:val="00590B45"/>
    <w:rsid w:val="005D6DD8"/>
    <w:rsid w:val="005F02F3"/>
    <w:rsid w:val="005F7B7E"/>
    <w:rsid w:val="006607B1"/>
    <w:rsid w:val="006662F8"/>
    <w:rsid w:val="00677B2A"/>
    <w:rsid w:val="006C0B2D"/>
    <w:rsid w:val="006C2C42"/>
    <w:rsid w:val="006D3E2B"/>
    <w:rsid w:val="006E512E"/>
    <w:rsid w:val="00702F83"/>
    <w:rsid w:val="007375A9"/>
    <w:rsid w:val="00760DA5"/>
    <w:rsid w:val="00775CA1"/>
    <w:rsid w:val="007856BD"/>
    <w:rsid w:val="007B2E1F"/>
    <w:rsid w:val="007D083F"/>
    <w:rsid w:val="008041AA"/>
    <w:rsid w:val="00831A49"/>
    <w:rsid w:val="00836930"/>
    <w:rsid w:val="00836F3C"/>
    <w:rsid w:val="00840F22"/>
    <w:rsid w:val="00851021"/>
    <w:rsid w:val="0087313D"/>
    <w:rsid w:val="00883442"/>
    <w:rsid w:val="00885050"/>
    <w:rsid w:val="00897D65"/>
    <w:rsid w:val="008D4423"/>
    <w:rsid w:val="009200B2"/>
    <w:rsid w:val="00926F80"/>
    <w:rsid w:val="00927BAC"/>
    <w:rsid w:val="00931E64"/>
    <w:rsid w:val="00950586"/>
    <w:rsid w:val="00950C09"/>
    <w:rsid w:val="009D16E6"/>
    <w:rsid w:val="009D6A84"/>
    <w:rsid w:val="00A144E7"/>
    <w:rsid w:val="00A2007F"/>
    <w:rsid w:val="00A303E8"/>
    <w:rsid w:val="00A4106F"/>
    <w:rsid w:val="00A43527"/>
    <w:rsid w:val="00AB4823"/>
    <w:rsid w:val="00B23FF9"/>
    <w:rsid w:val="00B3074F"/>
    <w:rsid w:val="00B3167B"/>
    <w:rsid w:val="00B45237"/>
    <w:rsid w:val="00B5073D"/>
    <w:rsid w:val="00B77270"/>
    <w:rsid w:val="00B80027"/>
    <w:rsid w:val="00B81067"/>
    <w:rsid w:val="00B83D2E"/>
    <w:rsid w:val="00B90C7B"/>
    <w:rsid w:val="00B925AE"/>
    <w:rsid w:val="00B95D36"/>
    <w:rsid w:val="00BB18F6"/>
    <w:rsid w:val="00BC1453"/>
    <w:rsid w:val="00BD50E0"/>
    <w:rsid w:val="00BD581C"/>
    <w:rsid w:val="00C03372"/>
    <w:rsid w:val="00C064A8"/>
    <w:rsid w:val="00C1264B"/>
    <w:rsid w:val="00C143E7"/>
    <w:rsid w:val="00C1724F"/>
    <w:rsid w:val="00C27736"/>
    <w:rsid w:val="00C53B0F"/>
    <w:rsid w:val="00C634C3"/>
    <w:rsid w:val="00C64048"/>
    <w:rsid w:val="00C911D4"/>
    <w:rsid w:val="00CA4D51"/>
    <w:rsid w:val="00CA6A69"/>
    <w:rsid w:val="00CB0EFE"/>
    <w:rsid w:val="00CC3B73"/>
    <w:rsid w:val="00CD07DE"/>
    <w:rsid w:val="00CD143D"/>
    <w:rsid w:val="00CD16A7"/>
    <w:rsid w:val="00CE2312"/>
    <w:rsid w:val="00CF0DBE"/>
    <w:rsid w:val="00CF34F2"/>
    <w:rsid w:val="00D1156D"/>
    <w:rsid w:val="00D323D6"/>
    <w:rsid w:val="00D4329C"/>
    <w:rsid w:val="00D43682"/>
    <w:rsid w:val="00D932DC"/>
    <w:rsid w:val="00DA483C"/>
    <w:rsid w:val="00DB4A22"/>
    <w:rsid w:val="00DD0DCF"/>
    <w:rsid w:val="00DF5543"/>
    <w:rsid w:val="00E13F8F"/>
    <w:rsid w:val="00E31E91"/>
    <w:rsid w:val="00E516DF"/>
    <w:rsid w:val="00E73A3F"/>
    <w:rsid w:val="00E74216"/>
    <w:rsid w:val="00E765B3"/>
    <w:rsid w:val="00E776D0"/>
    <w:rsid w:val="00EA6BEA"/>
    <w:rsid w:val="00EB5654"/>
    <w:rsid w:val="00F018A5"/>
    <w:rsid w:val="00F251F9"/>
    <w:rsid w:val="00F402D3"/>
    <w:rsid w:val="00F43498"/>
    <w:rsid w:val="00F86CAE"/>
    <w:rsid w:val="00FA0201"/>
    <w:rsid w:val="00FA6CA2"/>
    <w:rsid w:val="00FE0E10"/>
    <w:rsid w:val="00FE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4DA466BE-EEDA-4102-BD10-BBC4EDDD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Заголовок параграфа (1.),Section,level2 hdg,111"/>
    <w:basedOn w:val="a"/>
    <w:link w:val="10"/>
    <w:autoRedefine/>
    <w:qFormat/>
    <w:pPr>
      <w:keepNext/>
      <w:numPr>
        <w:numId w:val="1"/>
      </w:numPr>
      <w:spacing w:before="240" w:after="120" w:line="240" w:lineRule="auto"/>
      <w:jc w:val="center"/>
      <w:outlineLvl w:val="0"/>
    </w:pPr>
    <w:rPr>
      <w:rFonts w:ascii="Garamond" w:eastAsia="Times New Roman" w:hAnsi="Garamond" w:cs="Garamond"/>
      <w:b/>
      <w:caps/>
      <w:color w:val="000000"/>
      <w:kern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A41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H3,Заголовок подпукта (1.1.1),Level 1 - 1,o"/>
    <w:basedOn w:val="a"/>
    <w:link w:val="30"/>
    <w:autoRedefine/>
    <w:qFormat/>
    <w:rsid w:val="005F7B7E"/>
    <w:pPr>
      <w:widowControl w:val="0"/>
      <w:spacing w:before="120" w:after="120"/>
      <w:ind w:left="-79"/>
      <w:jc w:val="right"/>
      <w:outlineLvl w:val="2"/>
    </w:pPr>
    <w:rPr>
      <w:rFonts w:ascii="Garamond" w:eastAsia="Times New Roman" w:hAnsi="Garamond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"/>
    <w:basedOn w:val="a0"/>
    <w:link w:val="1"/>
    <w:rPr>
      <w:rFonts w:ascii="Garamond" w:eastAsia="Times New Roman" w:hAnsi="Garamond" w:cs="Garamond"/>
      <w:b/>
      <w:caps/>
      <w:color w:val="000000"/>
      <w:kern w:val="28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rsid w:val="005F7B7E"/>
    <w:rPr>
      <w:rFonts w:ascii="Garamond" w:eastAsia="Times New Roman" w:hAnsi="Garamond" w:cs="Times New Roman"/>
      <w:b/>
      <w:color w:val="000000"/>
    </w:rPr>
  </w:style>
  <w:style w:type="paragraph" w:styleId="a3">
    <w:name w:val="Body Text"/>
    <w:aliases w:val="body text"/>
    <w:basedOn w:val="a"/>
    <w:link w:val="1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a4">
    <w:name w:val="Основной текст Знак"/>
    <w:basedOn w:val="a0"/>
    <w:uiPriority w:val="99"/>
    <w:semiHidden/>
  </w:style>
  <w:style w:type="character" w:customStyle="1" w:styleId="11">
    <w:name w:val="Основной текст Знак1"/>
    <w:aliases w:val="body text Знак"/>
    <w:link w:val="a3"/>
    <w:rPr>
      <w:rFonts w:ascii="Times New Roman" w:eastAsia="Times New Roman" w:hAnsi="Times New Roman" w:cs="Times New Roman"/>
      <w:szCs w:val="20"/>
      <w:lang w:val="en-GB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  <w:style w:type="paragraph" w:customStyle="1" w:styleId="Iauiue">
    <w:name w:val="Iau?iu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22">
    <w:name w:val="Основной текст Знак2"/>
    <w:aliases w:val="body text Знак2,Основной текст Знак3"/>
    <w:rPr>
      <w:sz w:val="22"/>
      <w:lang w:val="en-GB" w:eastAsia="en-US" w:bidi="ar-SA"/>
    </w:rPr>
  </w:style>
  <w:style w:type="paragraph" w:styleId="ad">
    <w:name w:val="Revision"/>
    <w:hidden/>
    <w:uiPriority w:val="99"/>
    <w:semiHidden/>
    <w:pPr>
      <w:spacing w:after="0" w:line="240" w:lineRule="auto"/>
    </w:pPr>
  </w:style>
  <w:style w:type="paragraph" w:customStyle="1" w:styleId="110">
    <w:name w:val="Обычный + 11 пт"/>
    <w:aliases w:val="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customStyle="1" w:styleId="af2">
    <w:name w:val="Таблицы (моноширинный)"/>
    <w:basedOn w:val="a"/>
    <w:next w:val="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table" w:customStyle="1" w:styleId="TableNormal">
    <w:name w:val="Table Normal"/>
    <w:rsid w:val="006D3E2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Импортированный стиль 2"/>
    <w:rsid w:val="006D3E2B"/>
    <w:pPr>
      <w:numPr>
        <w:numId w:val="28"/>
      </w:numPr>
    </w:pPr>
  </w:style>
  <w:style w:type="character" w:customStyle="1" w:styleId="21">
    <w:name w:val="Заголовок 2 Знак"/>
    <w:basedOn w:val="a0"/>
    <w:link w:val="20"/>
    <w:uiPriority w:val="9"/>
    <w:semiHidden/>
    <w:rsid w:val="00A410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48C08-DD64-4F4C-905C-DF966DF44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e.volokitina</dc:creator>
  <cp:keywords/>
  <dc:description/>
  <cp:lastModifiedBy>Константинова Евгения Александровна</cp:lastModifiedBy>
  <cp:revision>5</cp:revision>
  <cp:lastPrinted>2020-03-06T07:18:00Z</cp:lastPrinted>
  <dcterms:created xsi:type="dcterms:W3CDTF">2021-01-20T12:43:00Z</dcterms:created>
  <dcterms:modified xsi:type="dcterms:W3CDTF">2021-01-25T13:39:00Z</dcterms:modified>
</cp:coreProperties>
</file>