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F2" w:rsidRDefault="0071040E" w:rsidP="00174D04">
      <w:pPr>
        <w:widowControl w:val="0"/>
        <w:spacing w:after="0" w:line="240" w:lineRule="auto"/>
        <w:rPr>
          <w:rFonts w:ascii="Garamond" w:eastAsia="Calibri" w:hAnsi="Garamond" w:cs="Times New Roman"/>
          <w:b/>
          <w:sz w:val="28"/>
          <w:szCs w:val="28"/>
        </w:rPr>
      </w:pPr>
      <w:r>
        <w:rPr>
          <w:rFonts w:ascii="Garamond" w:eastAsia="Calibri" w:hAnsi="Garamond" w:cs="Times New Roman"/>
          <w:b/>
          <w:sz w:val="28"/>
          <w:szCs w:val="28"/>
          <w:lang w:val="en-US"/>
        </w:rPr>
        <w:t>X</w:t>
      </w:r>
      <w:r w:rsidRPr="0071040E">
        <w:rPr>
          <w:rFonts w:ascii="Garamond" w:eastAsia="Calibri" w:hAnsi="Garamond" w:cs="Times New Roman"/>
          <w:b/>
          <w:sz w:val="28"/>
          <w:szCs w:val="28"/>
        </w:rPr>
        <w:t xml:space="preserve">.2. </w:t>
      </w:r>
      <w:r w:rsidR="00831CF2" w:rsidRPr="00831CF2">
        <w:rPr>
          <w:rFonts w:ascii="Garamond" w:eastAsia="Calibri" w:hAnsi="Garamond" w:cs="Times New Roman"/>
          <w:b/>
          <w:sz w:val="28"/>
          <w:szCs w:val="28"/>
        </w:rPr>
        <w:t>Изменения, связанные c учетом дополнительных соглашений к соглашениям о порядке исполнения обязательств в 2023 году</w:t>
      </w:r>
    </w:p>
    <w:p w:rsidR="0071040E" w:rsidRDefault="0071040E" w:rsidP="00174D04">
      <w:pPr>
        <w:widowControl w:val="0"/>
        <w:spacing w:after="0" w:line="240" w:lineRule="auto"/>
        <w:rPr>
          <w:rFonts w:ascii="Garamond" w:eastAsia="Calibri" w:hAnsi="Garamond" w:cs="Times New Roman"/>
          <w:b/>
          <w:sz w:val="28"/>
          <w:szCs w:val="28"/>
        </w:rPr>
      </w:pPr>
    </w:p>
    <w:p w:rsidR="00831CF2" w:rsidRDefault="0071040E" w:rsidP="00174D04">
      <w:pPr>
        <w:widowControl w:val="0"/>
        <w:spacing w:after="0" w:line="240" w:lineRule="auto"/>
        <w:jc w:val="right"/>
        <w:rPr>
          <w:rFonts w:ascii="Garamond" w:eastAsia="Calibri" w:hAnsi="Garamond" w:cs="Times New Roman"/>
          <w:b/>
          <w:sz w:val="28"/>
          <w:szCs w:val="28"/>
        </w:rPr>
      </w:pPr>
      <w:r>
        <w:rPr>
          <w:rFonts w:ascii="Garamond" w:eastAsia="Calibri" w:hAnsi="Garamond" w:cs="Times New Roman"/>
          <w:b/>
          <w:sz w:val="28"/>
          <w:szCs w:val="28"/>
        </w:rPr>
        <w:t>Приложение № 10.2</w:t>
      </w:r>
    </w:p>
    <w:p w:rsidR="00231461" w:rsidRPr="00831CF2" w:rsidRDefault="00231461" w:rsidP="00174D04">
      <w:pPr>
        <w:widowControl w:val="0"/>
        <w:spacing w:after="0" w:line="240" w:lineRule="auto"/>
        <w:jc w:val="right"/>
        <w:rPr>
          <w:rFonts w:ascii="Garamond" w:eastAsia="Calibri" w:hAnsi="Garamond" w:cs="Times New Roman"/>
          <w:b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7"/>
      </w:tblGrid>
      <w:tr w:rsidR="00831CF2" w:rsidRPr="00831CF2" w:rsidTr="00174D04">
        <w:trPr>
          <w:trHeight w:val="1013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F2" w:rsidRPr="00831CF2" w:rsidRDefault="00831CF2" w:rsidP="00174D04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31CF2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Инициатор: </w:t>
            </w:r>
            <w:r w:rsidR="00C136D9">
              <w:rPr>
                <w:rFonts w:ascii="Garamond" w:eastAsia="Calibri" w:hAnsi="Garamond" w:cs="Times New Roman"/>
                <w:sz w:val="24"/>
                <w:szCs w:val="24"/>
              </w:rPr>
              <w:t>ч</w:t>
            </w:r>
            <w:r w:rsidRPr="00831CF2">
              <w:rPr>
                <w:rFonts w:ascii="Garamond" w:eastAsia="Calibri" w:hAnsi="Garamond" w:cs="Times New Roman"/>
                <w:sz w:val="24"/>
                <w:szCs w:val="24"/>
              </w:rPr>
              <w:t>лен Наблюдательного совета Ассоциации «</w:t>
            </w:r>
            <w:proofErr w:type="spellStart"/>
            <w:r w:rsidRPr="00831CF2">
              <w:rPr>
                <w:rFonts w:ascii="Garamond" w:eastAsia="Calibri" w:hAnsi="Garamond" w:cs="Times New Roman"/>
                <w:sz w:val="24"/>
                <w:szCs w:val="24"/>
              </w:rPr>
              <w:t>НП</w:t>
            </w:r>
            <w:proofErr w:type="spellEnd"/>
            <w:r w:rsidRPr="00831CF2">
              <w:rPr>
                <w:rFonts w:ascii="Garamond" w:eastAsia="Calibri" w:hAnsi="Garamond" w:cs="Times New Roman"/>
                <w:sz w:val="24"/>
                <w:szCs w:val="24"/>
              </w:rPr>
              <w:t xml:space="preserve"> Совет рынка» </w:t>
            </w:r>
            <w:proofErr w:type="spellStart"/>
            <w:r w:rsidRPr="00831CF2">
              <w:rPr>
                <w:rFonts w:ascii="Garamond" w:eastAsia="Calibri" w:hAnsi="Garamond" w:cs="Times New Roman"/>
                <w:sz w:val="24"/>
                <w:szCs w:val="24"/>
              </w:rPr>
              <w:t>А.В</w:t>
            </w:r>
            <w:proofErr w:type="spellEnd"/>
            <w:r w:rsidRPr="00831CF2">
              <w:rPr>
                <w:rFonts w:ascii="Garamond" w:eastAsia="Calibri" w:hAnsi="Garamond" w:cs="Times New Roman"/>
                <w:sz w:val="24"/>
                <w:szCs w:val="24"/>
              </w:rPr>
              <w:t xml:space="preserve">. </w:t>
            </w:r>
            <w:proofErr w:type="spellStart"/>
            <w:r w:rsidRPr="00831CF2">
              <w:rPr>
                <w:rFonts w:ascii="Garamond" w:eastAsia="Calibri" w:hAnsi="Garamond" w:cs="Times New Roman"/>
                <w:sz w:val="24"/>
                <w:szCs w:val="24"/>
              </w:rPr>
              <w:t>Мольский</w:t>
            </w:r>
            <w:proofErr w:type="spellEnd"/>
            <w:r w:rsidR="0071040E">
              <w:rPr>
                <w:rFonts w:ascii="Garamond" w:eastAsia="Calibri" w:hAnsi="Garamond" w:cs="Times New Roman"/>
                <w:sz w:val="24"/>
                <w:szCs w:val="24"/>
              </w:rPr>
              <w:t>.</w:t>
            </w:r>
          </w:p>
          <w:p w:rsidR="00831CF2" w:rsidRPr="00831CF2" w:rsidRDefault="00831CF2" w:rsidP="00174D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831CF2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Обоснование: </w:t>
            </w:r>
            <w:r w:rsidR="00174D04">
              <w:rPr>
                <w:rFonts w:ascii="Garamond" w:eastAsia="Calibri" w:hAnsi="Garamond" w:cs="Times New Roman"/>
                <w:sz w:val="24"/>
                <w:szCs w:val="24"/>
              </w:rPr>
              <w:t>н</w:t>
            </w:r>
            <w:r w:rsidRPr="00831CF2">
              <w:rPr>
                <w:rFonts w:ascii="Garamond" w:eastAsia="Calibri" w:hAnsi="Garamond" w:cs="Times New Roman"/>
                <w:sz w:val="24"/>
                <w:szCs w:val="24"/>
              </w:rPr>
              <w:t>еобходимо уточнить порядок действий в случае, если дополнительные соглашения к соглашениям о порядке исполнения обязательств, фиксирующи</w:t>
            </w:r>
            <w:r w:rsidR="00046ECA">
              <w:rPr>
                <w:rFonts w:ascii="Garamond" w:eastAsia="Calibri" w:hAnsi="Garamond" w:cs="Times New Roman"/>
                <w:sz w:val="24"/>
                <w:szCs w:val="24"/>
              </w:rPr>
              <w:t>е</w:t>
            </w:r>
            <w:r w:rsidRPr="00831CF2">
              <w:rPr>
                <w:rFonts w:ascii="Garamond" w:eastAsia="Calibri" w:hAnsi="Garamond" w:cs="Times New Roman"/>
                <w:sz w:val="24"/>
                <w:szCs w:val="24"/>
              </w:rPr>
              <w:t xml:space="preserve"> на 2023 год соотношение цены покупаемого векселя к его номинальной стоимости или дол</w:t>
            </w:r>
            <w:r w:rsidR="00046ECA">
              <w:rPr>
                <w:rFonts w:ascii="Garamond" w:eastAsia="Calibri" w:hAnsi="Garamond" w:cs="Times New Roman"/>
                <w:sz w:val="24"/>
                <w:szCs w:val="24"/>
              </w:rPr>
              <w:t>ю</w:t>
            </w:r>
            <w:bookmarkStart w:id="0" w:name="_GoBack"/>
            <w:bookmarkEnd w:id="0"/>
            <w:r w:rsidRPr="00831CF2">
              <w:rPr>
                <w:rFonts w:ascii="Garamond" w:eastAsia="Calibri" w:hAnsi="Garamond" w:cs="Times New Roman"/>
                <w:sz w:val="24"/>
                <w:szCs w:val="24"/>
              </w:rPr>
              <w:t xml:space="preserve"> исполнения текущих обязательств денежными средствами через уполномоченную кредитную организацию, не будут заключены до начала 2023 года</w:t>
            </w:r>
            <w:r w:rsidR="00174D04">
              <w:rPr>
                <w:rFonts w:ascii="Garamond" w:eastAsia="Calibri" w:hAnsi="Garamond" w:cs="Times New Roman"/>
                <w:sz w:val="24"/>
                <w:szCs w:val="24"/>
              </w:rPr>
              <w:t>.</w:t>
            </w:r>
          </w:p>
          <w:p w:rsidR="00831CF2" w:rsidRPr="00831CF2" w:rsidRDefault="00831CF2" w:rsidP="00174D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eastAsia="Calibri" w:hAnsi="Garamond" w:cs="Times New Roman"/>
              </w:rPr>
            </w:pPr>
            <w:r w:rsidRPr="00831CF2">
              <w:rPr>
                <w:rFonts w:ascii="Garamond" w:eastAsia="Calibri" w:hAnsi="Garamond" w:cs="Times New Roman"/>
                <w:b/>
                <w:sz w:val="24"/>
                <w:szCs w:val="24"/>
              </w:rPr>
              <w:t>Дата вступления в силу:</w:t>
            </w:r>
            <w:r w:rsidRPr="00831CF2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="0071040E">
              <w:rPr>
                <w:rFonts w:ascii="Garamond" w:eastAsia="Calibri" w:hAnsi="Garamond" w:cs="Times New Roman"/>
                <w:sz w:val="24"/>
                <w:szCs w:val="24"/>
              </w:rPr>
              <w:t>20 декабря 2022 года.</w:t>
            </w:r>
          </w:p>
        </w:tc>
      </w:tr>
    </w:tbl>
    <w:p w:rsidR="00831CF2" w:rsidRPr="00831CF2" w:rsidRDefault="00831CF2" w:rsidP="00174D04">
      <w:pPr>
        <w:spacing w:after="0" w:line="240" w:lineRule="auto"/>
        <w:rPr>
          <w:rFonts w:ascii="Garamond" w:eastAsia="Calibri" w:hAnsi="Garamond" w:cs="Times New Roman"/>
        </w:rPr>
      </w:pPr>
    </w:p>
    <w:p w:rsidR="00831CF2" w:rsidRPr="00831CF2" w:rsidRDefault="00831CF2" w:rsidP="00174D04">
      <w:pPr>
        <w:spacing w:after="0" w:line="240" w:lineRule="auto"/>
        <w:rPr>
          <w:rFonts w:ascii="Garamond" w:eastAsia="Calibri" w:hAnsi="Garamond" w:cs="Times New Roman"/>
        </w:rPr>
      </w:pPr>
      <w:r w:rsidRPr="00831CF2">
        <w:rPr>
          <w:rFonts w:ascii="Garamond" w:eastAsia="Calibri" w:hAnsi="Garamond" w:cs="Times New Roman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831CF2" w:rsidRPr="00831CF2" w:rsidRDefault="00831CF2" w:rsidP="00174D04">
      <w:pPr>
        <w:tabs>
          <w:tab w:val="left" w:pos="709"/>
        </w:tabs>
        <w:spacing w:after="0" w:line="240" w:lineRule="auto"/>
        <w:jc w:val="center"/>
        <w:rPr>
          <w:rFonts w:ascii="Garamond" w:eastAsia="Calibri" w:hAnsi="Garamond" w:cs="Times New Roman"/>
          <w:b/>
          <w:sz w:val="26"/>
          <w:szCs w:val="26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6576"/>
        <w:gridCol w:w="7210"/>
      </w:tblGrid>
      <w:tr w:rsidR="00831CF2" w:rsidRPr="00174D04" w:rsidTr="00174D04">
        <w:trPr>
          <w:trHeight w:val="64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31CF2" w:rsidRPr="00174D04" w:rsidRDefault="00831CF2" w:rsidP="00174D04">
            <w:pPr>
              <w:spacing w:after="0" w:line="240" w:lineRule="auto"/>
              <w:jc w:val="center"/>
              <w:rPr>
                <w:rFonts w:ascii="Garamond" w:eastAsia="Calibri" w:hAnsi="Garamond" w:cs="Garamond"/>
                <w:b/>
                <w:bCs/>
              </w:rPr>
            </w:pPr>
            <w:r w:rsidRPr="00174D04">
              <w:rPr>
                <w:rFonts w:ascii="Garamond" w:eastAsia="Calibri" w:hAnsi="Garamond" w:cs="Garamond"/>
                <w:b/>
                <w:bCs/>
              </w:rPr>
              <w:t>№</w:t>
            </w:r>
          </w:p>
          <w:p w:rsidR="00831CF2" w:rsidRPr="00174D04" w:rsidRDefault="00831CF2" w:rsidP="00174D04">
            <w:pPr>
              <w:spacing w:after="0" w:line="240" w:lineRule="auto"/>
              <w:jc w:val="center"/>
              <w:rPr>
                <w:rFonts w:ascii="Garamond" w:eastAsia="Calibri" w:hAnsi="Garamond" w:cs="Garamond"/>
                <w:b/>
                <w:bCs/>
                <w:lang w:val="en-GB"/>
              </w:rPr>
            </w:pPr>
            <w:r w:rsidRPr="00174D04">
              <w:rPr>
                <w:rFonts w:ascii="Garamond" w:eastAsia="Calibri" w:hAnsi="Garamond" w:cs="Garamond"/>
                <w:b/>
                <w:bCs/>
              </w:rPr>
              <w:t>пункта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F2" w:rsidRPr="00174D04" w:rsidRDefault="00831CF2" w:rsidP="00174D04">
            <w:pPr>
              <w:spacing w:after="0" w:line="240" w:lineRule="auto"/>
              <w:jc w:val="center"/>
              <w:rPr>
                <w:rFonts w:ascii="Garamond" w:eastAsia="Calibri" w:hAnsi="Garamond" w:cs="Garamond"/>
                <w:b/>
              </w:rPr>
            </w:pPr>
            <w:r w:rsidRPr="00174D04">
              <w:rPr>
                <w:rFonts w:ascii="Garamond" w:eastAsia="Calibri" w:hAnsi="Garamond" w:cs="Garamond"/>
                <w:b/>
              </w:rPr>
              <w:t xml:space="preserve">Редакция, действующая на момент </w:t>
            </w:r>
          </w:p>
          <w:p w:rsidR="00831CF2" w:rsidRPr="00174D04" w:rsidRDefault="00831CF2" w:rsidP="00174D04">
            <w:pPr>
              <w:spacing w:after="0" w:line="240" w:lineRule="auto"/>
              <w:jc w:val="center"/>
              <w:rPr>
                <w:rFonts w:ascii="Garamond" w:eastAsia="Calibri" w:hAnsi="Garamond" w:cs="Garamond"/>
                <w:b/>
              </w:rPr>
            </w:pPr>
            <w:r w:rsidRPr="00174D04">
              <w:rPr>
                <w:rFonts w:ascii="Garamond" w:eastAsia="Calibri" w:hAnsi="Garamond" w:cs="Garamond"/>
                <w:b/>
              </w:rPr>
              <w:t>вступления в силу изменений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F2" w:rsidRPr="00174D04" w:rsidRDefault="00831CF2" w:rsidP="00174D04">
            <w:pPr>
              <w:spacing w:after="0" w:line="240" w:lineRule="auto"/>
              <w:jc w:val="center"/>
              <w:rPr>
                <w:rFonts w:ascii="Garamond" w:eastAsia="Calibri" w:hAnsi="Garamond" w:cs="Garamond"/>
                <w:b/>
              </w:rPr>
            </w:pPr>
            <w:r w:rsidRPr="00174D04">
              <w:rPr>
                <w:rFonts w:ascii="Garamond" w:eastAsia="Calibri" w:hAnsi="Garamond" w:cs="Garamond"/>
                <w:b/>
              </w:rPr>
              <w:t>Предлагаемая редакция</w:t>
            </w:r>
          </w:p>
          <w:p w:rsidR="00831CF2" w:rsidRPr="00174D04" w:rsidRDefault="00831CF2" w:rsidP="00174D04">
            <w:pPr>
              <w:spacing w:after="0" w:line="240" w:lineRule="auto"/>
              <w:jc w:val="center"/>
              <w:rPr>
                <w:rFonts w:ascii="Garamond" w:eastAsia="Calibri" w:hAnsi="Garamond" w:cs="Garamond"/>
              </w:rPr>
            </w:pPr>
            <w:r w:rsidRPr="00174D04">
              <w:rPr>
                <w:rFonts w:ascii="Garamond" w:eastAsia="Calibri" w:hAnsi="Garamond" w:cs="Garamond"/>
              </w:rPr>
              <w:t>(изменения выделены цветом)</w:t>
            </w:r>
          </w:p>
        </w:tc>
      </w:tr>
      <w:tr w:rsidR="00831CF2" w:rsidRPr="00174D04" w:rsidTr="00174D04">
        <w:trPr>
          <w:trHeight w:val="64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31CF2" w:rsidRPr="00174D04" w:rsidRDefault="00831CF2" w:rsidP="00831CF2">
            <w:pPr>
              <w:spacing w:after="0" w:line="240" w:lineRule="auto"/>
              <w:jc w:val="center"/>
              <w:rPr>
                <w:rFonts w:ascii="Garamond" w:eastAsia="Calibri" w:hAnsi="Garamond" w:cs="Garamond"/>
                <w:b/>
                <w:bCs/>
              </w:rPr>
            </w:pPr>
            <w:r w:rsidRPr="00174D04">
              <w:rPr>
                <w:rFonts w:ascii="Garamond" w:eastAsia="Calibri" w:hAnsi="Garamond" w:cs="Garamond"/>
                <w:b/>
                <w:bCs/>
              </w:rPr>
              <w:t>2.5.6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F2" w:rsidRPr="00174D04" w:rsidRDefault="00831CF2" w:rsidP="00831CF2">
            <w:pPr>
              <w:spacing w:before="120" w:after="120" w:line="256" w:lineRule="auto"/>
              <w:ind w:firstLine="567"/>
              <w:jc w:val="both"/>
              <w:rPr>
                <w:rFonts w:ascii="Garamond" w:eastAsia="Calibri" w:hAnsi="Garamond" w:cs="Times New Roman"/>
              </w:rPr>
            </w:pPr>
            <w:r w:rsidRPr="00174D04">
              <w:rPr>
                <w:rFonts w:ascii="Garamond" w:eastAsia="Calibri" w:hAnsi="Garamond" w:cs="Times New Roman"/>
                <w:color w:val="000000"/>
              </w:rPr>
              <w:t xml:space="preserve">2.5.6. </w:t>
            </w:r>
            <w:r w:rsidRPr="00174D04">
              <w:rPr>
                <w:rFonts w:ascii="Garamond" w:eastAsia="Calibri" w:hAnsi="Garamond" w:cs="Times New Roman"/>
              </w:rPr>
              <w:t xml:space="preserve">В случае прекращения учета ЦФР соглашений о реструктуризации задолженности, заключенных по стандартной форме приложения 114.3 к настоящему Регламенту, и принятия Наблюдательным советом Совета рынка решения о рекомендации реализовывать мероприятия по урегулированию задолженности в отношении одного или нескольких участников оптового рынка, ранее заключавших указанные соглашения о реструктуризации задолженности, Совет рынка в течение 1 рабочего дня с даты принятия Наблюдательным советом Совета рынка соответствующего решения направляет в ЦФР уведомление со списком участников, в отношении которых Наблюдательным советом Совета рынка принято данное решение. Аналогичное уведомление Совет рынка направляет </w:t>
            </w:r>
            <w:proofErr w:type="gramStart"/>
            <w:r w:rsidRPr="00174D04">
              <w:rPr>
                <w:rFonts w:ascii="Garamond" w:eastAsia="Calibri" w:hAnsi="Garamond" w:cs="Times New Roman"/>
              </w:rPr>
              <w:t>в КО</w:t>
            </w:r>
            <w:proofErr w:type="gramEnd"/>
            <w:r w:rsidRPr="00174D04">
              <w:rPr>
                <w:rFonts w:ascii="Garamond" w:eastAsia="Calibri" w:hAnsi="Garamond" w:cs="Times New Roman"/>
              </w:rPr>
              <w:t xml:space="preserve"> не позднее 28.03.2022.</w:t>
            </w:r>
          </w:p>
          <w:p w:rsidR="00831CF2" w:rsidRPr="00174D04" w:rsidRDefault="00831CF2" w:rsidP="00831CF2">
            <w:pPr>
              <w:spacing w:before="120" w:after="120" w:line="256" w:lineRule="auto"/>
              <w:ind w:firstLine="567"/>
              <w:jc w:val="both"/>
              <w:rPr>
                <w:rFonts w:ascii="Garamond" w:eastAsia="Calibri" w:hAnsi="Garamond" w:cs="Times New Roman"/>
              </w:rPr>
            </w:pPr>
            <w:r w:rsidRPr="00174D04">
              <w:rPr>
                <w:rFonts w:ascii="Garamond" w:eastAsia="Calibri" w:hAnsi="Garamond" w:cs="Times New Roman"/>
              </w:rPr>
              <w:t xml:space="preserve">ЦФР начиная со дня, следующего за днем получения от Совета рынка уведомления со списком участников, в отношении которых Наблюдательным советом Совета рынка принято соответствующее решение, не включает в Сводный реестр платежей, передаваемый в уполномоченную кредитную организацию, обязательства по оплате </w:t>
            </w:r>
            <w:r w:rsidRPr="00174D04">
              <w:rPr>
                <w:rFonts w:ascii="Garamond" w:eastAsia="Calibri" w:hAnsi="Garamond" w:cs="Times New Roman"/>
              </w:rPr>
              <w:lastRenderedPageBreak/>
              <w:t xml:space="preserve">электрической энергии и (или) мощности таких участников по договорам купли-продажи на </w:t>
            </w:r>
            <w:proofErr w:type="spellStart"/>
            <w:r w:rsidRPr="00174D04">
              <w:rPr>
                <w:rFonts w:ascii="Garamond" w:eastAsia="Calibri" w:hAnsi="Garamond" w:cs="Times New Roman"/>
              </w:rPr>
              <w:t>РСВ</w:t>
            </w:r>
            <w:proofErr w:type="spellEnd"/>
            <w:r w:rsidRPr="00174D04">
              <w:rPr>
                <w:rFonts w:ascii="Garamond" w:eastAsia="Calibri" w:hAnsi="Garamond" w:cs="Times New Roman"/>
              </w:rPr>
              <w:t xml:space="preserve"> и договорам купли-продажи на </w:t>
            </w:r>
            <w:proofErr w:type="spellStart"/>
            <w:r w:rsidRPr="00174D04">
              <w:rPr>
                <w:rFonts w:ascii="Garamond" w:eastAsia="Calibri" w:hAnsi="Garamond" w:cs="Times New Roman"/>
              </w:rPr>
              <w:t>БР</w:t>
            </w:r>
            <w:proofErr w:type="spellEnd"/>
            <w:r w:rsidRPr="00174D04">
              <w:rPr>
                <w:rFonts w:ascii="Garamond" w:eastAsia="Calibri" w:hAnsi="Garamond" w:cs="Times New Roman"/>
              </w:rPr>
              <w:t>, а также регулируемым договорам купли-продажи электроэнергии и мощности за расчетные периоды до 1 января 2022 года.</w:t>
            </w:r>
          </w:p>
          <w:p w:rsidR="00831CF2" w:rsidRPr="00174D04" w:rsidRDefault="00831CF2" w:rsidP="00831CF2">
            <w:pPr>
              <w:spacing w:before="120" w:after="120" w:line="256" w:lineRule="auto"/>
              <w:ind w:firstLine="567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174D04">
              <w:rPr>
                <w:rFonts w:ascii="Garamond" w:eastAsia="Times New Roman" w:hAnsi="Garamond" w:cs="Times New Roman"/>
                <w:color w:val="000000"/>
                <w:szCs w:val="20"/>
              </w:rPr>
              <w:t xml:space="preserve">С 27.01.2022 </w:t>
            </w:r>
            <w:r w:rsidRPr="00174D04">
              <w:rPr>
                <w:rFonts w:ascii="Garamond" w:eastAsia="Times New Roman" w:hAnsi="Garamond" w:cs="Times New Roman"/>
                <w:szCs w:val="20"/>
              </w:rPr>
              <w:t xml:space="preserve">ЦФР не включает в Сводный реестр платежей, передаваемый в уполномоченную кредитную организацию, обязательства таких участников по оплате электрической энергии и (или) мощности </w:t>
            </w:r>
            <w:r w:rsidRPr="00174D04">
              <w:rPr>
                <w:rFonts w:ascii="Garamond" w:eastAsia="Times New Roman" w:hAnsi="Garamond" w:cs="Times New Roman"/>
                <w:color w:val="000000"/>
                <w:szCs w:val="20"/>
              </w:rPr>
              <w:t xml:space="preserve">по </w:t>
            </w:r>
            <w:r w:rsidRPr="00174D04">
              <w:rPr>
                <w:rFonts w:ascii="Garamond" w:eastAsia="Times New Roman" w:hAnsi="Garamond" w:cs="Times New Roman"/>
                <w:szCs w:val="20"/>
              </w:rPr>
              <w:t xml:space="preserve">всем заключаемым в соответствии с </w:t>
            </w:r>
            <w:r w:rsidRPr="00174D04">
              <w:rPr>
                <w:rFonts w:ascii="Garamond" w:eastAsia="Times New Roman" w:hAnsi="Garamond" w:cs="Times New Roman"/>
                <w:i/>
                <w:szCs w:val="20"/>
              </w:rPr>
              <w:t>Договором о присоединении к торговой системе оптового рынка</w:t>
            </w:r>
            <w:r w:rsidRPr="00174D04">
              <w:rPr>
                <w:rFonts w:ascii="Garamond" w:eastAsia="Times New Roman" w:hAnsi="Garamond" w:cs="Times New Roman"/>
                <w:szCs w:val="20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рынке, за расчетные периоды до 1</w:t>
            </w:r>
            <w:r w:rsidRPr="00174D04">
              <w:rPr>
                <w:rFonts w:ascii="Garamond" w:eastAsia="Times New Roman" w:hAnsi="Garamond" w:cs="Times New Roman"/>
                <w:szCs w:val="20"/>
                <w:lang w:val="en-GB"/>
              </w:rPr>
              <w:t> </w:t>
            </w:r>
            <w:r w:rsidRPr="00174D04">
              <w:rPr>
                <w:rFonts w:ascii="Garamond" w:eastAsia="Times New Roman" w:hAnsi="Garamond" w:cs="Times New Roman"/>
                <w:szCs w:val="20"/>
              </w:rPr>
              <w:t>января 2022 года, а также за расчетные периоды с 1</w:t>
            </w:r>
            <w:r w:rsidRPr="00174D04">
              <w:rPr>
                <w:rFonts w:ascii="Garamond" w:eastAsia="Times New Roman" w:hAnsi="Garamond" w:cs="Times New Roman"/>
                <w:szCs w:val="20"/>
                <w:lang w:val="en-GB"/>
              </w:rPr>
              <w:t> </w:t>
            </w:r>
            <w:r w:rsidRPr="00174D04">
              <w:rPr>
                <w:rFonts w:ascii="Garamond" w:eastAsia="Times New Roman" w:hAnsi="Garamond" w:cs="Times New Roman"/>
                <w:szCs w:val="20"/>
              </w:rPr>
              <w:t>января 2022 года.</w:t>
            </w:r>
          </w:p>
          <w:p w:rsidR="00831CF2" w:rsidRPr="00174D04" w:rsidRDefault="00831CF2" w:rsidP="00831CF2">
            <w:pPr>
              <w:spacing w:before="120" w:after="120" w:line="256" w:lineRule="auto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174D04">
              <w:rPr>
                <w:rFonts w:ascii="Garamond" w:eastAsia="Times New Roman" w:hAnsi="Garamond" w:cs="Times New Roman"/>
                <w:szCs w:val="20"/>
              </w:rPr>
              <w:t>Начиная с даты учета ЦФР соглашений о порядке исполнения обязательств, заключенных такими участниками по форме приложения 114.15 к настоящему Регламенту в порядке, предусмотренном разделом 18´ настоящего Регламента, ЦФР включает в Сводный реестр платежей, передаваемый в уполномоченную кредитную организацию, вышеуказанные обязательства по оплате электрической энергии и (или) мощности за расчетные периоды до 1</w:t>
            </w:r>
            <w:r w:rsidRPr="00174D04">
              <w:rPr>
                <w:rFonts w:ascii="Garamond" w:eastAsia="Times New Roman" w:hAnsi="Garamond" w:cs="Times New Roman"/>
                <w:szCs w:val="20"/>
                <w:lang w:val="en-GB"/>
              </w:rPr>
              <w:t> </w:t>
            </w:r>
            <w:r w:rsidRPr="00174D04">
              <w:rPr>
                <w:rFonts w:ascii="Garamond" w:eastAsia="Times New Roman" w:hAnsi="Garamond" w:cs="Times New Roman"/>
                <w:szCs w:val="20"/>
              </w:rPr>
              <w:t xml:space="preserve">января 2022 года, за исключением обязательств (в том числе по договорам </w:t>
            </w:r>
            <w:proofErr w:type="spellStart"/>
            <w:r w:rsidRPr="00174D04">
              <w:rPr>
                <w:rFonts w:ascii="Garamond" w:eastAsia="Times New Roman" w:hAnsi="Garamond" w:cs="Times New Roman"/>
                <w:szCs w:val="20"/>
              </w:rPr>
              <w:t>РСВ</w:t>
            </w:r>
            <w:proofErr w:type="spellEnd"/>
            <w:r w:rsidRPr="00174D04">
              <w:rPr>
                <w:rFonts w:ascii="Garamond" w:eastAsia="Times New Roman" w:hAnsi="Garamond" w:cs="Times New Roman"/>
                <w:szCs w:val="20"/>
              </w:rPr>
              <w:t xml:space="preserve"> и </w:t>
            </w:r>
            <w:proofErr w:type="spellStart"/>
            <w:r w:rsidRPr="00174D04">
              <w:rPr>
                <w:rFonts w:ascii="Garamond" w:eastAsia="Times New Roman" w:hAnsi="Garamond" w:cs="Times New Roman"/>
                <w:szCs w:val="20"/>
              </w:rPr>
              <w:t>БР</w:t>
            </w:r>
            <w:proofErr w:type="spellEnd"/>
            <w:r w:rsidRPr="00174D04">
              <w:rPr>
                <w:rFonts w:ascii="Garamond" w:eastAsia="Times New Roman" w:hAnsi="Garamond" w:cs="Times New Roman"/>
                <w:szCs w:val="20"/>
              </w:rPr>
              <w:t>) перед участниками оптового рынка – продавцами, заключившими указанные соглашения; за расчетные периоды с 1</w:t>
            </w:r>
            <w:r w:rsidRPr="00174D04">
              <w:rPr>
                <w:rFonts w:ascii="Garamond" w:eastAsia="Times New Roman" w:hAnsi="Garamond" w:cs="Times New Roman"/>
                <w:szCs w:val="20"/>
                <w:lang w:val="en-GB"/>
              </w:rPr>
              <w:t> </w:t>
            </w:r>
            <w:r w:rsidRPr="00174D04">
              <w:rPr>
                <w:rFonts w:ascii="Garamond" w:eastAsia="Times New Roman" w:hAnsi="Garamond" w:cs="Times New Roman"/>
                <w:szCs w:val="20"/>
              </w:rPr>
              <w:t xml:space="preserve">января 2022 года, за исключением обязательств (в том числе по договорам </w:t>
            </w:r>
            <w:proofErr w:type="spellStart"/>
            <w:r w:rsidRPr="00174D04">
              <w:rPr>
                <w:rFonts w:ascii="Garamond" w:eastAsia="Times New Roman" w:hAnsi="Garamond" w:cs="Times New Roman"/>
                <w:szCs w:val="20"/>
              </w:rPr>
              <w:t>РСВ</w:t>
            </w:r>
            <w:proofErr w:type="spellEnd"/>
            <w:r w:rsidRPr="00174D04">
              <w:rPr>
                <w:rFonts w:ascii="Garamond" w:eastAsia="Times New Roman" w:hAnsi="Garamond" w:cs="Times New Roman"/>
                <w:szCs w:val="20"/>
              </w:rPr>
              <w:t xml:space="preserve"> и </w:t>
            </w:r>
            <w:proofErr w:type="spellStart"/>
            <w:r w:rsidRPr="00174D04">
              <w:rPr>
                <w:rFonts w:ascii="Garamond" w:eastAsia="Times New Roman" w:hAnsi="Garamond" w:cs="Times New Roman"/>
                <w:szCs w:val="20"/>
              </w:rPr>
              <w:t>БР</w:t>
            </w:r>
            <w:proofErr w:type="spellEnd"/>
            <w:r w:rsidRPr="00174D04">
              <w:rPr>
                <w:rFonts w:ascii="Garamond" w:eastAsia="Times New Roman" w:hAnsi="Garamond" w:cs="Times New Roman"/>
                <w:szCs w:val="20"/>
              </w:rPr>
              <w:t>) перед участниками оптового рынка – продавцами, заключившими указанные соглашения на условиях варианта 1 (Оплата векселями) приложения 2 к соглашению.</w:t>
            </w:r>
          </w:p>
          <w:p w:rsidR="00831CF2" w:rsidRPr="00174D04" w:rsidRDefault="00831CF2" w:rsidP="00831CF2">
            <w:pPr>
              <w:spacing w:before="120" w:after="120" w:line="256" w:lineRule="auto"/>
              <w:ind w:firstLine="598"/>
              <w:jc w:val="both"/>
              <w:rPr>
                <w:rFonts w:ascii="Garamond" w:eastAsia="Times New Roman" w:hAnsi="Garamond" w:cs="Times New Roman"/>
                <w:b/>
                <w:color w:val="000000"/>
                <w:szCs w:val="20"/>
              </w:rPr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F2" w:rsidRPr="00174D04" w:rsidRDefault="00831CF2" w:rsidP="00831CF2">
            <w:pPr>
              <w:spacing w:before="120" w:after="120" w:line="256" w:lineRule="auto"/>
              <w:ind w:firstLine="567"/>
              <w:jc w:val="both"/>
              <w:rPr>
                <w:rFonts w:ascii="Garamond" w:eastAsia="Calibri" w:hAnsi="Garamond" w:cs="Times New Roman"/>
              </w:rPr>
            </w:pPr>
            <w:r w:rsidRPr="00174D04">
              <w:rPr>
                <w:rFonts w:ascii="Garamond" w:eastAsia="Calibri" w:hAnsi="Garamond" w:cs="Times New Roman"/>
                <w:color w:val="000000"/>
              </w:rPr>
              <w:lastRenderedPageBreak/>
              <w:t xml:space="preserve">2.5.6. </w:t>
            </w:r>
            <w:r w:rsidRPr="00174D04">
              <w:rPr>
                <w:rFonts w:ascii="Garamond" w:eastAsia="Calibri" w:hAnsi="Garamond" w:cs="Times New Roman"/>
              </w:rPr>
              <w:t xml:space="preserve">В случае прекращения учета ЦФР соглашений о реструктуризации задолженности, заключенных по стандартной форме приложения 114.3 к настоящему Регламенту, и принятия Наблюдательным советом Совета рынка решения о рекомендации реализовывать мероприятия по урегулированию задолженности в отношении одного или нескольких участников оптового рынка, ранее заключавших указанные соглашения о реструктуризации задолженности, Совет рынка в течение 1 рабочего дня с даты принятия Наблюдательным советом Совета рынка соответствующего решения направляет в ЦФР уведомление со списком участников, в отношении которых Наблюдательным советом Совета рынка принято данное решение. Аналогичное уведомление Совет рынка направляет </w:t>
            </w:r>
            <w:proofErr w:type="gramStart"/>
            <w:r w:rsidRPr="00174D04">
              <w:rPr>
                <w:rFonts w:ascii="Garamond" w:eastAsia="Calibri" w:hAnsi="Garamond" w:cs="Times New Roman"/>
              </w:rPr>
              <w:t>в КО</w:t>
            </w:r>
            <w:proofErr w:type="gramEnd"/>
            <w:r w:rsidRPr="00174D04">
              <w:rPr>
                <w:rFonts w:ascii="Garamond" w:eastAsia="Calibri" w:hAnsi="Garamond" w:cs="Times New Roman"/>
              </w:rPr>
              <w:t xml:space="preserve"> не позднее 28.03.2022.</w:t>
            </w:r>
          </w:p>
          <w:p w:rsidR="00831CF2" w:rsidRPr="00174D04" w:rsidRDefault="00831CF2" w:rsidP="00831CF2">
            <w:pPr>
              <w:spacing w:before="120" w:after="120" w:line="256" w:lineRule="auto"/>
              <w:ind w:firstLine="567"/>
              <w:jc w:val="both"/>
              <w:rPr>
                <w:rFonts w:ascii="Garamond" w:eastAsia="Calibri" w:hAnsi="Garamond" w:cs="Times New Roman"/>
              </w:rPr>
            </w:pPr>
            <w:r w:rsidRPr="00174D04">
              <w:rPr>
                <w:rFonts w:ascii="Garamond" w:eastAsia="Calibri" w:hAnsi="Garamond" w:cs="Times New Roman"/>
              </w:rPr>
              <w:t xml:space="preserve">ЦФР начиная со дня, следующего за днем получения от Совета рынка уведомления со списком участников, в отношении которых Наблюдательным советом Совета рынка принято соответствующее решение, не включает в Сводный реестр платежей, передаваемый в уполномоченную кредитную организацию, обязательства по оплате электрической энергии и (или) мощности таких участников по договорам купли-продажи на </w:t>
            </w:r>
            <w:proofErr w:type="spellStart"/>
            <w:r w:rsidRPr="00174D04">
              <w:rPr>
                <w:rFonts w:ascii="Garamond" w:eastAsia="Calibri" w:hAnsi="Garamond" w:cs="Times New Roman"/>
              </w:rPr>
              <w:t>РСВ</w:t>
            </w:r>
            <w:proofErr w:type="spellEnd"/>
            <w:r w:rsidRPr="00174D04">
              <w:rPr>
                <w:rFonts w:ascii="Garamond" w:eastAsia="Calibri" w:hAnsi="Garamond" w:cs="Times New Roman"/>
              </w:rPr>
              <w:t xml:space="preserve"> и </w:t>
            </w:r>
            <w:r w:rsidRPr="00174D04">
              <w:rPr>
                <w:rFonts w:ascii="Garamond" w:eastAsia="Calibri" w:hAnsi="Garamond" w:cs="Times New Roman"/>
              </w:rPr>
              <w:lastRenderedPageBreak/>
              <w:t xml:space="preserve">договорам купли-продажи на </w:t>
            </w:r>
            <w:proofErr w:type="spellStart"/>
            <w:r w:rsidRPr="00174D04">
              <w:rPr>
                <w:rFonts w:ascii="Garamond" w:eastAsia="Calibri" w:hAnsi="Garamond" w:cs="Times New Roman"/>
              </w:rPr>
              <w:t>БР</w:t>
            </w:r>
            <w:proofErr w:type="spellEnd"/>
            <w:r w:rsidRPr="00174D04">
              <w:rPr>
                <w:rFonts w:ascii="Garamond" w:eastAsia="Calibri" w:hAnsi="Garamond" w:cs="Times New Roman"/>
              </w:rPr>
              <w:t>, а также регулируемым договорам купли-продажи электроэнергии и мощности за расчетные периоды до 1 января 2022 года.</w:t>
            </w:r>
          </w:p>
          <w:p w:rsidR="00831CF2" w:rsidRPr="00174D04" w:rsidRDefault="00831CF2" w:rsidP="00831CF2">
            <w:pPr>
              <w:spacing w:before="120" w:after="120" w:line="256" w:lineRule="auto"/>
              <w:ind w:firstLine="567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174D04">
              <w:rPr>
                <w:rFonts w:ascii="Garamond" w:eastAsia="Times New Roman" w:hAnsi="Garamond" w:cs="Times New Roman"/>
                <w:color w:val="000000"/>
                <w:szCs w:val="20"/>
              </w:rPr>
              <w:t xml:space="preserve">С 27.01.2022 </w:t>
            </w:r>
            <w:r w:rsidRPr="00174D04">
              <w:rPr>
                <w:rFonts w:ascii="Garamond" w:eastAsia="Times New Roman" w:hAnsi="Garamond" w:cs="Times New Roman"/>
                <w:szCs w:val="20"/>
              </w:rPr>
              <w:t xml:space="preserve">ЦФР не включает в Сводный реестр платежей, передаваемый в уполномоченную кредитную организацию, обязательства таких участников по оплате электрической энергии и (или) мощности </w:t>
            </w:r>
            <w:r w:rsidRPr="00174D04">
              <w:rPr>
                <w:rFonts w:ascii="Garamond" w:eastAsia="Times New Roman" w:hAnsi="Garamond" w:cs="Times New Roman"/>
                <w:color w:val="000000"/>
                <w:szCs w:val="20"/>
              </w:rPr>
              <w:t xml:space="preserve">по </w:t>
            </w:r>
            <w:r w:rsidRPr="00174D04">
              <w:rPr>
                <w:rFonts w:ascii="Garamond" w:eastAsia="Times New Roman" w:hAnsi="Garamond" w:cs="Times New Roman"/>
                <w:szCs w:val="20"/>
              </w:rPr>
              <w:t xml:space="preserve">всем заключаемым в соответствии с </w:t>
            </w:r>
            <w:r w:rsidRPr="00174D04">
              <w:rPr>
                <w:rFonts w:ascii="Garamond" w:eastAsia="Times New Roman" w:hAnsi="Garamond" w:cs="Times New Roman"/>
                <w:i/>
                <w:szCs w:val="20"/>
              </w:rPr>
              <w:t>Договором о присоединении к торговой системе оптового рынка</w:t>
            </w:r>
            <w:r w:rsidRPr="00174D04">
              <w:rPr>
                <w:rFonts w:ascii="Garamond" w:eastAsia="Times New Roman" w:hAnsi="Garamond" w:cs="Times New Roman"/>
                <w:szCs w:val="20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рынке, за расчетные периоды до 1</w:t>
            </w:r>
            <w:r w:rsidRPr="00174D04">
              <w:rPr>
                <w:rFonts w:ascii="Garamond" w:eastAsia="Times New Roman" w:hAnsi="Garamond" w:cs="Times New Roman"/>
                <w:szCs w:val="20"/>
                <w:lang w:val="en-GB"/>
              </w:rPr>
              <w:t> </w:t>
            </w:r>
            <w:r w:rsidRPr="00174D04">
              <w:rPr>
                <w:rFonts w:ascii="Garamond" w:eastAsia="Times New Roman" w:hAnsi="Garamond" w:cs="Times New Roman"/>
                <w:szCs w:val="20"/>
              </w:rPr>
              <w:t>января 2022 года, а также за расчетные периоды с 1</w:t>
            </w:r>
            <w:r w:rsidRPr="00174D04">
              <w:rPr>
                <w:rFonts w:ascii="Garamond" w:eastAsia="Times New Roman" w:hAnsi="Garamond" w:cs="Times New Roman"/>
                <w:szCs w:val="20"/>
                <w:lang w:val="en-GB"/>
              </w:rPr>
              <w:t> </w:t>
            </w:r>
            <w:r w:rsidRPr="00174D04">
              <w:rPr>
                <w:rFonts w:ascii="Garamond" w:eastAsia="Times New Roman" w:hAnsi="Garamond" w:cs="Times New Roman"/>
                <w:szCs w:val="20"/>
              </w:rPr>
              <w:t>января 2022 года.</w:t>
            </w:r>
          </w:p>
          <w:p w:rsidR="00831CF2" w:rsidRPr="00174D04" w:rsidRDefault="00831CF2" w:rsidP="00831CF2">
            <w:pPr>
              <w:spacing w:before="120" w:after="120" w:line="256" w:lineRule="auto"/>
              <w:ind w:firstLine="567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174D04">
              <w:rPr>
                <w:rFonts w:ascii="Garamond" w:eastAsia="Times New Roman" w:hAnsi="Garamond" w:cs="Times New Roman"/>
                <w:szCs w:val="20"/>
              </w:rPr>
              <w:t>Начиная с даты учета ЦФР соглашений о порядке исполнения обязательств, заключенных такими участниками по форме приложения 114.15 к настоящему Регламенту в порядке, предусмотренном разделом 18´ настоящего Регламента, ЦФР включает в Сводный реестр платежей, передаваемый в уполномоченную кредитную организацию, вышеуказанные обязательства по оплате электрической энергии и (или) мощности за расчетные периоды до 1</w:t>
            </w:r>
            <w:r w:rsidRPr="00174D04">
              <w:rPr>
                <w:rFonts w:ascii="Garamond" w:eastAsia="Times New Roman" w:hAnsi="Garamond" w:cs="Times New Roman"/>
                <w:szCs w:val="20"/>
                <w:lang w:val="en-GB"/>
              </w:rPr>
              <w:t> </w:t>
            </w:r>
            <w:r w:rsidRPr="00174D04">
              <w:rPr>
                <w:rFonts w:ascii="Garamond" w:eastAsia="Times New Roman" w:hAnsi="Garamond" w:cs="Times New Roman"/>
                <w:szCs w:val="20"/>
              </w:rPr>
              <w:t xml:space="preserve">января 2022 года, за исключением обязательств (в том числе по договорам </w:t>
            </w:r>
            <w:proofErr w:type="spellStart"/>
            <w:r w:rsidRPr="00174D04">
              <w:rPr>
                <w:rFonts w:ascii="Garamond" w:eastAsia="Times New Roman" w:hAnsi="Garamond" w:cs="Times New Roman"/>
                <w:szCs w:val="20"/>
              </w:rPr>
              <w:t>РСВ</w:t>
            </w:r>
            <w:proofErr w:type="spellEnd"/>
            <w:r w:rsidRPr="00174D04">
              <w:rPr>
                <w:rFonts w:ascii="Garamond" w:eastAsia="Times New Roman" w:hAnsi="Garamond" w:cs="Times New Roman"/>
                <w:szCs w:val="20"/>
              </w:rPr>
              <w:t xml:space="preserve"> и </w:t>
            </w:r>
            <w:proofErr w:type="spellStart"/>
            <w:r w:rsidRPr="00174D04">
              <w:rPr>
                <w:rFonts w:ascii="Garamond" w:eastAsia="Times New Roman" w:hAnsi="Garamond" w:cs="Times New Roman"/>
                <w:szCs w:val="20"/>
              </w:rPr>
              <w:t>БР</w:t>
            </w:r>
            <w:proofErr w:type="spellEnd"/>
            <w:r w:rsidRPr="00174D04">
              <w:rPr>
                <w:rFonts w:ascii="Garamond" w:eastAsia="Times New Roman" w:hAnsi="Garamond" w:cs="Times New Roman"/>
                <w:szCs w:val="20"/>
              </w:rPr>
              <w:t>) перед участниками оптового рынка – продавцами, заключившими указанные соглашения; за расчетные периоды с 1</w:t>
            </w:r>
            <w:r w:rsidRPr="00174D04">
              <w:rPr>
                <w:rFonts w:ascii="Garamond" w:eastAsia="Times New Roman" w:hAnsi="Garamond" w:cs="Times New Roman"/>
                <w:szCs w:val="20"/>
                <w:lang w:val="en-GB"/>
              </w:rPr>
              <w:t> </w:t>
            </w:r>
            <w:r w:rsidRPr="00174D04">
              <w:rPr>
                <w:rFonts w:ascii="Garamond" w:eastAsia="Times New Roman" w:hAnsi="Garamond" w:cs="Times New Roman"/>
                <w:szCs w:val="20"/>
              </w:rPr>
              <w:t xml:space="preserve">января 2022 года, за исключением обязательств (в том числе по договорам </w:t>
            </w:r>
            <w:proofErr w:type="spellStart"/>
            <w:r w:rsidRPr="00174D04">
              <w:rPr>
                <w:rFonts w:ascii="Garamond" w:eastAsia="Times New Roman" w:hAnsi="Garamond" w:cs="Times New Roman"/>
                <w:szCs w:val="20"/>
              </w:rPr>
              <w:t>РСВ</w:t>
            </w:r>
            <w:proofErr w:type="spellEnd"/>
            <w:r w:rsidRPr="00174D04">
              <w:rPr>
                <w:rFonts w:ascii="Garamond" w:eastAsia="Times New Roman" w:hAnsi="Garamond" w:cs="Times New Roman"/>
                <w:szCs w:val="20"/>
              </w:rPr>
              <w:t xml:space="preserve"> и </w:t>
            </w:r>
            <w:proofErr w:type="spellStart"/>
            <w:r w:rsidRPr="00174D04">
              <w:rPr>
                <w:rFonts w:ascii="Garamond" w:eastAsia="Times New Roman" w:hAnsi="Garamond" w:cs="Times New Roman"/>
                <w:szCs w:val="20"/>
              </w:rPr>
              <w:t>БР</w:t>
            </w:r>
            <w:proofErr w:type="spellEnd"/>
            <w:r w:rsidRPr="00174D04">
              <w:rPr>
                <w:rFonts w:ascii="Garamond" w:eastAsia="Times New Roman" w:hAnsi="Garamond" w:cs="Times New Roman"/>
                <w:szCs w:val="20"/>
              </w:rPr>
              <w:t>) перед участниками оптового рынка – продавцами, заключившими указанные соглашения на условиях варианта 1 (Оплата векселями) приложения 2 к соглашению.</w:t>
            </w:r>
          </w:p>
          <w:p w:rsidR="00831CF2" w:rsidRPr="00174D04" w:rsidRDefault="00831CF2" w:rsidP="00831CF2">
            <w:pPr>
              <w:spacing w:before="120" w:after="120" w:line="256" w:lineRule="auto"/>
              <w:ind w:firstLine="567"/>
              <w:jc w:val="both"/>
              <w:rPr>
                <w:rFonts w:ascii="Garamond" w:eastAsia="Times New Roman" w:hAnsi="Garamond" w:cs="Times New Roman"/>
                <w:color w:val="000000"/>
                <w:szCs w:val="20"/>
                <w:highlight w:val="yellow"/>
              </w:rPr>
            </w:pPr>
            <w:r w:rsidRPr="00174D04">
              <w:rPr>
                <w:rFonts w:ascii="Garamond" w:eastAsia="Times New Roman" w:hAnsi="Garamond" w:cs="Times New Roman"/>
                <w:color w:val="000000"/>
                <w:szCs w:val="20"/>
                <w:highlight w:val="yellow"/>
              </w:rPr>
              <w:t xml:space="preserve">В случае отсутствия на 18.01.2023 заключенных и принятых к учету ЦФР дополнительных соглашений к соглашениям о порядке исполнения обязательств, фиксирующих на 2023 год долю исполнения текущих обязательств денежными средствами через уполномоченную кредитную организацию, </w:t>
            </w:r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>ЦФР с 21.01.2023 не включает в Сводный реестр платежей, передаваемый в уполномоченную кредитную организацию, обязательства участников оптового рынка – покупателей, заключивших указанные соглашения, за расчетные периоды с 1</w:t>
            </w:r>
            <w:r w:rsidRPr="00174D04">
              <w:rPr>
                <w:rFonts w:ascii="Garamond" w:eastAsia="Times New Roman" w:hAnsi="Garamond" w:cs="Times New Roman"/>
                <w:szCs w:val="20"/>
                <w:highlight w:val="yellow"/>
                <w:lang w:val="en-GB"/>
              </w:rPr>
              <w:t> </w:t>
            </w:r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 xml:space="preserve">января 2023 года (в том числе по договорам </w:t>
            </w:r>
            <w:proofErr w:type="spellStart"/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>РСВ</w:t>
            </w:r>
            <w:proofErr w:type="spellEnd"/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 xml:space="preserve"> и </w:t>
            </w:r>
            <w:proofErr w:type="spellStart"/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>БР</w:t>
            </w:r>
            <w:proofErr w:type="spellEnd"/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>) перед участниками оптового рынка – продавцами, заключившими указанные соглашения на условиях варианта 2 (Оплата денежными средствами с отсрочкой на 13 лет).</w:t>
            </w:r>
          </w:p>
          <w:p w:rsidR="00831CF2" w:rsidRPr="00174D04" w:rsidRDefault="00831CF2" w:rsidP="00831CF2">
            <w:pPr>
              <w:spacing w:before="120" w:after="120" w:line="256" w:lineRule="auto"/>
              <w:ind w:firstLine="567"/>
              <w:jc w:val="both"/>
              <w:rPr>
                <w:rFonts w:ascii="Garamond" w:eastAsia="Times New Roman" w:hAnsi="Garamond" w:cs="Times New Roman"/>
                <w:color w:val="000000"/>
                <w:szCs w:val="20"/>
                <w:highlight w:val="yellow"/>
              </w:rPr>
            </w:pPr>
            <w:r w:rsidRPr="00174D04">
              <w:rPr>
                <w:rFonts w:ascii="Garamond" w:eastAsia="Times New Roman" w:hAnsi="Garamond" w:cs="Times New Roman"/>
                <w:color w:val="000000"/>
                <w:szCs w:val="20"/>
                <w:highlight w:val="yellow"/>
              </w:rPr>
              <w:lastRenderedPageBreak/>
              <w:t xml:space="preserve">ЦФР </w:t>
            </w:r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>включает в Сводный реестр платежей, передаваемый в уполномоченную кредитную организацию, обязательства участников оптового рынка – покупателей, заключивших указанные соглашения, за расчетные периоды с 1</w:t>
            </w:r>
            <w:r w:rsidRPr="00174D04">
              <w:rPr>
                <w:rFonts w:ascii="Garamond" w:eastAsia="Times New Roman" w:hAnsi="Garamond" w:cs="Times New Roman"/>
                <w:szCs w:val="20"/>
                <w:highlight w:val="yellow"/>
                <w:lang w:val="en-GB"/>
              </w:rPr>
              <w:t> </w:t>
            </w:r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 xml:space="preserve">января 2023 года (в том числе по договорам </w:t>
            </w:r>
            <w:proofErr w:type="spellStart"/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>РСВ</w:t>
            </w:r>
            <w:proofErr w:type="spellEnd"/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 xml:space="preserve"> и </w:t>
            </w:r>
            <w:proofErr w:type="spellStart"/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>БР</w:t>
            </w:r>
            <w:proofErr w:type="spellEnd"/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>) перед участниками оптового рынка – продавцами, заключившими указанные соглашения на условиях варианта 2 (Оплата денежными средствами с отсрочкой на 13 лет),</w:t>
            </w:r>
            <w:r w:rsidR="001236B2">
              <w:rPr>
                <w:rFonts w:ascii="Garamond" w:eastAsia="Times New Roman" w:hAnsi="Garamond" w:cs="Times New Roman"/>
                <w:szCs w:val="20"/>
                <w:highlight w:val="yellow"/>
              </w:rPr>
              <w:t xml:space="preserve"> </w:t>
            </w:r>
            <w:r w:rsidRPr="00174D04">
              <w:rPr>
                <w:rFonts w:ascii="Garamond" w:eastAsia="Times New Roman" w:hAnsi="Garamond" w:cs="Times New Roman"/>
                <w:color w:val="000000"/>
                <w:szCs w:val="20"/>
                <w:highlight w:val="yellow"/>
              </w:rPr>
              <w:t>начиная</w:t>
            </w:r>
            <w:r w:rsidR="001236B2">
              <w:rPr>
                <w:rFonts w:ascii="Garamond" w:eastAsia="Times New Roman" w:hAnsi="Garamond" w:cs="Times New Roman"/>
                <w:color w:val="000000"/>
                <w:szCs w:val="20"/>
                <w:highlight w:val="yellow"/>
              </w:rPr>
              <w:t xml:space="preserve"> </w:t>
            </w:r>
            <w:r w:rsidRPr="00174D04">
              <w:rPr>
                <w:rFonts w:ascii="Garamond" w:eastAsia="Times New Roman" w:hAnsi="Garamond" w:cs="Times New Roman"/>
                <w:color w:val="000000"/>
                <w:szCs w:val="20"/>
                <w:highlight w:val="yellow"/>
              </w:rPr>
              <w:t>с даты, следующей за датой учета ЦФР дополнительных соглашений к соглашениям о порядке исполнения обязательств,</w:t>
            </w:r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 xml:space="preserve"> </w:t>
            </w:r>
            <w:r w:rsidRPr="00174D04">
              <w:rPr>
                <w:rFonts w:ascii="Garamond" w:eastAsia="Times New Roman" w:hAnsi="Garamond" w:cs="Times New Roman"/>
                <w:color w:val="000000"/>
                <w:szCs w:val="20"/>
                <w:highlight w:val="yellow"/>
              </w:rPr>
              <w:t xml:space="preserve">фиксирующих долю исполнения обязательств денежными средствами через уполномоченную кредитную организацию на 2023 год. </w:t>
            </w:r>
          </w:p>
          <w:p w:rsidR="00831CF2" w:rsidRPr="00174D04" w:rsidRDefault="00831CF2" w:rsidP="00831CF2">
            <w:pPr>
              <w:spacing w:before="120" w:after="120" w:line="256" w:lineRule="auto"/>
              <w:ind w:firstLine="567"/>
              <w:jc w:val="both"/>
              <w:rPr>
                <w:rFonts w:ascii="Garamond" w:eastAsia="Times New Roman" w:hAnsi="Garamond" w:cs="Times New Roman"/>
                <w:color w:val="000000"/>
                <w:szCs w:val="20"/>
              </w:rPr>
            </w:pPr>
            <w:r w:rsidRPr="00174D04">
              <w:rPr>
                <w:rFonts w:ascii="Garamond" w:eastAsia="Times New Roman" w:hAnsi="Garamond" w:cs="Times New Roman"/>
                <w:color w:val="000000"/>
                <w:szCs w:val="20"/>
                <w:highlight w:val="yellow"/>
              </w:rPr>
              <w:t xml:space="preserve">В случае </w:t>
            </w:r>
            <w:r w:rsidRPr="00174D04">
              <w:rPr>
                <w:rFonts w:ascii="Garamond" w:eastAsia="Times New Roman" w:hAnsi="Garamond" w:cs="Times New Roman"/>
                <w:highlight w:val="yellow"/>
              </w:rPr>
              <w:t xml:space="preserve">отсутствия </w:t>
            </w:r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>на 28.02.2023</w:t>
            </w:r>
            <w:r w:rsidRPr="00174D04">
              <w:rPr>
                <w:rFonts w:ascii="Garamond" w:eastAsia="Times New Roman" w:hAnsi="Garamond" w:cs="Times New Roman"/>
                <w:highlight w:val="yellow"/>
              </w:rPr>
              <w:t xml:space="preserve"> заключенных и принятых к учету вышеуказанных дополнительных соглашений</w:t>
            </w:r>
            <w:r w:rsidRPr="00174D04">
              <w:rPr>
                <w:rFonts w:ascii="Garamond" w:eastAsia="Times New Roman" w:hAnsi="Garamond" w:cs="Times New Roman"/>
                <w:color w:val="000000"/>
                <w:szCs w:val="20"/>
                <w:highlight w:val="yellow"/>
              </w:rPr>
              <w:t xml:space="preserve"> к соглашениям о порядке исполнения обязательств</w:t>
            </w:r>
            <w:r w:rsidRPr="00174D04">
              <w:rPr>
                <w:rFonts w:ascii="Garamond" w:eastAsia="Times New Roman" w:hAnsi="Garamond" w:cs="Times New Roman"/>
                <w:highlight w:val="yellow"/>
              </w:rPr>
              <w:t xml:space="preserve"> </w:t>
            </w:r>
            <w:r w:rsidRPr="00174D04">
              <w:rPr>
                <w:rFonts w:ascii="Garamond" w:eastAsia="Times New Roman" w:hAnsi="Garamond" w:cs="Times New Roman"/>
                <w:color w:val="000000"/>
                <w:szCs w:val="20"/>
                <w:highlight w:val="yellow"/>
              </w:rPr>
              <w:t xml:space="preserve">ЦФР </w:t>
            </w:r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>включает в Сводный реестр платежей, передаваемый в уполномоченную кредитную организацию, обязательства участников оптового рынка – покупателей, заключивших указанные соглашения, за расчетные периоды с 1</w:t>
            </w:r>
            <w:r w:rsidRPr="00174D04">
              <w:rPr>
                <w:rFonts w:ascii="Garamond" w:eastAsia="Times New Roman" w:hAnsi="Garamond" w:cs="Times New Roman"/>
                <w:szCs w:val="20"/>
                <w:highlight w:val="yellow"/>
                <w:lang w:val="en-GB"/>
              </w:rPr>
              <w:t> </w:t>
            </w:r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 xml:space="preserve">января 2023 года (в том числе по договорам </w:t>
            </w:r>
            <w:proofErr w:type="spellStart"/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>РСВ</w:t>
            </w:r>
            <w:proofErr w:type="spellEnd"/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 xml:space="preserve"> и </w:t>
            </w:r>
            <w:proofErr w:type="spellStart"/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>БР</w:t>
            </w:r>
            <w:proofErr w:type="spellEnd"/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>) перед участниками оптового рынка – продавцами, заключившими соглашения</w:t>
            </w:r>
            <w:r w:rsidRPr="00174D04">
              <w:rPr>
                <w:rFonts w:ascii="Garamond" w:eastAsia="Times New Roman" w:hAnsi="Garamond" w:cs="Times New Roman"/>
                <w:color w:val="000000"/>
                <w:szCs w:val="20"/>
                <w:highlight w:val="yellow"/>
              </w:rPr>
              <w:t xml:space="preserve"> о порядке исполнения обязательств</w:t>
            </w:r>
            <w:r w:rsidRPr="00174D04">
              <w:rPr>
                <w:rFonts w:ascii="Garamond" w:eastAsia="Times New Roman" w:hAnsi="Garamond" w:cs="Times New Roman"/>
                <w:szCs w:val="20"/>
                <w:highlight w:val="yellow"/>
              </w:rPr>
              <w:t xml:space="preserve">, с даты и в порядке, устанавливаемые </w:t>
            </w:r>
            <w:r w:rsidRPr="00174D04">
              <w:rPr>
                <w:rFonts w:ascii="Garamond" w:eastAsia="Times New Roman" w:hAnsi="Garamond" w:cs="Times New Roman"/>
                <w:highlight w:val="yellow"/>
              </w:rPr>
              <w:t>Наблюдательным советом Совета рынка.</w:t>
            </w:r>
          </w:p>
        </w:tc>
      </w:tr>
      <w:tr w:rsidR="00831CF2" w:rsidRPr="00174D04" w:rsidTr="00174D04">
        <w:trPr>
          <w:trHeight w:val="64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31CF2" w:rsidRPr="00174D04" w:rsidRDefault="00831CF2" w:rsidP="00831CF2">
            <w:pPr>
              <w:spacing w:after="0" w:line="240" w:lineRule="auto"/>
              <w:jc w:val="center"/>
              <w:rPr>
                <w:rFonts w:ascii="Garamond" w:eastAsia="Calibri" w:hAnsi="Garamond" w:cs="Garamond"/>
                <w:b/>
                <w:bCs/>
              </w:rPr>
            </w:pPr>
            <w:r w:rsidRPr="00174D04">
              <w:rPr>
                <w:rFonts w:ascii="Garamond" w:eastAsia="Calibri" w:hAnsi="Garamond" w:cs="Calibri"/>
                <w:b/>
                <w:color w:val="000000"/>
              </w:rPr>
              <w:lastRenderedPageBreak/>
              <w:t>18</w:t>
            </w:r>
            <w:r w:rsidRPr="00174D04">
              <w:rPr>
                <w:rFonts w:ascii="Garamond" w:eastAsia="Calibri" w:hAnsi="Garamond" w:cs="Calibri"/>
                <w:b/>
              </w:rPr>
              <w:t>´</w:t>
            </w:r>
            <w:r w:rsidRPr="00174D04">
              <w:rPr>
                <w:rFonts w:ascii="Garamond" w:eastAsia="Calibri" w:hAnsi="Garamond" w:cs="Calibri"/>
                <w:b/>
                <w:color w:val="000000"/>
              </w:rPr>
              <w:t>.25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F2" w:rsidRPr="00174D04" w:rsidRDefault="00831CF2" w:rsidP="00831CF2">
            <w:pPr>
              <w:spacing w:before="120" w:after="120" w:line="256" w:lineRule="auto"/>
              <w:ind w:firstLine="567"/>
              <w:jc w:val="both"/>
              <w:rPr>
                <w:rFonts w:ascii="Garamond" w:eastAsia="Times New Roman" w:hAnsi="Garamond" w:cs="Calibri"/>
              </w:rPr>
            </w:pPr>
            <w:r w:rsidRPr="00174D04">
              <w:rPr>
                <w:rFonts w:ascii="Garamond" w:eastAsia="Calibri" w:hAnsi="Garamond" w:cs="Calibri"/>
                <w:color w:val="000000"/>
              </w:rPr>
              <w:t>18</w:t>
            </w:r>
            <w:r w:rsidRPr="00174D04">
              <w:rPr>
                <w:rFonts w:ascii="Garamond" w:eastAsia="Calibri" w:hAnsi="Garamond" w:cs="Calibri"/>
              </w:rPr>
              <w:t>´</w:t>
            </w:r>
            <w:r w:rsidRPr="00174D04">
              <w:rPr>
                <w:rFonts w:ascii="Garamond" w:eastAsia="Calibri" w:hAnsi="Garamond" w:cs="Calibri"/>
                <w:color w:val="000000"/>
              </w:rPr>
              <w:t xml:space="preserve">.25. </w:t>
            </w:r>
            <w:r w:rsidRPr="00174D04">
              <w:rPr>
                <w:rFonts w:ascii="Garamond" w:eastAsia="Calibri" w:hAnsi="Garamond" w:cs="Calibri"/>
              </w:rPr>
              <w:t>ЦФР учитывает прекращение обязательств, оплата которых предусмотрена заключенными соглашениями о порядке исполнения обязательств вне уполномоченной кредитной организации, при условии предоставления соответствующих документов в порядке и сроки, установленные разделом 19 настоящего Регламента</w:t>
            </w:r>
            <w:r w:rsidRPr="00174D04">
              <w:rPr>
                <w:rFonts w:ascii="Garamond" w:eastAsia="Calibri" w:hAnsi="Garamond" w:cs="Calibri"/>
                <w:highlight w:val="yellow"/>
              </w:rPr>
              <w:t>.</w:t>
            </w:r>
          </w:p>
          <w:p w:rsidR="00831CF2" w:rsidRPr="00174D04" w:rsidRDefault="00831CF2" w:rsidP="00831CF2">
            <w:pPr>
              <w:spacing w:before="120" w:after="120" w:line="256" w:lineRule="auto"/>
              <w:ind w:firstLine="567"/>
              <w:contextualSpacing/>
              <w:jc w:val="both"/>
              <w:rPr>
                <w:rFonts w:ascii="Garamond" w:eastAsia="Times New Roman" w:hAnsi="Garamond" w:cs="Times New Roman"/>
                <w:color w:val="000000"/>
                <w:szCs w:val="20"/>
              </w:rPr>
            </w:pPr>
            <w:r w:rsidRPr="00174D04">
              <w:rPr>
                <w:rFonts w:ascii="Garamond" w:eastAsia="Times New Roman" w:hAnsi="Garamond" w:cs="Calibri"/>
              </w:rPr>
              <w:t>При этом предусмотренная соглашениями о порядке исполнения обязательств возможность исполнения обязательств третьим лицом через уполномоченную кредитную организацию не применяется в отношении обязательств, исполнение которых в соответствии с этими соглашениями осуществляется банковскими векселями или облигациями, выпущенными банком.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F2" w:rsidRPr="00174D04" w:rsidRDefault="00831CF2" w:rsidP="00831CF2">
            <w:pPr>
              <w:spacing w:before="120" w:after="120" w:line="256" w:lineRule="auto"/>
              <w:ind w:firstLine="567"/>
              <w:jc w:val="both"/>
              <w:rPr>
                <w:rFonts w:ascii="Garamond" w:eastAsia="Times New Roman" w:hAnsi="Garamond" w:cs="Calibri"/>
              </w:rPr>
            </w:pPr>
            <w:r w:rsidRPr="00174D04">
              <w:rPr>
                <w:rFonts w:ascii="Garamond" w:eastAsia="Calibri" w:hAnsi="Garamond" w:cs="Calibri"/>
                <w:color w:val="000000"/>
              </w:rPr>
              <w:t>18</w:t>
            </w:r>
            <w:r w:rsidRPr="00174D04">
              <w:rPr>
                <w:rFonts w:ascii="Garamond" w:eastAsia="Calibri" w:hAnsi="Garamond" w:cs="Calibri"/>
              </w:rPr>
              <w:t>´</w:t>
            </w:r>
            <w:r w:rsidRPr="00174D04">
              <w:rPr>
                <w:rFonts w:ascii="Garamond" w:eastAsia="Calibri" w:hAnsi="Garamond" w:cs="Calibri"/>
                <w:color w:val="000000"/>
              </w:rPr>
              <w:t xml:space="preserve">.25. </w:t>
            </w:r>
            <w:r w:rsidRPr="00174D04">
              <w:rPr>
                <w:rFonts w:ascii="Garamond" w:eastAsia="Calibri" w:hAnsi="Garamond" w:cs="Calibri"/>
              </w:rPr>
              <w:t>ЦФР учитывает прекращение обязательств, оплата которых предусмотрена заключенными соглашениями о порядке исполнения обязательств вне уполномоченной кредитной организации, при условии предоставления соответствующих документов в порядке и сроки, установленные разделом 19 настоящего Регламента</w:t>
            </w:r>
            <w:r w:rsidRPr="00174D04">
              <w:rPr>
                <w:rFonts w:ascii="Garamond" w:eastAsia="Calibri" w:hAnsi="Garamond" w:cs="Calibri"/>
                <w:highlight w:val="yellow"/>
              </w:rPr>
              <w:t>,</w:t>
            </w:r>
            <w:r w:rsidRPr="00174D04">
              <w:rPr>
                <w:rFonts w:ascii="Garamond" w:eastAsia="Calibri" w:hAnsi="Garamond" w:cs="Calibri"/>
              </w:rPr>
              <w:t xml:space="preserve"> </w:t>
            </w:r>
            <w:r w:rsidRPr="00174D04">
              <w:rPr>
                <w:rFonts w:ascii="Garamond" w:eastAsia="Calibri" w:hAnsi="Garamond" w:cs="Calibri"/>
                <w:highlight w:val="yellow"/>
              </w:rPr>
              <w:t>с учетом следующих особенностей.</w:t>
            </w:r>
          </w:p>
          <w:p w:rsidR="00831CF2" w:rsidRPr="00174D04" w:rsidRDefault="00831CF2" w:rsidP="00831CF2">
            <w:pPr>
              <w:spacing w:before="120" w:after="120" w:line="256" w:lineRule="auto"/>
              <w:ind w:firstLine="567"/>
              <w:jc w:val="both"/>
              <w:rPr>
                <w:rFonts w:ascii="Garamond" w:eastAsia="Calibri" w:hAnsi="Garamond" w:cs="Calibri"/>
              </w:rPr>
            </w:pPr>
            <w:r w:rsidRPr="00174D04">
              <w:rPr>
                <w:rFonts w:ascii="Garamond" w:eastAsia="Times New Roman" w:hAnsi="Garamond" w:cs="Calibri"/>
                <w:color w:val="000000"/>
                <w:highlight w:val="yellow"/>
              </w:rPr>
              <w:t xml:space="preserve">До даты принятия к учету дополнительных соглашений к соглашениям о порядке исполнения обязательств, фиксирующих на 2023 год соотношение цены покупаемого векселя к его номиналу, ЦФР не учитывает прекращение обязательств по оплате участников оптового рынка – покупателей, заключивших указанные соглашения, за расчетные периоды с 1 января 2023 года (в том числе по договорам </w:t>
            </w:r>
            <w:proofErr w:type="spellStart"/>
            <w:r w:rsidRPr="00174D04">
              <w:rPr>
                <w:rFonts w:ascii="Garamond" w:eastAsia="Times New Roman" w:hAnsi="Garamond" w:cs="Calibri"/>
                <w:color w:val="000000"/>
                <w:highlight w:val="yellow"/>
              </w:rPr>
              <w:t>РСВ</w:t>
            </w:r>
            <w:proofErr w:type="spellEnd"/>
            <w:r w:rsidRPr="00174D04">
              <w:rPr>
                <w:rFonts w:ascii="Garamond" w:eastAsia="Times New Roman" w:hAnsi="Garamond" w:cs="Calibri"/>
                <w:color w:val="000000"/>
                <w:highlight w:val="yellow"/>
              </w:rPr>
              <w:t xml:space="preserve"> и </w:t>
            </w:r>
            <w:proofErr w:type="spellStart"/>
            <w:r w:rsidRPr="00174D04">
              <w:rPr>
                <w:rFonts w:ascii="Garamond" w:eastAsia="Times New Roman" w:hAnsi="Garamond" w:cs="Calibri"/>
                <w:color w:val="000000"/>
                <w:highlight w:val="yellow"/>
              </w:rPr>
              <w:t>БР</w:t>
            </w:r>
            <w:proofErr w:type="spellEnd"/>
            <w:r w:rsidRPr="00174D04">
              <w:rPr>
                <w:rFonts w:ascii="Garamond" w:eastAsia="Times New Roman" w:hAnsi="Garamond" w:cs="Calibri"/>
                <w:color w:val="000000"/>
                <w:highlight w:val="yellow"/>
              </w:rPr>
              <w:t>) перед участниками оптового рынка – продавцами, заключившими указанные соглашения, исполненных</w:t>
            </w:r>
            <w:r w:rsidRPr="00174D04">
              <w:rPr>
                <w:rFonts w:ascii="Garamond" w:eastAsia="Calibri" w:hAnsi="Garamond" w:cs="Calibri"/>
                <w:color w:val="000000"/>
                <w:highlight w:val="yellow"/>
              </w:rPr>
              <w:t xml:space="preserve"> </w:t>
            </w:r>
            <w:r w:rsidRPr="00174D04">
              <w:rPr>
                <w:rFonts w:ascii="Garamond" w:eastAsia="Times New Roman" w:hAnsi="Garamond" w:cs="Calibri"/>
                <w:color w:val="000000"/>
                <w:highlight w:val="yellow"/>
              </w:rPr>
              <w:t>без использования торговых счетов участников оптового рынка в уполномоченной кредитной организации</w:t>
            </w:r>
            <w:r w:rsidRPr="00174D04">
              <w:rPr>
                <w:rFonts w:ascii="Garamond" w:eastAsia="Times New Roman" w:hAnsi="Garamond" w:cs="Calibri"/>
                <w:color w:val="000000"/>
                <w:szCs w:val="20"/>
                <w:highlight w:val="yellow"/>
              </w:rPr>
              <w:t>.</w:t>
            </w:r>
            <w:r w:rsidRPr="00174D04">
              <w:rPr>
                <w:rFonts w:ascii="Garamond" w:eastAsia="Times New Roman" w:hAnsi="Garamond" w:cs="Calibri"/>
                <w:szCs w:val="20"/>
              </w:rPr>
              <w:t xml:space="preserve"> </w:t>
            </w:r>
          </w:p>
          <w:p w:rsidR="00831CF2" w:rsidRPr="00174D04" w:rsidRDefault="00831CF2" w:rsidP="00831CF2">
            <w:pPr>
              <w:spacing w:before="120" w:after="120" w:line="256" w:lineRule="auto"/>
              <w:ind w:firstLine="567"/>
              <w:contextualSpacing/>
              <w:jc w:val="both"/>
              <w:rPr>
                <w:rFonts w:ascii="Garamond" w:eastAsia="Times New Roman" w:hAnsi="Garamond" w:cs="Times New Roman"/>
                <w:color w:val="000000"/>
                <w:szCs w:val="20"/>
              </w:rPr>
            </w:pPr>
            <w:r w:rsidRPr="00174D04">
              <w:rPr>
                <w:rFonts w:ascii="Garamond" w:eastAsia="Times New Roman" w:hAnsi="Garamond" w:cs="Calibri"/>
              </w:rPr>
              <w:lastRenderedPageBreak/>
              <w:t>При этом предусмотренная соглашениями о порядке исполнения обязательств возможность исполнения обязательств третьим лицом через уполномоченную кредитную организацию не применяется в отношении обязательств, исполнение которых в соответствии с этими соглашениями осуществляется банковскими векселями или облигациями, выпущенными банком.</w:t>
            </w:r>
          </w:p>
        </w:tc>
      </w:tr>
    </w:tbl>
    <w:p w:rsidR="006A4266" w:rsidRDefault="006A4266"/>
    <w:sectPr w:rsidR="006A4266" w:rsidSect="00174D04">
      <w:pgSz w:w="16838" w:h="11906" w:orient="landscape"/>
      <w:pgMar w:top="1276" w:right="1134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F2"/>
    <w:rsid w:val="00046ECA"/>
    <w:rsid w:val="001236B2"/>
    <w:rsid w:val="00174D04"/>
    <w:rsid w:val="00231461"/>
    <w:rsid w:val="006A4266"/>
    <w:rsid w:val="0071040E"/>
    <w:rsid w:val="00831CF2"/>
    <w:rsid w:val="00C1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18DA"/>
  <w15:chartTrackingRefBased/>
  <w15:docId w15:val="{0CFC9584-4ABB-49E3-B602-C58739F4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Булихова Лидия Николаевна</dc:creator>
  <cp:keywords/>
  <dc:description/>
  <cp:lastModifiedBy>Пряхина Ирина Игоревна</cp:lastModifiedBy>
  <cp:revision>8</cp:revision>
  <dcterms:created xsi:type="dcterms:W3CDTF">2022-12-14T14:12:00Z</dcterms:created>
  <dcterms:modified xsi:type="dcterms:W3CDTF">2022-12-19T12:29:00Z</dcterms:modified>
</cp:coreProperties>
</file>