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92" w:rsidRPr="00AB1FDE" w:rsidRDefault="00E50C79">
      <w:pPr>
        <w:spacing w:after="0" w:line="240" w:lineRule="auto"/>
        <w:ind w:right="-1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en-US"/>
        </w:rPr>
        <w:t>V</w:t>
      </w:r>
      <w:r w:rsidRPr="00AB1FDE">
        <w:rPr>
          <w:rFonts w:ascii="Garamond" w:hAnsi="Garamond" w:cs="Arial"/>
          <w:b/>
          <w:sz w:val="28"/>
          <w:szCs w:val="28"/>
        </w:rPr>
        <w:t>.5</w:t>
      </w:r>
      <w:r w:rsidR="00AB1FDE">
        <w:rPr>
          <w:rFonts w:ascii="Garamond" w:hAnsi="Garamond" w:cs="Arial"/>
          <w:b/>
          <w:sz w:val="28"/>
          <w:szCs w:val="28"/>
        </w:rPr>
        <w:t>.</w:t>
      </w:r>
      <w:r w:rsidRPr="00AB1FDE">
        <w:rPr>
          <w:rFonts w:ascii="Garamond" w:hAnsi="Garamond" w:cs="Arial"/>
          <w:b/>
          <w:sz w:val="28"/>
          <w:szCs w:val="28"/>
        </w:rPr>
        <w:t xml:space="preserve"> </w:t>
      </w:r>
      <w:r w:rsidR="006E3FF8" w:rsidRPr="00AB1FDE">
        <w:rPr>
          <w:rFonts w:ascii="Garamond" w:hAnsi="Garamond" w:cs="Arial"/>
          <w:b/>
          <w:sz w:val="28"/>
          <w:szCs w:val="28"/>
        </w:rPr>
        <w:t>Изменения, связанные с внесением обеспечительного платежа на счет АО «ЦФР» третьим лицом</w:t>
      </w:r>
    </w:p>
    <w:p w:rsidR="00E11092" w:rsidRDefault="00E11092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</w:p>
    <w:p w:rsidR="00E11092" w:rsidRDefault="00E50C79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Приложение № 5.5</w:t>
      </w:r>
    </w:p>
    <w:p w:rsidR="00E11092" w:rsidRDefault="00E11092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</w:p>
    <w:p w:rsidR="00E11092" w:rsidRDefault="00E50C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>АО «</w:t>
      </w:r>
      <w:proofErr w:type="spellStart"/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>Антипинский</w:t>
      </w:r>
      <w:proofErr w:type="spellEnd"/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 НПЗ»</w:t>
      </w:r>
      <w:r w:rsidR="00AB1FDE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:rsidR="00E11092" w:rsidRDefault="00E50C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Обоснование:</w:t>
      </w:r>
      <w:r>
        <w:rPr>
          <w:rFonts w:ascii="Garamond" w:hAnsi="Garamond"/>
          <w:sz w:val="24"/>
          <w:szCs w:val="24"/>
        </w:rPr>
        <w:t xml:space="preserve"> </w:t>
      </w:r>
      <w:r w:rsidR="00AB1FDE">
        <w:rPr>
          <w:rFonts w:ascii="Garamond" w:hAnsi="Garamond"/>
          <w:sz w:val="24"/>
          <w:szCs w:val="24"/>
        </w:rPr>
        <w:t>н</w:t>
      </w:r>
      <w:r>
        <w:rPr>
          <w:rFonts w:ascii="Garamond" w:hAnsi="Garamond"/>
          <w:sz w:val="24"/>
          <w:szCs w:val="24"/>
        </w:rPr>
        <w:t>еобходимо установить, что внесение обеспечительного платежа на счет ЦФР может осуществляться третьим лицом в соответствии со ст. 313.1 ГК РФ.</w:t>
      </w:r>
    </w:p>
    <w:p w:rsidR="00E11092" w:rsidRDefault="00E50C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Pr="00816393">
        <w:rPr>
          <w:rFonts w:ascii="Garamond" w:eastAsia="Times New Roman" w:hAnsi="Garamond" w:cs="Garamond"/>
          <w:bCs/>
          <w:sz w:val="24"/>
          <w:szCs w:val="24"/>
          <w:lang w:eastAsia="ru-RU"/>
        </w:rPr>
        <w:t>1 сентября</w:t>
      </w:r>
      <w:r w:rsidR="006E3FF8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 2019 года</w:t>
      </w:r>
      <w:r w:rsidR="00AB1FDE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:rsidR="00E11092" w:rsidRDefault="00E11092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:rsidR="00E11092" w:rsidRDefault="00E50C79">
      <w:pPr>
        <w:pStyle w:val="ac"/>
        <w:spacing w:befor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Предложения по изменениям и дополнениям в </w:t>
      </w:r>
      <w:r w:rsidR="00AB1FDE">
        <w:rPr>
          <w:sz w:val="26"/>
          <w:szCs w:val="26"/>
        </w:rPr>
        <w:t xml:space="preserve">ПОЛОЖЕНИЕ О ПОРЯДКЕ ПРЕДОСТАВЛЕНИЯ ФИНАНСОВЫХ ГАРАНТИЙ НА ОПТОВОМ РЫНКЕ </w:t>
      </w:r>
      <w:r>
        <w:rPr>
          <w:sz w:val="26"/>
          <w:szCs w:val="26"/>
        </w:rPr>
        <w:t xml:space="preserve">(Приложение № 26 к Договору о присоединении к торговой системе оптового рынка) </w:t>
      </w:r>
    </w:p>
    <w:p w:rsidR="00AB1FDE" w:rsidRDefault="00AB1FDE">
      <w:pPr>
        <w:pStyle w:val="ac"/>
        <w:spacing w:before="0"/>
        <w:jc w:val="left"/>
        <w:rPr>
          <w:rFonts w:cs="Arial"/>
          <w:b w:val="0"/>
          <w:sz w:val="26"/>
          <w:szCs w:val="26"/>
        </w:rPr>
      </w:pPr>
    </w:p>
    <w:tbl>
      <w:tblPr>
        <w:tblW w:w="523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6754"/>
        <w:gridCol w:w="7657"/>
      </w:tblGrid>
      <w:tr w:rsidR="00E11092" w:rsidRPr="00F16F27" w:rsidTr="00F16F27">
        <w:trPr>
          <w:trHeight w:val="435"/>
        </w:trPr>
        <w:tc>
          <w:tcPr>
            <w:tcW w:w="274" w:type="pct"/>
            <w:tcMar>
              <w:left w:w="57" w:type="dxa"/>
              <w:right w:w="57" w:type="dxa"/>
            </w:tcMar>
            <w:vAlign w:val="center"/>
          </w:tcPr>
          <w:p w:rsidR="00E11092" w:rsidRPr="00F16F27" w:rsidRDefault="00E50C7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E11092" w:rsidRPr="00F16F27" w:rsidRDefault="00E50C7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215" w:type="pct"/>
            <w:vAlign w:val="center"/>
          </w:tcPr>
          <w:p w:rsidR="00E11092" w:rsidRPr="00F16F27" w:rsidRDefault="00E50C7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E11092" w:rsidRPr="00F16F27" w:rsidRDefault="00E50C7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511" w:type="pct"/>
            <w:vAlign w:val="center"/>
          </w:tcPr>
          <w:p w:rsidR="00E11092" w:rsidRPr="00F16F27" w:rsidRDefault="00E50C7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E11092" w:rsidRPr="00F16F27" w:rsidRDefault="00E50C7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E11092" w:rsidRPr="00F16F27" w:rsidTr="00F16F27">
        <w:trPr>
          <w:trHeight w:val="435"/>
        </w:trPr>
        <w:tc>
          <w:tcPr>
            <w:tcW w:w="274" w:type="pct"/>
            <w:tcMar>
              <w:left w:w="57" w:type="dxa"/>
              <w:right w:w="57" w:type="dxa"/>
            </w:tcMar>
            <w:vAlign w:val="center"/>
          </w:tcPr>
          <w:p w:rsidR="00E11092" w:rsidRPr="00F16F27" w:rsidRDefault="00E50C7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b/>
                <w:bCs/>
                <w:lang w:eastAsia="ru-RU"/>
              </w:rPr>
              <w:t>2.1</w:t>
            </w:r>
          </w:p>
        </w:tc>
        <w:tc>
          <w:tcPr>
            <w:tcW w:w="2215" w:type="pct"/>
          </w:tcPr>
          <w:p w:rsidR="00E11092" w:rsidRPr="00F16F27" w:rsidRDefault="00E50C79">
            <w:pPr>
              <w:spacing w:before="120" w:after="120"/>
              <w:ind w:firstLine="601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lang w:eastAsia="ru-RU"/>
              </w:rPr>
              <w:t>В качестве способа обеспечения исполнения обязательств по оплате электрической энергии</w:t>
            </w:r>
            <w:r w:rsidR="00AB1FDE" w:rsidRPr="00F16F27">
              <w:rPr>
                <w:rFonts w:ascii="Garamond" w:eastAsia="Times New Roman" w:hAnsi="Garamond" w:cs="Garamond"/>
                <w:lang w:eastAsia="ru-RU"/>
              </w:rPr>
              <w:t xml:space="preserve"> </w:t>
            </w:r>
            <w:r w:rsidRPr="00F16F27">
              <w:rPr>
                <w:rFonts w:ascii="Garamond" w:eastAsia="Times New Roman" w:hAnsi="Garamond" w:cs="Garamond"/>
                <w:lang w:eastAsia="ru-RU"/>
              </w:rPr>
              <w:t>покупателем на оптовом рынке в размере месячного прогнозного объема обязательств покупателя по каждому договору, указанному в п. 1.3 настоящего Положения, предусматривается использование:</w:t>
            </w:r>
          </w:p>
          <w:p w:rsidR="00E11092" w:rsidRPr="00F16F27" w:rsidRDefault="00E50C79">
            <w:pPr>
              <w:spacing w:before="120" w:after="120"/>
              <w:ind w:firstLine="601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lang w:eastAsia="ru-RU"/>
              </w:rPr>
              <w:t>− банковской гарантии, выданной гарантом в соответствии с требованиями настоящего Положения;</w:t>
            </w:r>
          </w:p>
          <w:p w:rsidR="00E11092" w:rsidRPr="00F16F27" w:rsidRDefault="00E50C79">
            <w:pPr>
              <w:spacing w:before="120" w:after="120"/>
              <w:ind w:firstLine="601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lang w:eastAsia="ru-RU"/>
              </w:rPr>
              <w:t>− поручительства поставщиков, оформленного в соответствии с требованием настоящего Положения;</w:t>
            </w:r>
          </w:p>
          <w:p w:rsidR="00E11092" w:rsidRPr="00F16F27" w:rsidRDefault="00E50C79">
            <w:pPr>
              <w:spacing w:before="120" w:after="120"/>
              <w:ind w:firstLine="601"/>
              <w:jc w:val="both"/>
              <w:rPr>
                <w:rFonts w:ascii="Garamond" w:hAnsi="Garamond" w:cs="Garamond"/>
                <w:b/>
                <w:bCs/>
              </w:rPr>
            </w:pPr>
            <w:r w:rsidRPr="00F16F27">
              <w:rPr>
                <w:rFonts w:ascii="Garamond" w:eastAsia="Times New Roman" w:hAnsi="Garamond" w:cs="Garamond"/>
                <w:lang w:eastAsia="ru-RU"/>
              </w:rPr>
              <w:t>− обеспечительного платежа (в соответствии со ст. 381.1 ГК РФ), внесенного на счет ЦФР в соответствии с требованием настоящего Положения.</w:t>
            </w:r>
            <w:r w:rsidRPr="00F16F27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</w:p>
        </w:tc>
        <w:tc>
          <w:tcPr>
            <w:tcW w:w="2511" w:type="pct"/>
            <w:vAlign w:val="center"/>
          </w:tcPr>
          <w:p w:rsidR="00E11092" w:rsidRPr="00F16F27" w:rsidRDefault="00E50C79">
            <w:pPr>
              <w:spacing w:before="120" w:after="120"/>
              <w:ind w:firstLine="601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lang w:eastAsia="ru-RU"/>
              </w:rPr>
              <w:t>В качестве способа обеспечения исполнения обязательств по оплате электрической энергии</w:t>
            </w:r>
            <w:r w:rsidR="00AB1FDE" w:rsidRPr="00F16F27">
              <w:rPr>
                <w:rFonts w:ascii="Garamond" w:eastAsia="Times New Roman" w:hAnsi="Garamond" w:cs="Garamond"/>
                <w:lang w:eastAsia="ru-RU"/>
              </w:rPr>
              <w:t xml:space="preserve"> </w:t>
            </w:r>
            <w:r w:rsidRPr="00F16F27">
              <w:rPr>
                <w:rFonts w:ascii="Garamond" w:eastAsia="Times New Roman" w:hAnsi="Garamond" w:cs="Garamond"/>
                <w:lang w:eastAsia="ru-RU"/>
              </w:rPr>
              <w:t>покупателем на оптовом рынке в размере месячного прогнозного объема обязательств покупателя по каждому договору, указанному в п. 1.3 настоящего Положения, предусматривается использование:</w:t>
            </w:r>
          </w:p>
          <w:p w:rsidR="00E11092" w:rsidRPr="00F16F27" w:rsidRDefault="00E50C79">
            <w:pPr>
              <w:spacing w:before="120" w:after="120"/>
              <w:ind w:firstLine="601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lang w:eastAsia="ru-RU"/>
              </w:rPr>
              <w:t>− банковской гарантии, выданной гарантом в соответствии с требованиями настоящего Положения;</w:t>
            </w:r>
          </w:p>
          <w:p w:rsidR="00E11092" w:rsidRPr="00F16F27" w:rsidRDefault="00E50C79">
            <w:pPr>
              <w:spacing w:before="120" w:after="120"/>
              <w:ind w:firstLine="601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lang w:eastAsia="ru-RU"/>
              </w:rPr>
              <w:t>− поручительства поставщиков, оформленного в соответствии с требованием настоящего Положения;</w:t>
            </w:r>
          </w:p>
          <w:p w:rsidR="00E11092" w:rsidRPr="00F16F27" w:rsidRDefault="00E50C79" w:rsidP="008631C3">
            <w:pPr>
              <w:spacing w:before="120" w:after="120"/>
              <w:ind w:firstLine="601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lang w:eastAsia="ru-RU"/>
              </w:rPr>
              <w:t xml:space="preserve">− обеспечительного платежа (в соответствии со ст. 381.1 ГК РФ), внесенного на счет ЦФР, </w:t>
            </w:r>
            <w:r w:rsidRPr="00F16F27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исполнение обязательства по внесению обеспечительного платежа на счет ЦФР может быть возложено на третье лицо (в соответствии со ст. 313.1 ГК РФ), являющееся юридическим лицом </w:t>
            </w:r>
            <w:r w:rsidR="00816393" w:rsidRPr="00F16F27">
              <w:rPr>
                <w:rFonts w:ascii="Garamond" w:eastAsia="Times New Roman" w:hAnsi="Garamond" w:cs="Garamond"/>
                <w:highlight w:val="yellow"/>
                <w:lang w:eastAsia="ru-RU"/>
              </w:rPr>
              <w:t>–</w:t>
            </w:r>
            <w:r w:rsidRPr="00F16F27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</w:t>
            </w:r>
            <w:r w:rsidR="00816393" w:rsidRPr="00F16F27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налоговым </w:t>
            </w:r>
            <w:r w:rsidRPr="00F16F27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резидентом Российской Федерации, </w:t>
            </w:r>
            <w:r w:rsidRPr="00F16F27">
              <w:rPr>
                <w:rFonts w:ascii="Garamond" w:eastAsia="Times New Roman" w:hAnsi="Garamond" w:cs="Garamond"/>
                <w:lang w:eastAsia="ru-RU"/>
              </w:rPr>
              <w:t>в соответствии с требованием настоящего Положения.</w:t>
            </w:r>
          </w:p>
        </w:tc>
      </w:tr>
      <w:tr w:rsidR="00E11092" w:rsidRPr="00F16F27" w:rsidTr="00F16F27">
        <w:trPr>
          <w:trHeight w:val="435"/>
        </w:trPr>
        <w:tc>
          <w:tcPr>
            <w:tcW w:w="274" w:type="pct"/>
            <w:tcMar>
              <w:left w:w="57" w:type="dxa"/>
              <w:right w:w="57" w:type="dxa"/>
            </w:tcMar>
            <w:vAlign w:val="center"/>
          </w:tcPr>
          <w:p w:rsidR="00E11092" w:rsidRPr="00F16F27" w:rsidRDefault="00E50C7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2.5.1</w:t>
            </w:r>
          </w:p>
        </w:tc>
        <w:tc>
          <w:tcPr>
            <w:tcW w:w="2215" w:type="pct"/>
          </w:tcPr>
          <w:p w:rsidR="00E11092" w:rsidRPr="00F16F27" w:rsidRDefault="00E50C79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/>
                <w:color w:val="000000"/>
              </w:rPr>
            </w:pPr>
            <w:r w:rsidRPr="00F16F27">
              <w:rPr>
                <w:rFonts w:ascii="Garamond" w:eastAsia="Times New Roman" w:hAnsi="Garamond"/>
                <w:color w:val="000000"/>
              </w:rPr>
              <w:t>2.5.1 Покупатель имеет право в качестве обеспечения исполнения своих обязательств по оплате электрической энергии предоставить ЦФР обеспечительный платеж в размере, определенном в соответствии с п. 2.2 настоящего Положения, в отношении договора, указанного в п. 1.3 настоящего Положения.</w:t>
            </w:r>
          </w:p>
          <w:p w:rsidR="00E11092" w:rsidRPr="00F16F27" w:rsidRDefault="00E50C79">
            <w:pPr>
              <w:spacing w:before="120" w:after="120" w:line="240" w:lineRule="auto"/>
              <w:ind w:firstLine="600"/>
              <w:jc w:val="both"/>
              <w:outlineLvl w:val="3"/>
              <w:rPr>
                <w:rFonts w:ascii="Garamond" w:eastAsia="Times New Roman" w:hAnsi="Garamond"/>
                <w:color w:val="000000"/>
              </w:rPr>
            </w:pPr>
            <w:r w:rsidRPr="00F16F27">
              <w:rPr>
                <w:rFonts w:ascii="Garamond" w:eastAsia="Times New Roman" w:hAnsi="Garamond"/>
                <w:color w:val="000000"/>
              </w:rPr>
              <w:t>Покупатель, в отношении которого возбуждено дело о банкротстве и введена процедура конкурсного производства, не имеет права в качестве финансовой гарантии предоставлять обеспечительный платеж в соответствии с настоящим Положением.</w:t>
            </w:r>
          </w:p>
          <w:p w:rsidR="00E11092" w:rsidRPr="00F16F27" w:rsidRDefault="00E11092">
            <w:pPr>
              <w:tabs>
                <w:tab w:val="left" w:pos="567"/>
              </w:tabs>
              <w:spacing w:before="120" w:after="120" w:line="240" w:lineRule="auto"/>
              <w:jc w:val="both"/>
              <w:outlineLvl w:val="3"/>
              <w:rPr>
                <w:rFonts w:ascii="Garamond" w:eastAsia="Times New Roman" w:hAnsi="Garamond"/>
              </w:rPr>
            </w:pPr>
          </w:p>
        </w:tc>
        <w:tc>
          <w:tcPr>
            <w:tcW w:w="2511" w:type="pct"/>
          </w:tcPr>
          <w:p w:rsidR="00E11092" w:rsidRPr="00F16F27" w:rsidRDefault="00E50C79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/>
                <w:color w:val="000000"/>
              </w:rPr>
            </w:pPr>
            <w:r w:rsidRPr="00F16F27">
              <w:rPr>
                <w:rFonts w:ascii="Garamond" w:eastAsia="Times New Roman" w:hAnsi="Garamond"/>
                <w:color w:val="000000"/>
              </w:rPr>
              <w:t>2.5.1 Покупатель имеет право в качестве обеспечения исполнения своих обязательств по оплате электрической энергии предоставить ЦФР обеспечительный платеж в размере, определенном в соответствии с п. 2.2 настоящего Положения, в отношении договора, указанного в п. 1.3 настоящего Положения.</w:t>
            </w:r>
          </w:p>
          <w:p w:rsidR="00E11092" w:rsidRPr="00F16F27" w:rsidRDefault="00E50C79">
            <w:pPr>
              <w:spacing w:before="120" w:after="120" w:line="240" w:lineRule="auto"/>
              <w:ind w:firstLine="600"/>
              <w:jc w:val="both"/>
              <w:outlineLvl w:val="3"/>
              <w:rPr>
                <w:rFonts w:ascii="Garamond" w:eastAsia="Times New Roman" w:hAnsi="Garamond"/>
                <w:color w:val="000000"/>
              </w:rPr>
            </w:pPr>
            <w:r w:rsidRPr="00F16F27">
              <w:rPr>
                <w:rFonts w:ascii="Garamond" w:eastAsia="Times New Roman" w:hAnsi="Garamond"/>
                <w:color w:val="000000"/>
                <w:highlight w:val="yellow"/>
              </w:rPr>
              <w:t>Покупатель в соответствии со ст. 313.1 ГК РФ имеет право возложить обязательство по предоставлению обеспечительного платежа на третьих лиц.</w:t>
            </w:r>
            <w:r w:rsidRPr="00F16F27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 xml:space="preserve"> При этом в отношении третьего лица не должно быть возбуждено дело о банкротстве</w:t>
            </w:r>
            <w:r w:rsidR="00816393" w:rsidRPr="00F16F27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.</w:t>
            </w:r>
          </w:p>
          <w:p w:rsidR="00E11092" w:rsidRPr="00F16F27" w:rsidRDefault="00E50C79" w:rsidP="00816393">
            <w:pPr>
              <w:spacing w:before="120" w:after="120" w:line="240" w:lineRule="auto"/>
              <w:ind w:firstLine="600"/>
              <w:jc w:val="both"/>
              <w:outlineLvl w:val="3"/>
              <w:rPr>
                <w:rFonts w:ascii="Garamond" w:eastAsia="Times New Roman" w:hAnsi="Garamond"/>
              </w:rPr>
            </w:pPr>
            <w:r w:rsidRPr="00F16F27">
              <w:rPr>
                <w:rFonts w:ascii="Garamond" w:eastAsia="Times New Roman" w:hAnsi="Garamond"/>
                <w:color w:val="000000"/>
              </w:rPr>
              <w:t>Покупатель, в отношении которого возбуждено дело о банкротстве и введена процедура конкурсного производства, не имеет права в качестве финансовой гарантии предоставлять обеспечительный платеж в соответствии с настоящим Положением.</w:t>
            </w:r>
          </w:p>
        </w:tc>
      </w:tr>
      <w:tr w:rsidR="00E11092" w:rsidRPr="00F16F27" w:rsidTr="00F16F27">
        <w:trPr>
          <w:trHeight w:val="435"/>
        </w:trPr>
        <w:tc>
          <w:tcPr>
            <w:tcW w:w="274" w:type="pct"/>
            <w:tcMar>
              <w:left w:w="57" w:type="dxa"/>
              <w:right w:w="57" w:type="dxa"/>
            </w:tcMar>
            <w:vAlign w:val="center"/>
          </w:tcPr>
          <w:p w:rsidR="00E11092" w:rsidRPr="00F16F27" w:rsidRDefault="00E50C7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b/>
                <w:bCs/>
                <w:lang w:eastAsia="ru-RU"/>
              </w:rPr>
              <w:t>3.1</w:t>
            </w:r>
          </w:p>
        </w:tc>
        <w:tc>
          <w:tcPr>
            <w:tcW w:w="2215" w:type="pct"/>
          </w:tcPr>
          <w:p w:rsidR="00E11092" w:rsidRPr="00F16F27" w:rsidRDefault="00E50C79">
            <w:pPr>
              <w:spacing w:before="120" w:after="120"/>
              <w:jc w:val="both"/>
              <w:outlineLvl w:val="3"/>
              <w:rPr>
                <w:rFonts w:ascii="Garamond" w:eastAsia="Times New Roman" w:hAnsi="Garamond"/>
                <w:color w:val="000000"/>
              </w:rPr>
            </w:pPr>
            <w:r w:rsidRPr="00F16F27">
              <w:rPr>
                <w:rFonts w:ascii="Garamond" w:hAnsi="Garamond"/>
                <w:color w:val="000000"/>
              </w:rPr>
              <w:t>ЦФР осуществляет прием финансовых гарантий в виде банковской гарантии, проекта договора поручительства и обеспечительного платежа. Все риски, связанные с несвоевременным предоставлением в ЦФР финансовой гарантии, лежат на покупателе.</w:t>
            </w:r>
          </w:p>
        </w:tc>
        <w:tc>
          <w:tcPr>
            <w:tcW w:w="2511" w:type="pct"/>
          </w:tcPr>
          <w:p w:rsidR="00E11092" w:rsidRPr="00F16F27" w:rsidRDefault="00E50C79" w:rsidP="008631C3">
            <w:pPr>
              <w:spacing w:before="120" w:after="120"/>
              <w:jc w:val="both"/>
              <w:outlineLvl w:val="3"/>
              <w:rPr>
                <w:rFonts w:ascii="Garamond" w:eastAsia="Times New Roman" w:hAnsi="Garamond"/>
                <w:color w:val="000000"/>
              </w:rPr>
            </w:pPr>
            <w:r w:rsidRPr="00F16F27">
              <w:rPr>
                <w:rFonts w:ascii="Garamond" w:hAnsi="Garamond"/>
                <w:color w:val="000000"/>
              </w:rPr>
              <w:t xml:space="preserve">ЦФР осуществляет прием финансовых гарантий в виде банковской гарантии, проекта договора поручительства и обеспечительного платежа, </w:t>
            </w:r>
            <w:r w:rsidRPr="00F16F27">
              <w:rPr>
                <w:rFonts w:ascii="Garamond" w:hAnsi="Garamond"/>
                <w:color w:val="000000"/>
                <w:highlight w:val="yellow"/>
              </w:rPr>
              <w:t>предоставленного в том числе от третьего лица в соответствии с п.</w:t>
            </w:r>
            <w:r w:rsidR="00AB1FDE" w:rsidRPr="00F16F27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F16F27">
              <w:rPr>
                <w:rFonts w:ascii="Garamond" w:hAnsi="Garamond"/>
                <w:color w:val="000000"/>
                <w:highlight w:val="yellow"/>
              </w:rPr>
              <w:t>2.5.</w:t>
            </w:r>
            <w:r w:rsidRPr="008631C3">
              <w:rPr>
                <w:rFonts w:ascii="Garamond" w:hAnsi="Garamond"/>
                <w:color w:val="000000"/>
                <w:highlight w:val="yellow"/>
              </w:rPr>
              <w:t>1</w:t>
            </w:r>
            <w:r w:rsidR="008631C3" w:rsidRPr="008631C3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8631C3" w:rsidRPr="008631C3">
              <w:rPr>
                <w:rFonts w:ascii="Garamond" w:eastAsia="Times New Roman" w:hAnsi="Garamond"/>
                <w:color w:val="000000"/>
                <w:highlight w:val="yellow"/>
              </w:rPr>
              <w:t>настоящ</w:t>
            </w:r>
            <w:r w:rsidR="008631C3" w:rsidRPr="008631C3">
              <w:rPr>
                <w:rFonts w:ascii="Garamond" w:eastAsia="Times New Roman" w:hAnsi="Garamond"/>
                <w:color w:val="000000"/>
                <w:highlight w:val="yellow"/>
              </w:rPr>
              <w:t>его</w:t>
            </w:r>
            <w:r w:rsidR="008631C3" w:rsidRPr="008631C3">
              <w:rPr>
                <w:rFonts w:ascii="Garamond" w:eastAsia="Times New Roman" w:hAnsi="Garamond"/>
                <w:color w:val="000000"/>
                <w:highlight w:val="yellow"/>
              </w:rPr>
              <w:t xml:space="preserve"> Положени</w:t>
            </w:r>
            <w:r w:rsidR="008631C3" w:rsidRPr="008631C3">
              <w:rPr>
                <w:rFonts w:ascii="Garamond" w:eastAsia="Times New Roman" w:hAnsi="Garamond"/>
                <w:color w:val="000000"/>
                <w:highlight w:val="yellow"/>
              </w:rPr>
              <w:t>я</w:t>
            </w:r>
            <w:r w:rsidRPr="008631C3">
              <w:rPr>
                <w:rFonts w:ascii="Garamond" w:hAnsi="Garamond"/>
                <w:color w:val="000000"/>
                <w:highlight w:val="yellow"/>
              </w:rPr>
              <w:t>.</w:t>
            </w:r>
            <w:r w:rsidRPr="00F16F27">
              <w:rPr>
                <w:rFonts w:ascii="Garamond" w:hAnsi="Garamond"/>
                <w:color w:val="000000"/>
              </w:rPr>
              <w:t xml:space="preserve"> Все риски, связанные с несвоевременным предоставлением в ЦФ</w:t>
            </w:r>
            <w:r w:rsidRPr="00F16F27">
              <w:rPr>
                <w:rFonts w:ascii="Garamond" w:hAnsi="Garamond"/>
              </w:rPr>
              <w:t>Р финансовой гарантии, лежат на покупателе.</w:t>
            </w:r>
          </w:p>
        </w:tc>
      </w:tr>
      <w:tr w:rsidR="00E11092" w:rsidRPr="00F16F27" w:rsidTr="00F16F27">
        <w:trPr>
          <w:trHeight w:val="1975"/>
        </w:trPr>
        <w:tc>
          <w:tcPr>
            <w:tcW w:w="274" w:type="pct"/>
            <w:tcMar>
              <w:left w:w="57" w:type="dxa"/>
              <w:right w:w="57" w:type="dxa"/>
            </w:tcMar>
            <w:vAlign w:val="center"/>
          </w:tcPr>
          <w:p w:rsidR="00E11092" w:rsidRPr="00F16F27" w:rsidRDefault="00E50C7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b/>
                <w:bCs/>
                <w:lang w:eastAsia="ru-RU"/>
              </w:rPr>
              <w:t>3.7</w:t>
            </w:r>
            <w:r w:rsidRPr="00F16F27">
              <w:rPr>
                <w:rFonts w:ascii="Garamond" w:eastAsia="Times New Roman" w:hAnsi="Garamond" w:cs="Garamond"/>
                <w:b/>
                <w:bCs/>
                <w:lang w:val="en-US" w:eastAsia="ru-RU"/>
              </w:rPr>
              <w:t>’</w:t>
            </w:r>
          </w:p>
        </w:tc>
        <w:tc>
          <w:tcPr>
            <w:tcW w:w="2215" w:type="pct"/>
          </w:tcPr>
          <w:p w:rsidR="00E11092" w:rsidRPr="00F16F27" w:rsidRDefault="00E50C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color w:val="000000"/>
              </w:rPr>
            </w:pPr>
            <w:r w:rsidRPr="00F16F27">
              <w:rPr>
                <w:rFonts w:ascii="Garamond" w:hAnsi="Garamond"/>
                <w:color w:val="000000"/>
              </w:rPr>
              <w:t xml:space="preserve">3.7´. Покупатель, обязанный предоставить финансовую гарантию на месяц </w:t>
            </w:r>
            <w:r w:rsidRPr="00F16F27">
              <w:rPr>
                <w:rFonts w:ascii="Garamond" w:hAnsi="Garamond"/>
                <w:i/>
                <w:color w:val="000000"/>
              </w:rPr>
              <w:t>m</w:t>
            </w:r>
            <w:r w:rsidRPr="00F16F27">
              <w:rPr>
                <w:rFonts w:ascii="Garamond" w:hAnsi="Garamond"/>
                <w:color w:val="000000"/>
              </w:rPr>
              <w:t xml:space="preserve">, вносит в качестве обеспечения исполнения обязательств на расчетный счет ЦФР, открытый в уполномоченной кредитной организации на оптовом рынке и опубликованный на официальном сайте ЦФР, денежные средства (обеспечительный платеж) в размере, определенном в соответствии с п. 2.2 настоящего Положения, в отношении каждого договора, указанного в п. 1.3 настоящего Положения, в отдельности. </w:t>
            </w:r>
          </w:p>
          <w:p w:rsidR="00E11092" w:rsidRPr="00F16F27" w:rsidRDefault="00E50C79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F16F27">
              <w:rPr>
                <w:rFonts w:ascii="Garamond" w:hAnsi="Garamond"/>
                <w:color w:val="000000"/>
              </w:rPr>
              <w:t xml:space="preserve">В платежном поручении к обеспечительному платежу, предоставляемому покупателем, в поле «Назначение платежа» должно быть указано: </w:t>
            </w:r>
          </w:p>
          <w:p w:rsidR="00E11092" w:rsidRPr="00F16F27" w:rsidRDefault="00E50C79">
            <w:pPr>
              <w:ind w:firstLine="567"/>
              <w:jc w:val="both"/>
              <w:rPr>
                <w:rFonts w:ascii="Garamond" w:hAnsi="Garamond"/>
              </w:rPr>
            </w:pPr>
            <w:r w:rsidRPr="00F16F27">
              <w:rPr>
                <w:rFonts w:ascii="Garamond" w:hAnsi="Garamond"/>
              </w:rPr>
              <w:lastRenderedPageBreak/>
              <w:t>«</w:t>
            </w:r>
            <w:proofErr w:type="spellStart"/>
            <w:r w:rsidRPr="00F16F27">
              <w:rPr>
                <w:rFonts w:ascii="Garamond" w:hAnsi="Garamond"/>
              </w:rPr>
              <w:t>Обеспечительный_платеж_</w:t>
            </w:r>
            <w:r w:rsidRPr="00F16F27">
              <w:rPr>
                <w:rFonts w:ascii="Garamond" w:hAnsi="Garamond"/>
                <w:i/>
              </w:rPr>
              <w:t>наименование</w:t>
            </w:r>
            <w:proofErr w:type="spellEnd"/>
            <w:r w:rsidRPr="00F16F27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F16F27">
              <w:rPr>
                <w:rFonts w:ascii="Garamond" w:hAnsi="Garamond"/>
                <w:i/>
              </w:rPr>
              <w:t>покупателя</w:t>
            </w:r>
            <w:r w:rsidRPr="00F16F27">
              <w:rPr>
                <w:rFonts w:ascii="Garamond" w:hAnsi="Garamond"/>
              </w:rPr>
              <w:t>_ИНН_</w:t>
            </w:r>
            <w:r w:rsidRPr="00F16F27">
              <w:rPr>
                <w:rFonts w:ascii="Garamond" w:hAnsi="Garamond"/>
                <w:i/>
              </w:rPr>
              <w:t>ИНН</w:t>
            </w:r>
            <w:proofErr w:type="spellEnd"/>
            <w:r w:rsidRPr="00F16F27">
              <w:rPr>
                <w:rFonts w:ascii="Garamond" w:hAnsi="Garamond"/>
                <w:i/>
              </w:rPr>
              <w:t xml:space="preserve"> покупателя</w:t>
            </w:r>
            <w:r w:rsidRPr="00F16F27">
              <w:rPr>
                <w:rFonts w:ascii="Garamond" w:hAnsi="Garamond"/>
              </w:rPr>
              <w:t xml:space="preserve"> _</w:t>
            </w:r>
            <w:proofErr w:type="spellStart"/>
            <w:r w:rsidRPr="00F16F27">
              <w:rPr>
                <w:rFonts w:ascii="Garamond" w:hAnsi="Garamond"/>
              </w:rPr>
              <w:t>за_электроэнергию</w:t>
            </w:r>
            <w:proofErr w:type="spellEnd"/>
            <w:r w:rsidRPr="00F16F27">
              <w:rPr>
                <w:rFonts w:ascii="Garamond" w:hAnsi="Garamond"/>
              </w:rPr>
              <w:t xml:space="preserve">_ </w:t>
            </w:r>
            <w:proofErr w:type="spellStart"/>
            <w:r w:rsidRPr="00F16F27">
              <w:rPr>
                <w:rFonts w:ascii="Garamond" w:hAnsi="Garamond"/>
              </w:rPr>
              <w:t>по_договору_№_</w:t>
            </w:r>
            <w:r w:rsidRPr="00F16F27">
              <w:rPr>
                <w:rFonts w:ascii="Garamond" w:hAnsi="Garamond"/>
                <w:i/>
              </w:rPr>
              <w:t>номер</w:t>
            </w:r>
            <w:proofErr w:type="spellEnd"/>
            <w:r w:rsidRPr="00F16F27">
              <w:rPr>
                <w:rFonts w:ascii="Garamond" w:hAnsi="Garamond"/>
                <w:i/>
              </w:rPr>
              <w:t xml:space="preserve"> договора </w:t>
            </w:r>
            <w:proofErr w:type="spellStart"/>
            <w:r w:rsidRPr="00F16F27">
              <w:rPr>
                <w:rFonts w:ascii="Garamond" w:hAnsi="Garamond"/>
                <w:i/>
              </w:rPr>
              <w:t>покупателя</w:t>
            </w:r>
            <w:r w:rsidRPr="00F16F27">
              <w:rPr>
                <w:rFonts w:ascii="Garamond" w:hAnsi="Garamond"/>
              </w:rPr>
              <w:t>_от_</w:t>
            </w:r>
            <w:r w:rsidRPr="00F16F27">
              <w:rPr>
                <w:rFonts w:ascii="Garamond" w:hAnsi="Garamond"/>
                <w:i/>
              </w:rPr>
              <w:t>дата</w:t>
            </w:r>
            <w:proofErr w:type="spellEnd"/>
            <w:r w:rsidRPr="00F16F27">
              <w:rPr>
                <w:rFonts w:ascii="Garamond" w:hAnsi="Garamond"/>
                <w:i/>
              </w:rPr>
              <w:t xml:space="preserve"> </w:t>
            </w:r>
            <w:proofErr w:type="gramStart"/>
            <w:r w:rsidRPr="00F16F27">
              <w:rPr>
                <w:rFonts w:ascii="Garamond" w:hAnsi="Garamond"/>
                <w:i/>
              </w:rPr>
              <w:t>договора</w:t>
            </w:r>
            <w:r w:rsidRPr="00F16F27">
              <w:rPr>
                <w:rFonts w:ascii="Garamond" w:hAnsi="Garamond"/>
              </w:rPr>
              <w:t>_на_</w:t>
            </w:r>
            <w:r w:rsidRPr="00F16F27">
              <w:rPr>
                <w:rFonts w:ascii="Garamond" w:hAnsi="Garamond"/>
                <w:i/>
              </w:rPr>
              <w:t>mm.</w:t>
            </w:r>
            <w:proofErr w:type="spellStart"/>
            <w:r w:rsidRPr="00F16F27">
              <w:rPr>
                <w:rFonts w:ascii="Garamond" w:hAnsi="Garamond"/>
                <w:i/>
              </w:rPr>
              <w:t>gg</w:t>
            </w:r>
            <w:proofErr w:type="spellEnd"/>
            <w:r w:rsidRPr="00F16F27">
              <w:rPr>
                <w:rFonts w:ascii="Garamond" w:hAnsi="Garamond"/>
                <w:i/>
              </w:rPr>
              <w:t>.</w:t>
            </w:r>
            <w:r w:rsidRPr="00F16F27">
              <w:rPr>
                <w:rFonts w:ascii="Garamond" w:hAnsi="Garamond"/>
              </w:rPr>
              <w:t>_</w:t>
            </w:r>
            <w:proofErr w:type="gramEnd"/>
            <w:r w:rsidRPr="00F16F27">
              <w:rPr>
                <w:rFonts w:ascii="Garamond" w:hAnsi="Garamond"/>
              </w:rPr>
              <w:t>НДС не облагается».</w:t>
            </w:r>
          </w:p>
          <w:p w:rsidR="00E11092" w:rsidRPr="00F16F27" w:rsidRDefault="00E50C79">
            <w:pPr>
              <w:ind w:firstLine="567"/>
              <w:jc w:val="both"/>
              <w:rPr>
                <w:rFonts w:ascii="Garamond" w:hAnsi="Garamond"/>
              </w:rPr>
            </w:pPr>
            <w:r w:rsidRPr="00F16F27">
              <w:rPr>
                <w:rFonts w:ascii="Garamond" w:hAnsi="Garamond"/>
                <w:color w:val="000000"/>
              </w:rPr>
              <w:t xml:space="preserve"> </w:t>
            </w:r>
            <w:r w:rsidRPr="00F16F27">
              <w:rPr>
                <w:rFonts w:ascii="Garamond" w:hAnsi="Garamond"/>
              </w:rPr>
              <w:t>Датой предоставления обеспечительного платежа является дата поступления денежных средств обеспечительного платежа на расчетный счет ЦФР, открытый в уполномоченной кредитной организации на оптовом рынке и опубликованный на официальном сайте ЦФР.</w:t>
            </w:r>
          </w:p>
          <w:p w:rsidR="00E11092" w:rsidRPr="00F16F27" w:rsidRDefault="00E11092">
            <w:pPr>
              <w:spacing w:before="120" w:after="120"/>
              <w:jc w:val="both"/>
              <w:outlineLvl w:val="3"/>
              <w:rPr>
                <w:rFonts w:ascii="Garamond" w:hAnsi="Garamond"/>
                <w:color w:val="000000"/>
              </w:rPr>
            </w:pPr>
          </w:p>
        </w:tc>
        <w:tc>
          <w:tcPr>
            <w:tcW w:w="2511" w:type="pct"/>
          </w:tcPr>
          <w:p w:rsidR="00E11092" w:rsidRPr="00F16F27" w:rsidRDefault="00E50C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color w:val="000000"/>
              </w:rPr>
            </w:pPr>
            <w:r w:rsidRPr="00F16F27">
              <w:rPr>
                <w:rFonts w:ascii="Garamond" w:hAnsi="Garamond"/>
                <w:color w:val="000000"/>
              </w:rPr>
              <w:lastRenderedPageBreak/>
              <w:t xml:space="preserve">3.7´. Покупатель, обязанный предоставить финансовую гарантию на месяц </w:t>
            </w:r>
            <w:r w:rsidRPr="00F16F27">
              <w:rPr>
                <w:rFonts w:ascii="Garamond" w:hAnsi="Garamond"/>
                <w:i/>
                <w:color w:val="000000"/>
              </w:rPr>
              <w:t>m</w:t>
            </w:r>
            <w:r w:rsidRPr="00F16F27">
              <w:rPr>
                <w:rFonts w:ascii="Garamond" w:hAnsi="Garamond"/>
                <w:color w:val="000000"/>
              </w:rPr>
              <w:t xml:space="preserve">, вносит в качестве обеспечения исполнения обязательств на расчетный счет ЦФР, открытый в уполномоченной кредитной организации на оптовом рынке и опубликованный на официальном сайте ЦФР, денежные средства (обеспечительный платеж) в размере, определенном в соответствии с п. 2.2 настоящего Положения, в отношении каждого договора, указанного в п. 1.3 настоящего Положения, в отдельности. </w:t>
            </w:r>
          </w:p>
          <w:p w:rsidR="00E11092" w:rsidRPr="00F16F27" w:rsidRDefault="00E50C79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F16F27">
              <w:rPr>
                <w:rFonts w:ascii="Garamond" w:hAnsi="Garamond"/>
                <w:color w:val="000000"/>
              </w:rPr>
              <w:t xml:space="preserve">В платежном поручении к обеспечительному платежу, предоставляемому покупателем, в поле «Назначение платежа» должно быть указано: </w:t>
            </w:r>
          </w:p>
          <w:p w:rsidR="00E11092" w:rsidRPr="00F16F27" w:rsidRDefault="00E50C79">
            <w:pPr>
              <w:ind w:firstLine="567"/>
              <w:jc w:val="both"/>
              <w:rPr>
                <w:rFonts w:ascii="Garamond" w:hAnsi="Garamond"/>
              </w:rPr>
            </w:pPr>
            <w:r w:rsidRPr="00F16F27">
              <w:rPr>
                <w:rFonts w:ascii="Garamond" w:hAnsi="Garamond"/>
              </w:rPr>
              <w:t>«</w:t>
            </w:r>
            <w:proofErr w:type="spellStart"/>
            <w:r w:rsidRPr="00F16F27">
              <w:rPr>
                <w:rFonts w:ascii="Garamond" w:hAnsi="Garamond"/>
              </w:rPr>
              <w:t>Обеспечительный_платеж_</w:t>
            </w:r>
            <w:r w:rsidRPr="00F16F27">
              <w:rPr>
                <w:rFonts w:ascii="Garamond" w:hAnsi="Garamond"/>
                <w:i/>
              </w:rPr>
              <w:t>наименование</w:t>
            </w:r>
            <w:proofErr w:type="spellEnd"/>
            <w:r w:rsidRPr="00F16F27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F16F27">
              <w:rPr>
                <w:rFonts w:ascii="Garamond" w:hAnsi="Garamond"/>
                <w:i/>
              </w:rPr>
              <w:t>покупателя</w:t>
            </w:r>
            <w:r w:rsidRPr="00F16F27">
              <w:rPr>
                <w:rFonts w:ascii="Garamond" w:hAnsi="Garamond"/>
              </w:rPr>
              <w:t>_ИНН_</w:t>
            </w:r>
            <w:r w:rsidRPr="00F16F27">
              <w:rPr>
                <w:rFonts w:ascii="Garamond" w:hAnsi="Garamond"/>
                <w:i/>
              </w:rPr>
              <w:t>ИНН</w:t>
            </w:r>
            <w:proofErr w:type="spellEnd"/>
            <w:r w:rsidRPr="00F16F27">
              <w:rPr>
                <w:rFonts w:ascii="Garamond" w:hAnsi="Garamond"/>
                <w:i/>
              </w:rPr>
              <w:t xml:space="preserve"> покупателя</w:t>
            </w:r>
            <w:r w:rsidRPr="00F16F27">
              <w:rPr>
                <w:rFonts w:ascii="Garamond" w:hAnsi="Garamond"/>
              </w:rPr>
              <w:t xml:space="preserve"> _</w:t>
            </w:r>
            <w:proofErr w:type="spellStart"/>
            <w:r w:rsidRPr="00F16F27">
              <w:rPr>
                <w:rFonts w:ascii="Garamond" w:hAnsi="Garamond"/>
              </w:rPr>
              <w:t>за_электроэнергию</w:t>
            </w:r>
            <w:proofErr w:type="spellEnd"/>
            <w:r w:rsidRPr="00F16F27">
              <w:rPr>
                <w:rFonts w:ascii="Garamond" w:hAnsi="Garamond"/>
              </w:rPr>
              <w:t xml:space="preserve">_ </w:t>
            </w:r>
            <w:proofErr w:type="spellStart"/>
            <w:r w:rsidRPr="00F16F27">
              <w:rPr>
                <w:rFonts w:ascii="Garamond" w:hAnsi="Garamond"/>
              </w:rPr>
              <w:t>по_договору_№_</w:t>
            </w:r>
            <w:r w:rsidRPr="00F16F27">
              <w:rPr>
                <w:rFonts w:ascii="Garamond" w:hAnsi="Garamond"/>
                <w:i/>
              </w:rPr>
              <w:t>номер</w:t>
            </w:r>
            <w:proofErr w:type="spellEnd"/>
            <w:r w:rsidRPr="00F16F27">
              <w:rPr>
                <w:rFonts w:ascii="Garamond" w:hAnsi="Garamond"/>
                <w:i/>
              </w:rPr>
              <w:t xml:space="preserve"> договора </w:t>
            </w:r>
            <w:proofErr w:type="spellStart"/>
            <w:r w:rsidRPr="00F16F27">
              <w:rPr>
                <w:rFonts w:ascii="Garamond" w:hAnsi="Garamond"/>
                <w:i/>
              </w:rPr>
              <w:t>покупателя</w:t>
            </w:r>
            <w:r w:rsidRPr="00F16F27">
              <w:rPr>
                <w:rFonts w:ascii="Garamond" w:hAnsi="Garamond"/>
              </w:rPr>
              <w:t>_от_</w:t>
            </w:r>
            <w:r w:rsidRPr="00F16F27">
              <w:rPr>
                <w:rFonts w:ascii="Garamond" w:hAnsi="Garamond"/>
                <w:i/>
              </w:rPr>
              <w:t>дата</w:t>
            </w:r>
            <w:proofErr w:type="spellEnd"/>
            <w:r w:rsidRPr="00F16F27">
              <w:rPr>
                <w:rFonts w:ascii="Garamond" w:hAnsi="Garamond"/>
                <w:i/>
              </w:rPr>
              <w:t xml:space="preserve"> </w:t>
            </w:r>
            <w:proofErr w:type="gramStart"/>
            <w:r w:rsidRPr="00F16F27">
              <w:rPr>
                <w:rFonts w:ascii="Garamond" w:hAnsi="Garamond"/>
                <w:i/>
              </w:rPr>
              <w:t>договора</w:t>
            </w:r>
            <w:r w:rsidRPr="00F16F27">
              <w:rPr>
                <w:rFonts w:ascii="Garamond" w:hAnsi="Garamond"/>
              </w:rPr>
              <w:t>_на_</w:t>
            </w:r>
            <w:r w:rsidRPr="00F16F27">
              <w:rPr>
                <w:rFonts w:ascii="Garamond" w:hAnsi="Garamond"/>
                <w:i/>
              </w:rPr>
              <w:t>mm.</w:t>
            </w:r>
            <w:proofErr w:type="spellStart"/>
            <w:r w:rsidRPr="00F16F27">
              <w:rPr>
                <w:rFonts w:ascii="Garamond" w:hAnsi="Garamond"/>
                <w:i/>
              </w:rPr>
              <w:t>gg</w:t>
            </w:r>
            <w:proofErr w:type="spellEnd"/>
            <w:r w:rsidRPr="00F16F27">
              <w:rPr>
                <w:rFonts w:ascii="Garamond" w:hAnsi="Garamond"/>
                <w:i/>
              </w:rPr>
              <w:t>.</w:t>
            </w:r>
            <w:r w:rsidRPr="00F16F27">
              <w:rPr>
                <w:rFonts w:ascii="Garamond" w:hAnsi="Garamond"/>
              </w:rPr>
              <w:t>_</w:t>
            </w:r>
            <w:proofErr w:type="gramEnd"/>
            <w:r w:rsidRPr="00F16F27">
              <w:rPr>
                <w:rFonts w:ascii="Garamond" w:hAnsi="Garamond"/>
              </w:rPr>
              <w:t>НДС не облагается».</w:t>
            </w:r>
          </w:p>
          <w:p w:rsidR="00E11092" w:rsidRPr="00F16F27" w:rsidRDefault="00E50C79">
            <w:pPr>
              <w:ind w:firstLine="567"/>
              <w:jc w:val="both"/>
              <w:rPr>
                <w:rFonts w:ascii="Garamond" w:hAnsi="Garamond"/>
              </w:rPr>
            </w:pPr>
            <w:r w:rsidRPr="00F16F27">
              <w:rPr>
                <w:rFonts w:ascii="Garamond" w:hAnsi="Garamond"/>
                <w:color w:val="000000"/>
              </w:rPr>
              <w:lastRenderedPageBreak/>
              <w:t xml:space="preserve"> </w:t>
            </w:r>
            <w:r w:rsidRPr="00F16F27">
              <w:rPr>
                <w:rFonts w:ascii="Garamond" w:hAnsi="Garamond"/>
              </w:rPr>
              <w:t>Датой предоставления обеспечительного платежа является дата поступления денежных средств обеспечительного платежа на расчетный счет ЦФР, открытый в уполномоченной кредитной организации на оптовом рынке и опубликованный на официальном сайте ЦФР.</w:t>
            </w:r>
          </w:p>
          <w:p w:rsidR="00E11092" w:rsidRPr="00F16F27" w:rsidRDefault="00E50C79">
            <w:pPr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F16F27">
              <w:rPr>
                <w:rFonts w:ascii="Garamond" w:hAnsi="Garamond"/>
                <w:highlight w:val="yellow"/>
              </w:rPr>
              <w:t xml:space="preserve">Для принятия ЦФР финансовых гарантий в виде обеспечительного платежа, предоставленного от третьего лица, </w:t>
            </w:r>
            <w:r w:rsidR="004769A4">
              <w:rPr>
                <w:rFonts w:ascii="Garamond" w:hAnsi="Garamond"/>
                <w:highlight w:val="yellow"/>
              </w:rPr>
              <w:t>п</w:t>
            </w:r>
            <w:r w:rsidRPr="00F16F27">
              <w:rPr>
                <w:rFonts w:ascii="Garamond" w:hAnsi="Garamond"/>
                <w:highlight w:val="yellow"/>
              </w:rPr>
              <w:t xml:space="preserve">окупатель направляет в адрес АО «ЦФР» уведомление на бумажном носителе </w:t>
            </w:r>
            <w:r w:rsidR="00CF12D1" w:rsidRPr="00F16F27">
              <w:rPr>
                <w:rFonts w:ascii="Garamond" w:hAnsi="Garamond"/>
                <w:highlight w:val="yellow"/>
              </w:rPr>
              <w:t xml:space="preserve">по форме </w:t>
            </w:r>
            <w:r w:rsidR="004769A4">
              <w:rPr>
                <w:rFonts w:ascii="Garamond" w:hAnsi="Garamond"/>
                <w:highlight w:val="yellow"/>
              </w:rPr>
              <w:t>п</w:t>
            </w:r>
            <w:r w:rsidR="00CF12D1" w:rsidRPr="00F16F27">
              <w:rPr>
                <w:rFonts w:ascii="Garamond" w:hAnsi="Garamond"/>
                <w:highlight w:val="yellow"/>
              </w:rPr>
              <w:t xml:space="preserve">риложения 3.3.1 к настоящему </w:t>
            </w:r>
            <w:r w:rsidR="004769A4">
              <w:rPr>
                <w:rFonts w:ascii="Garamond" w:hAnsi="Garamond"/>
                <w:highlight w:val="yellow"/>
              </w:rPr>
              <w:t>Положению</w:t>
            </w:r>
            <w:r w:rsidR="00CF12D1" w:rsidRPr="00F16F27">
              <w:rPr>
                <w:rFonts w:ascii="Garamond" w:hAnsi="Garamond"/>
                <w:highlight w:val="yellow"/>
              </w:rPr>
              <w:t xml:space="preserve"> </w:t>
            </w:r>
            <w:r w:rsidRPr="00F16F27">
              <w:rPr>
                <w:rFonts w:ascii="Garamond" w:hAnsi="Garamond"/>
                <w:highlight w:val="yellow"/>
              </w:rPr>
              <w:t>за подписью лица, имеющ</w:t>
            </w:r>
            <w:r w:rsidR="00816393" w:rsidRPr="00F16F27">
              <w:rPr>
                <w:rFonts w:ascii="Garamond" w:hAnsi="Garamond"/>
                <w:highlight w:val="yellow"/>
              </w:rPr>
              <w:t>его</w:t>
            </w:r>
            <w:r w:rsidRPr="00F16F27">
              <w:rPr>
                <w:rFonts w:ascii="Garamond" w:hAnsi="Garamond"/>
                <w:highlight w:val="yellow"/>
              </w:rPr>
              <w:t xml:space="preserve"> право действовать</w:t>
            </w:r>
            <w:r w:rsidR="00816393" w:rsidRPr="00F16F27">
              <w:rPr>
                <w:rFonts w:ascii="Garamond" w:hAnsi="Garamond"/>
                <w:highlight w:val="yellow"/>
              </w:rPr>
              <w:t xml:space="preserve"> </w:t>
            </w:r>
            <w:r w:rsidRPr="00F16F27">
              <w:rPr>
                <w:rFonts w:ascii="Garamond" w:hAnsi="Garamond"/>
                <w:highlight w:val="yellow"/>
              </w:rPr>
              <w:t xml:space="preserve">от имени </w:t>
            </w:r>
            <w:r w:rsidR="004769A4">
              <w:rPr>
                <w:rFonts w:ascii="Garamond" w:hAnsi="Garamond"/>
                <w:highlight w:val="yellow"/>
              </w:rPr>
              <w:t>п</w:t>
            </w:r>
            <w:r w:rsidRPr="00F16F27">
              <w:rPr>
                <w:rFonts w:ascii="Garamond" w:hAnsi="Garamond"/>
                <w:highlight w:val="yellow"/>
              </w:rPr>
              <w:t xml:space="preserve">окупателя без доверенности, о возложении обязанностей по оплате обеспечительного платежа на третье лицо, а также карточку основных сведений указанного юридического лица. </w:t>
            </w:r>
          </w:p>
          <w:p w:rsidR="00E50C79" w:rsidRPr="00F16F27" w:rsidRDefault="00E50C79">
            <w:pPr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F16F27">
              <w:rPr>
                <w:rFonts w:ascii="Garamond" w:eastAsia="Times New Roman" w:hAnsi="Garamond"/>
                <w:color w:val="000000"/>
                <w:highlight w:val="yellow"/>
              </w:rPr>
              <w:t>В отношении третьего лица на дату предоставления обеспечительного платежа не должно быть возбуждено дело о банкротстве (</w:t>
            </w:r>
            <w:r w:rsidR="00816393" w:rsidRPr="00F16F27">
              <w:rPr>
                <w:rFonts w:ascii="Garamond" w:eastAsia="Times New Roman" w:hAnsi="Garamond"/>
                <w:color w:val="000000"/>
                <w:highlight w:val="yellow"/>
              </w:rPr>
              <w:t xml:space="preserve">в том числе </w:t>
            </w:r>
            <w:r w:rsidRPr="00F16F27">
              <w:rPr>
                <w:rFonts w:ascii="Garamond" w:eastAsia="Times New Roman" w:hAnsi="Garamond"/>
                <w:color w:val="000000"/>
                <w:highlight w:val="yellow"/>
              </w:rPr>
              <w:t>согласно данным Единого федерального реестра сведений о банкротстве на дату предоставления обеспечительного платежа).</w:t>
            </w:r>
          </w:p>
          <w:p w:rsidR="00E11092" w:rsidRPr="00F16F27" w:rsidRDefault="00E50C79" w:rsidP="00AB1FDE">
            <w:pPr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F16F27">
              <w:rPr>
                <w:rFonts w:ascii="Garamond" w:hAnsi="Garamond"/>
                <w:highlight w:val="yellow"/>
              </w:rPr>
              <w:t>Срок предоставления уведомления в АО «ЦФР» не позднее 3 рабочих дней до даты поступления денежных средств от третьего лица на расчетный счет АО «ЦФР».</w:t>
            </w:r>
          </w:p>
        </w:tc>
      </w:tr>
      <w:tr w:rsidR="00F16F27" w:rsidRPr="00F16F27" w:rsidTr="00F16F27">
        <w:trPr>
          <w:trHeight w:val="1975"/>
        </w:trPr>
        <w:tc>
          <w:tcPr>
            <w:tcW w:w="274" w:type="pct"/>
            <w:tcMar>
              <w:left w:w="57" w:type="dxa"/>
              <w:right w:w="57" w:type="dxa"/>
            </w:tcMar>
            <w:vAlign w:val="center"/>
          </w:tcPr>
          <w:p w:rsidR="00F16F27" w:rsidRPr="00F16F27" w:rsidRDefault="00F16F27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16F27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3.22</w:t>
            </w:r>
          </w:p>
        </w:tc>
        <w:tc>
          <w:tcPr>
            <w:tcW w:w="2215" w:type="pct"/>
          </w:tcPr>
          <w:p w:rsidR="00F16F27" w:rsidRPr="00F16F27" w:rsidRDefault="00F16F27" w:rsidP="00F16F27">
            <w:pPr>
              <w:spacing w:before="120" w:after="120"/>
              <w:ind w:firstLine="554"/>
              <w:jc w:val="both"/>
              <w:outlineLvl w:val="3"/>
              <w:rPr>
                <w:rFonts w:ascii="Garamond" w:hAnsi="Garamond"/>
                <w:color w:val="000000"/>
              </w:rPr>
            </w:pPr>
            <w:r w:rsidRPr="00F16F27">
              <w:rPr>
                <w:rFonts w:ascii="Garamond" w:hAnsi="Garamond"/>
                <w:color w:val="000000"/>
              </w:rPr>
              <w:t>ЦФР принимает в качестве финансовой гарантии покупателя в отношении договора, указанного в п. 1.3 настоящего Положения, на месяц m предоставленный покупателем обеспечительный платеж, если он соответствует следующим требованиям:</w:t>
            </w:r>
          </w:p>
          <w:p w:rsidR="00F16F27" w:rsidRPr="00F16F27" w:rsidRDefault="00F16F27" w:rsidP="00F16F27">
            <w:pPr>
              <w:spacing w:before="120" w:after="120"/>
              <w:ind w:firstLine="554"/>
              <w:jc w:val="both"/>
              <w:outlineLvl w:val="3"/>
              <w:rPr>
                <w:rFonts w:ascii="Garamond" w:eastAsia="Times New Roman" w:hAnsi="Garamond"/>
                <w:color w:val="000000"/>
              </w:rPr>
            </w:pPr>
            <w:r w:rsidRPr="00F16F27">
              <w:rPr>
                <w:rFonts w:ascii="Garamond" w:eastAsia="Times New Roman" w:hAnsi="Garamond"/>
                <w:color w:val="000000"/>
              </w:rPr>
              <w:t>…</w:t>
            </w:r>
          </w:p>
          <w:p w:rsidR="00F16F27" w:rsidRPr="00F16F27" w:rsidRDefault="00F16F27" w:rsidP="00F16F27">
            <w:pPr>
              <w:autoSpaceDE w:val="0"/>
              <w:autoSpaceDN w:val="0"/>
              <w:adjustRightInd w:val="0"/>
              <w:spacing w:before="120" w:after="120"/>
              <w:ind w:firstLine="554"/>
              <w:jc w:val="both"/>
              <w:rPr>
                <w:rFonts w:ascii="Garamond" w:hAnsi="Garamond"/>
                <w:color w:val="000000"/>
              </w:rPr>
            </w:pPr>
            <w:r w:rsidRPr="00F16F27">
              <w:rPr>
                <w:rFonts w:ascii="Garamond" w:hAnsi="Garamond"/>
              </w:rPr>
              <w:t xml:space="preserve">В случае если обеспечительный платеж не соответствует требованиям, предусмотренным настоящим пунктом, и (или) предоставлен с нарушением сроков, предусмотренных п. 3.11 настоящего Положения, то ЦФР в течение 2 (двух) рабочих дней со дня, следующего за днем получения денежных средств, уведомляет покупателя об отказе в принятии обеспечительного платежа в качестве </w:t>
            </w:r>
            <w:r w:rsidRPr="00F16F27">
              <w:rPr>
                <w:rFonts w:ascii="Garamond" w:hAnsi="Garamond"/>
              </w:rPr>
              <w:lastRenderedPageBreak/>
              <w:t xml:space="preserve">финансовой гарантии на месяц </w:t>
            </w:r>
            <w:r w:rsidRPr="00F16F27">
              <w:rPr>
                <w:rFonts w:ascii="Garamond" w:hAnsi="Garamond"/>
                <w:i/>
              </w:rPr>
              <w:t>m</w:t>
            </w:r>
            <w:r w:rsidRPr="00F16F27">
              <w:rPr>
                <w:rFonts w:ascii="Garamond" w:hAnsi="Garamond"/>
              </w:rPr>
              <w:t xml:space="preserve"> путем размещения соответствующего уведомления в электронном виде за ЭП для покупателя на официальном интернет-сайте КО, в разделе с ограниченным в соответствии с Правилами ЭДО СЭД КО доступом, по форме согласно приложению 3.11 к настоящему Положению и возвращает обеспечительный платеж </w:t>
            </w:r>
            <w:r w:rsidRPr="00F16F27">
              <w:rPr>
                <w:rFonts w:ascii="Garamond" w:hAnsi="Garamond"/>
                <w:highlight w:val="yellow"/>
              </w:rPr>
              <w:t>на банковский счет покупателя, с которого он был переведен на расчетный счет ЦФР.</w:t>
            </w:r>
          </w:p>
        </w:tc>
        <w:tc>
          <w:tcPr>
            <w:tcW w:w="2511" w:type="pct"/>
          </w:tcPr>
          <w:p w:rsidR="00F16F27" w:rsidRPr="00F16F27" w:rsidRDefault="00F16F27" w:rsidP="00F16F27">
            <w:pPr>
              <w:spacing w:before="120" w:after="120"/>
              <w:ind w:firstLine="604"/>
              <w:jc w:val="both"/>
              <w:outlineLvl w:val="3"/>
              <w:rPr>
                <w:rFonts w:ascii="Garamond" w:hAnsi="Garamond"/>
                <w:color w:val="000000"/>
              </w:rPr>
            </w:pPr>
            <w:r w:rsidRPr="00F16F27">
              <w:rPr>
                <w:rFonts w:ascii="Garamond" w:hAnsi="Garamond"/>
                <w:color w:val="000000"/>
              </w:rPr>
              <w:lastRenderedPageBreak/>
              <w:t xml:space="preserve">ЦФР принимает в качестве финансовой гарантии покупателя в отношении договора, указанного в п. 1.3 настоящего Положения, на месяц m предоставленный покупателем обеспечительный платеж, </w:t>
            </w:r>
            <w:r w:rsidRPr="00F16F27">
              <w:rPr>
                <w:rFonts w:ascii="Garamond" w:hAnsi="Garamond"/>
                <w:color w:val="000000"/>
                <w:highlight w:val="yellow"/>
              </w:rPr>
              <w:t>предоставленный в том числе в соответствии с п. 2.5</w:t>
            </w:r>
            <w:r w:rsidRPr="004769A4">
              <w:rPr>
                <w:rFonts w:ascii="Garamond" w:hAnsi="Garamond"/>
                <w:color w:val="000000"/>
                <w:highlight w:val="yellow"/>
              </w:rPr>
              <w:t>.1</w:t>
            </w:r>
            <w:r w:rsidR="004769A4" w:rsidRPr="004769A4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4769A4" w:rsidRPr="004769A4">
              <w:rPr>
                <w:rFonts w:ascii="Garamond" w:eastAsia="Times New Roman" w:hAnsi="Garamond"/>
                <w:color w:val="000000"/>
                <w:highlight w:val="yellow"/>
              </w:rPr>
              <w:t xml:space="preserve">настоящего </w:t>
            </w:r>
            <w:r w:rsidR="004769A4" w:rsidRPr="008631C3">
              <w:rPr>
                <w:rFonts w:ascii="Garamond" w:eastAsia="Times New Roman" w:hAnsi="Garamond"/>
                <w:color w:val="000000"/>
                <w:highlight w:val="yellow"/>
              </w:rPr>
              <w:t>Положения</w:t>
            </w:r>
            <w:r w:rsidRPr="00F16F27">
              <w:rPr>
                <w:rFonts w:ascii="Garamond" w:hAnsi="Garamond"/>
                <w:color w:val="000000"/>
              </w:rPr>
              <w:t>, если он соответствует следующим требованиям:</w:t>
            </w:r>
          </w:p>
          <w:p w:rsidR="00F16F27" w:rsidRPr="00F16F27" w:rsidRDefault="00F16F27" w:rsidP="00F16F27">
            <w:pPr>
              <w:spacing w:before="120" w:after="120"/>
              <w:jc w:val="both"/>
              <w:outlineLvl w:val="3"/>
              <w:rPr>
                <w:rFonts w:ascii="Garamond" w:hAnsi="Garamond"/>
                <w:color w:val="000000"/>
              </w:rPr>
            </w:pPr>
            <w:r w:rsidRPr="00F16F27">
              <w:rPr>
                <w:rFonts w:ascii="Garamond" w:hAnsi="Garamond"/>
                <w:color w:val="000000"/>
              </w:rPr>
              <w:t>…</w:t>
            </w:r>
          </w:p>
          <w:p w:rsidR="00F16F27" w:rsidRPr="00F16F27" w:rsidRDefault="00F16F27" w:rsidP="00F33E62">
            <w:pPr>
              <w:pStyle w:val="ae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F16F27">
              <w:rPr>
                <w:rFonts w:ascii="Garamond" w:hAnsi="Garamond"/>
                <w:sz w:val="22"/>
                <w:szCs w:val="22"/>
              </w:rPr>
              <w:t xml:space="preserve">В случае если обеспечительный платеж не соответствует требованиям, предусмотренным настоящим пунктом, и (или) предоставлен с нарушением сроков, предусмотренных п. 3.11 настоящего Положения, то ЦФР в течение 2 (двух) рабочих дней со дня, следующего за днем получения денежных средств, уведомляет покупателя об отказе в принятии обеспечительного платежа в качестве финансовой гарантии на месяц </w:t>
            </w:r>
            <w:r w:rsidRPr="00F16F2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F16F27">
              <w:rPr>
                <w:rFonts w:ascii="Garamond" w:hAnsi="Garamond"/>
                <w:sz w:val="22"/>
                <w:szCs w:val="22"/>
              </w:rPr>
              <w:t xml:space="preserve"> путем размещения соответствующего </w:t>
            </w:r>
            <w:r w:rsidRPr="00F16F27">
              <w:rPr>
                <w:rFonts w:ascii="Garamond" w:hAnsi="Garamond"/>
                <w:sz w:val="22"/>
                <w:szCs w:val="22"/>
              </w:rPr>
              <w:lastRenderedPageBreak/>
              <w:t>уведомления в электронном виде за ЭП для покупателя на официальном интернет-сайте КО, в разделе с ограниченным в соответствии с Правилами ЭДО СЭД КО доступом, по форме согласно приложению 3.11 к настоящему Положению и возвращает обеспечительный платеж:</w:t>
            </w:r>
          </w:p>
          <w:p w:rsidR="00F16F27" w:rsidRPr="00F16F27" w:rsidRDefault="00F16F27" w:rsidP="00F33E62">
            <w:pPr>
              <w:pStyle w:val="ae"/>
              <w:tabs>
                <w:tab w:val="left" w:pos="567"/>
              </w:tabs>
              <w:spacing w:before="120" w:after="120"/>
              <w:ind w:left="0" w:firstLine="60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16F27">
              <w:rPr>
                <w:rFonts w:ascii="Garamond" w:hAnsi="Garamond"/>
                <w:sz w:val="22"/>
                <w:szCs w:val="22"/>
                <w:highlight w:val="yellow"/>
              </w:rPr>
              <w:t xml:space="preserve">а) в случае предоставления обеспечительного платежа покупателем </w:t>
            </w:r>
            <w:r w:rsidR="00F33E62">
              <w:rPr>
                <w:rFonts w:ascii="Garamond" w:hAnsi="Garamond"/>
                <w:sz w:val="22"/>
                <w:szCs w:val="22"/>
                <w:highlight w:val="yellow"/>
              </w:rPr>
              <w:t xml:space="preserve">– </w:t>
            </w:r>
            <w:r w:rsidRPr="00F16F27">
              <w:rPr>
                <w:rFonts w:ascii="Garamond" w:hAnsi="Garamond"/>
                <w:sz w:val="22"/>
                <w:szCs w:val="22"/>
                <w:highlight w:val="yellow"/>
              </w:rPr>
              <w:t>на банковский счет покупателя, с которого он был переведен на расчетный счет ЦФР</w:t>
            </w:r>
            <w:r w:rsidR="00F33E6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F16F27" w:rsidRPr="00F16F27" w:rsidRDefault="00F16F27" w:rsidP="00F33E62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hAnsi="Garamond"/>
                <w:color w:val="000000"/>
              </w:rPr>
            </w:pPr>
            <w:r w:rsidRPr="00F16F27">
              <w:rPr>
                <w:rFonts w:ascii="Garamond" w:hAnsi="Garamond"/>
                <w:highlight w:val="yellow"/>
              </w:rPr>
              <w:t>б) в случае предоставления обеспечительного платежа третьим лицом</w:t>
            </w:r>
            <w:r w:rsidR="00F33E62">
              <w:rPr>
                <w:rFonts w:ascii="Garamond" w:hAnsi="Garamond"/>
                <w:highlight w:val="yellow"/>
              </w:rPr>
              <w:t xml:space="preserve"> –</w:t>
            </w:r>
            <w:r w:rsidRPr="00F16F27">
              <w:rPr>
                <w:rFonts w:ascii="Garamond" w:hAnsi="Garamond"/>
                <w:highlight w:val="yellow"/>
              </w:rPr>
              <w:t xml:space="preserve"> на расчетный счет третьего лица, с которого он был переведен на расчетный счет ЦФР.</w:t>
            </w:r>
          </w:p>
        </w:tc>
      </w:tr>
    </w:tbl>
    <w:p w:rsidR="00E11092" w:rsidRDefault="00E11092">
      <w:pPr>
        <w:spacing w:after="0" w:line="288" w:lineRule="auto"/>
        <w:ind w:firstLine="18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E11092" w:rsidRPr="001E146F" w:rsidRDefault="001E146F">
      <w:pPr>
        <w:pStyle w:val="ac"/>
        <w:spacing w:before="0"/>
        <w:jc w:val="left"/>
        <w:rPr>
          <w:bCs w:val="0"/>
          <w:iCs/>
          <w:sz w:val="28"/>
          <w:szCs w:val="28"/>
        </w:rPr>
      </w:pPr>
      <w:r w:rsidRPr="001E146F">
        <w:rPr>
          <w:bCs w:val="0"/>
          <w:iCs/>
          <w:sz w:val="28"/>
          <w:szCs w:val="28"/>
        </w:rPr>
        <w:t>Добавить приложение</w:t>
      </w:r>
    </w:p>
    <w:p w:rsidR="001E146F" w:rsidRPr="00F33E62" w:rsidRDefault="001E146F" w:rsidP="001E146F">
      <w:pPr>
        <w:jc w:val="right"/>
        <w:rPr>
          <w:rFonts w:ascii="Garamond" w:eastAsia="Times New Roman" w:hAnsi="Garamond"/>
          <w:b/>
          <w:iCs/>
        </w:rPr>
      </w:pPr>
      <w:r w:rsidRPr="00F33E62">
        <w:rPr>
          <w:rFonts w:ascii="Garamond" w:eastAsia="Times New Roman" w:hAnsi="Garamond"/>
          <w:b/>
          <w:iCs/>
        </w:rPr>
        <w:t>Приложение 3.3.1</w:t>
      </w:r>
    </w:p>
    <w:p w:rsidR="001E146F" w:rsidRPr="001E146F" w:rsidRDefault="001E146F" w:rsidP="00F33E62">
      <w:pPr>
        <w:jc w:val="both"/>
        <w:rPr>
          <w:rFonts w:ascii="Garamond" w:hAnsi="Garamond"/>
        </w:rPr>
      </w:pPr>
      <w:r w:rsidRPr="001E146F">
        <w:rPr>
          <w:rFonts w:ascii="Garamond" w:hAnsi="Garamond"/>
        </w:rPr>
        <w:t xml:space="preserve">Заполняется на бланке организации                                           </w:t>
      </w:r>
    </w:p>
    <w:p w:rsidR="001E146F" w:rsidRPr="001E146F" w:rsidRDefault="001E146F" w:rsidP="001E146F">
      <w:pPr>
        <w:spacing w:after="0" w:line="240" w:lineRule="auto"/>
        <w:jc w:val="right"/>
        <w:rPr>
          <w:rFonts w:ascii="Garamond" w:hAnsi="Garamond"/>
          <w:b/>
        </w:rPr>
      </w:pPr>
      <w:r w:rsidRPr="001E146F">
        <w:rPr>
          <w:rFonts w:ascii="Garamond" w:hAnsi="Garamond"/>
          <w:b/>
        </w:rPr>
        <w:t xml:space="preserve">         Руководителю </w:t>
      </w:r>
    </w:p>
    <w:p w:rsidR="001E146F" w:rsidRPr="001E146F" w:rsidRDefault="001E146F" w:rsidP="001E146F">
      <w:pPr>
        <w:spacing w:after="0" w:line="240" w:lineRule="auto"/>
        <w:jc w:val="right"/>
        <w:rPr>
          <w:rFonts w:ascii="Garamond" w:hAnsi="Garamond"/>
          <w:b/>
        </w:rPr>
      </w:pPr>
      <w:r w:rsidRPr="001E146F">
        <w:rPr>
          <w:rFonts w:ascii="Garamond" w:hAnsi="Garamond"/>
          <w:b/>
        </w:rPr>
        <w:t>АО «ЦФР»</w:t>
      </w:r>
    </w:p>
    <w:p w:rsidR="001E146F" w:rsidRPr="001E146F" w:rsidRDefault="001E146F" w:rsidP="001E146F">
      <w:pPr>
        <w:jc w:val="both"/>
        <w:rPr>
          <w:rFonts w:ascii="Garamond" w:hAnsi="Garamond"/>
          <w:b/>
        </w:rPr>
      </w:pPr>
    </w:p>
    <w:p w:rsidR="001E146F" w:rsidRPr="001E146F" w:rsidRDefault="001E146F" w:rsidP="001E146F">
      <w:pPr>
        <w:jc w:val="both"/>
        <w:rPr>
          <w:rFonts w:ascii="Garamond" w:hAnsi="Garamond"/>
        </w:rPr>
      </w:pPr>
    </w:p>
    <w:p w:rsidR="001E146F" w:rsidRPr="001E146F" w:rsidRDefault="001E146F" w:rsidP="001E146F">
      <w:pPr>
        <w:jc w:val="both"/>
        <w:rPr>
          <w:rFonts w:ascii="Garamond" w:hAnsi="Garamond"/>
        </w:rPr>
      </w:pPr>
      <w:r w:rsidRPr="001E146F">
        <w:rPr>
          <w:rFonts w:ascii="Garamond" w:hAnsi="Garamond"/>
        </w:rPr>
        <w:t xml:space="preserve">            Настоящим уведомляем, что исполнение обязательства (</w:t>
      </w:r>
      <w:r w:rsidRPr="001E146F">
        <w:rPr>
          <w:rFonts w:ascii="Garamond" w:hAnsi="Garamond"/>
          <w:i/>
        </w:rPr>
        <w:t>наименование Покупателя, ИНН Покупателя</w:t>
      </w:r>
      <w:r w:rsidRPr="001E146F">
        <w:rPr>
          <w:rFonts w:ascii="Garamond" w:hAnsi="Garamond"/>
        </w:rPr>
        <w:t xml:space="preserve">) по предоставлению обеспечительного платежа для обеспечения обязательств по оплате электрической энергии на месяц </w:t>
      </w:r>
      <w:r w:rsidR="00B87480">
        <w:rPr>
          <w:rFonts w:ascii="Garamond" w:hAnsi="Garamond"/>
        </w:rPr>
        <w:t>_____________</w:t>
      </w:r>
      <w:r w:rsidRPr="001E146F">
        <w:rPr>
          <w:rFonts w:ascii="Garamond" w:hAnsi="Garamond"/>
        </w:rPr>
        <w:t xml:space="preserve"> по договору (</w:t>
      </w:r>
      <w:r w:rsidRPr="001E146F">
        <w:rPr>
          <w:rFonts w:ascii="Garamond" w:hAnsi="Garamond"/>
          <w:i/>
        </w:rPr>
        <w:t>номер договора</w:t>
      </w:r>
      <w:r w:rsidRPr="001E146F">
        <w:rPr>
          <w:rFonts w:ascii="Garamond" w:hAnsi="Garamond"/>
        </w:rPr>
        <w:t>) возложено на третье лицо:</w:t>
      </w: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381"/>
      </w:tblGrid>
      <w:tr w:rsidR="001E146F" w:rsidRPr="001E146F" w:rsidTr="001E146F">
        <w:trPr>
          <w:jc w:val="center"/>
        </w:trPr>
        <w:tc>
          <w:tcPr>
            <w:tcW w:w="3964" w:type="dxa"/>
          </w:tcPr>
          <w:p w:rsidR="001E146F" w:rsidRPr="001E146F" w:rsidRDefault="001E146F" w:rsidP="00136C3E">
            <w:pPr>
              <w:rPr>
                <w:rFonts w:ascii="Garamond" w:hAnsi="Garamond"/>
              </w:rPr>
            </w:pPr>
            <w:r w:rsidRPr="001E146F">
              <w:rPr>
                <w:rFonts w:ascii="Garamond" w:hAnsi="Garamond"/>
              </w:rPr>
              <w:t>Полное наименование организации</w:t>
            </w:r>
          </w:p>
        </w:tc>
        <w:tc>
          <w:tcPr>
            <w:tcW w:w="5381" w:type="dxa"/>
          </w:tcPr>
          <w:p w:rsidR="001E146F" w:rsidRPr="001E146F" w:rsidRDefault="001E146F" w:rsidP="00136C3E">
            <w:pPr>
              <w:jc w:val="both"/>
              <w:rPr>
                <w:rFonts w:ascii="Garamond" w:hAnsi="Garamond"/>
              </w:rPr>
            </w:pPr>
          </w:p>
        </w:tc>
      </w:tr>
      <w:tr w:rsidR="001E146F" w:rsidRPr="001E146F" w:rsidTr="001E146F">
        <w:trPr>
          <w:jc w:val="center"/>
        </w:trPr>
        <w:tc>
          <w:tcPr>
            <w:tcW w:w="3964" w:type="dxa"/>
          </w:tcPr>
          <w:p w:rsidR="001E146F" w:rsidRPr="001E146F" w:rsidRDefault="001E146F" w:rsidP="00136C3E">
            <w:pPr>
              <w:jc w:val="both"/>
              <w:rPr>
                <w:rFonts w:ascii="Garamond" w:hAnsi="Garamond"/>
              </w:rPr>
            </w:pPr>
            <w:r w:rsidRPr="001E146F">
              <w:rPr>
                <w:rFonts w:ascii="Garamond" w:hAnsi="Garamond"/>
              </w:rPr>
              <w:t>Краткое наименование организации</w:t>
            </w:r>
          </w:p>
        </w:tc>
        <w:tc>
          <w:tcPr>
            <w:tcW w:w="5381" w:type="dxa"/>
          </w:tcPr>
          <w:p w:rsidR="001E146F" w:rsidRPr="001E146F" w:rsidRDefault="001E146F" w:rsidP="00136C3E">
            <w:pPr>
              <w:jc w:val="both"/>
              <w:rPr>
                <w:rFonts w:ascii="Garamond" w:hAnsi="Garamond"/>
              </w:rPr>
            </w:pPr>
          </w:p>
        </w:tc>
      </w:tr>
      <w:tr w:rsidR="001E146F" w:rsidRPr="001E146F" w:rsidTr="001E146F">
        <w:trPr>
          <w:jc w:val="center"/>
        </w:trPr>
        <w:tc>
          <w:tcPr>
            <w:tcW w:w="3964" w:type="dxa"/>
          </w:tcPr>
          <w:p w:rsidR="001E146F" w:rsidRPr="001E146F" w:rsidRDefault="001E146F" w:rsidP="00136C3E">
            <w:pPr>
              <w:jc w:val="both"/>
              <w:rPr>
                <w:rFonts w:ascii="Garamond" w:hAnsi="Garamond"/>
              </w:rPr>
            </w:pPr>
            <w:r w:rsidRPr="001E146F">
              <w:rPr>
                <w:rFonts w:ascii="Garamond" w:hAnsi="Garamond"/>
              </w:rPr>
              <w:t>ИНН</w:t>
            </w:r>
          </w:p>
        </w:tc>
        <w:tc>
          <w:tcPr>
            <w:tcW w:w="5381" w:type="dxa"/>
          </w:tcPr>
          <w:p w:rsidR="001E146F" w:rsidRPr="001E146F" w:rsidRDefault="001E146F" w:rsidP="00136C3E">
            <w:pPr>
              <w:jc w:val="both"/>
              <w:rPr>
                <w:rFonts w:ascii="Garamond" w:hAnsi="Garamond"/>
              </w:rPr>
            </w:pPr>
          </w:p>
        </w:tc>
      </w:tr>
      <w:tr w:rsidR="001E146F" w:rsidRPr="001E146F" w:rsidTr="001E146F">
        <w:trPr>
          <w:jc w:val="center"/>
        </w:trPr>
        <w:tc>
          <w:tcPr>
            <w:tcW w:w="3964" w:type="dxa"/>
          </w:tcPr>
          <w:p w:rsidR="001E146F" w:rsidRPr="001E146F" w:rsidRDefault="001E146F" w:rsidP="00136C3E">
            <w:pPr>
              <w:jc w:val="both"/>
              <w:rPr>
                <w:rFonts w:ascii="Garamond" w:hAnsi="Garamond"/>
              </w:rPr>
            </w:pPr>
            <w:r w:rsidRPr="001E146F">
              <w:rPr>
                <w:rFonts w:ascii="Garamond" w:hAnsi="Garamond"/>
              </w:rPr>
              <w:t xml:space="preserve">КПП </w:t>
            </w:r>
          </w:p>
        </w:tc>
        <w:tc>
          <w:tcPr>
            <w:tcW w:w="5381" w:type="dxa"/>
          </w:tcPr>
          <w:p w:rsidR="001E146F" w:rsidRPr="001E146F" w:rsidRDefault="001E146F" w:rsidP="00136C3E">
            <w:pPr>
              <w:jc w:val="both"/>
              <w:rPr>
                <w:rFonts w:ascii="Garamond" w:hAnsi="Garamond"/>
              </w:rPr>
            </w:pPr>
          </w:p>
        </w:tc>
      </w:tr>
      <w:tr w:rsidR="001E146F" w:rsidRPr="001E146F" w:rsidTr="001E146F">
        <w:trPr>
          <w:jc w:val="center"/>
        </w:trPr>
        <w:tc>
          <w:tcPr>
            <w:tcW w:w="3964" w:type="dxa"/>
          </w:tcPr>
          <w:p w:rsidR="001E146F" w:rsidRPr="001E146F" w:rsidRDefault="001E146F" w:rsidP="00136C3E">
            <w:pPr>
              <w:jc w:val="both"/>
              <w:rPr>
                <w:rFonts w:ascii="Garamond" w:hAnsi="Garamond"/>
              </w:rPr>
            </w:pPr>
            <w:r w:rsidRPr="001E146F">
              <w:rPr>
                <w:rFonts w:ascii="Garamond" w:hAnsi="Garamond"/>
              </w:rPr>
              <w:lastRenderedPageBreak/>
              <w:t>ОГРН</w:t>
            </w:r>
          </w:p>
        </w:tc>
        <w:tc>
          <w:tcPr>
            <w:tcW w:w="5381" w:type="dxa"/>
          </w:tcPr>
          <w:p w:rsidR="001E146F" w:rsidRPr="001E146F" w:rsidRDefault="001E146F" w:rsidP="00136C3E">
            <w:pPr>
              <w:jc w:val="both"/>
              <w:rPr>
                <w:rFonts w:ascii="Garamond" w:hAnsi="Garamond"/>
              </w:rPr>
            </w:pPr>
          </w:p>
        </w:tc>
      </w:tr>
      <w:tr w:rsidR="001E146F" w:rsidRPr="001E146F" w:rsidTr="001E146F">
        <w:trPr>
          <w:jc w:val="center"/>
        </w:trPr>
        <w:tc>
          <w:tcPr>
            <w:tcW w:w="3964" w:type="dxa"/>
          </w:tcPr>
          <w:p w:rsidR="001E146F" w:rsidRPr="001E146F" w:rsidRDefault="001E146F" w:rsidP="00136C3E">
            <w:pPr>
              <w:jc w:val="both"/>
              <w:rPr>
                <w:rFonts w:ascii="Garamond" w:hAnsi="Garamond"/>
              </w:rPr>
            </w:pPr>
            <w:r w:rsidRPr="001E146F">
              <w:rPr>
                <w:rFonts w:ascii="Garamond" w:hAnsi="Garamond"/>
              </w:rPr>
              <w:t>телефон</w:t>
            </w:r>
          </w:p>
        </w:tc>
        <w:tc>
          <w:tcPr>
            <w:tcW w:w="5381" w:type="dxa"/>
          </w:tcPr>
          <w:p w:rsidR="001E146F" w:rsidRPr="001E146F" w:rsidRDefault="001E146F" w:rsidP="00136C3E">
            <w:pPr>
              <w:jc w:val="both"/>
              <w:rPr>
                <w:rFonts w:ascii="Garamond" w:hAnsi="Garamond"/>
              </w:rPr>
            </w:pPr>
          </w:p>
        </w:tc>
      </w:tr>
      <w:tr w:rsidR="001E146F" w:rsidRPr="001E146F" w:rsidTr="001E146F">
        <w:trPr>
          <w:jc w:val="center"/>
        </w:trPr>
        <w:tc>
          <w:tcPr>
            <w:tcW w:w="3964" w:type="dxa"/>
          </w:tcPr>
          <w:p w:rsidR="001E146F" w:rsidRPr="001E146F" w:rsidRDefault="001E146F" w:rsidP="00136C3E">
            <w:pPr>
              <w:jc w:val="both"/>
              <w:rPr>
                <w:rFonts w:ascii="Garamond" w:hAnsi="Garamond"/>
              </w:rPr>
            </w:pPr>
            <w:r w:rsidRPr="001E146F">
              <w:rPr>
                <w:rFonts w:ascii="Garamond" w:hAnsi="Garamond"/>
              </w:rPr>
              <w:t>Ф</w:t>
            </w:r>
            <w:r w:rsidR="00F33E62">
              <w:rPr>
                <w:rFonts w:ascii="Garamond" w:hAnsi="Garamond"/>
              </w:rPr>
              <w:t xml:space="preserve">. </w:t>
            </w:r>
            <w:r w:rsidRPr="001E146F">
              <w:rPr>
                <w:rFonts w:ascii="Garamond" w:hAnsi="Garamond"/>
              </w:rPr>
              <w:t>И</w:t>
            </w:r>
            <w:bookmarkStart w:id="0" w:name="_GoBack"/>
            <w:bookmarkEnd w:id="0"/>
            <w:r w:rsidR="00F33E62">
              <w:rPr>
                <w:rFonts w:ascii="Garamond" w:hAnsi="Garamond"/>
              </w:rPr>
              <w:t xml:space="preserve">. </w:t>
            </w:r>
            <w:r w:rsidRPr="001E146F">
              <w:rPr>
                <w:rFonts w:ascii="Garamond" w:hAnsi="Garamond"/>
              </w:rPr>
              <w:t>О</w:t>
            </w:r>
            <w:r w:rsidR="00F33E62">
              <w:rPr>
                <w:rFonts w:ascii="Garamond" w:hAnsi="Garamond"/>
              </w:rPr>
              <w:t>.</w:t>
            </w:r>
            <w:r w:rsidRPr="001E146F">
              <w:rPr>
                <w:rFonts w:ascii="Garamond" w:hAnsi="Garamond"/>
              </w:rPr>
              <w:t xml:space="preserve"> контактного лица</w:t>
            </w:r>
          </w:p>
        </w:tc>
        <w:tc>
          <w:tcPr>
            <w:tcW w:w="5381" w:type="dxa"/>
          </w:tcPr>
          <w:p w:rsidR="001E146F" w:rsidRPr="001E146F" w:rsidRDefault="001E146F" w:rsidP="00136C3E">
            <w:pPr>
              <w:jc w:val="both"/>
              <w:rPr>
                <w:rFonts w:ascii="Garamond" w:hAnsi="Garamond"/>
              </w:rPr>
            </w:pPr>
          </w:p>
        </w:tc>
      </w:tr>
    </w:tbl>
    <w:p w:rsidR="001E146F" w:rsidRPr="001E146F" w:rsidRDefault="001E146F" w:rsidP="001E146F">
      <w:pPr>
        <w:jc w:val="both"/>
        <w:rPr>
          <w:rFonts w:ascii="Garamond" w:hAnsi="Garamond"/>
        </w:rPr>
      </w:pPr>
    </w:p>
    <w:p w:rsidR="001E146F" w:rsidRPr="001E146F" w:rsidRDefault="001E146F" w:rsidP="001E146F">
      <w:pPr>
        <w:jc w:val="both"/>
        <w:rPr>
          <w:rFonts w:ascii="Garamond" w:hAnsi="Garamond"/>
        </w:rPr>
      </w:pPr>
    </w:p>
    <w:p w:rsidR="001E146F" w:rsidRPr="001E146F" w:rsidRDefault="001E146F" w:rsidP="001E146F">
      <w:pPr>
        <w:jc w:val="center"/>
        <w:rPr>
          <w:rFonts w:ascii="Garamond" w:hAnsi="Garamond"/>
        </w:rPr>
      </w:pPr>
      <w:r w:rsidRPr="001E146F">
        <w:rPr>
          <w:rFonts w:ascii="Garamond" w:hAnsi="Garamond"/>
        </w:rPr>
        <w:t xml:space="preserve">Руководитель                                                                                                </w:t>
      </w:r>
      <w:r w:rsidRPr="001E146F">
        <w:rPr>
          <w:rFonts w:ascii="Garamond" w:hAnsi="Garamond"/>
          <w:u w:val="single"/>
        </w:rPr>
        <w:t>__(подпись)_________________</w:t>
      </w:r>
    </w:p>
    <w:p w:rsidR="001E146F" w:rsidRPr="001E146F" w:rsidRDefault="001E146F">
      <w:pPr>
        <w:pStyle w:val="ac"/>
        <w:spacing w:before="0"/>
        <w:jc w:val="left"/>
        <w:rPr>
          <w:bCs w:val="0"/>
          <w:iCs/>
        </w:rPr>
      </w:pPr>
    </w:p>
    <w:sectPr w:rsidR="001E146F" w:rsidRPr="001E146F">
      <w:footerReference w:type="default" r:id="rId7"/>
      <w:type w:val="continuous"/>
      <w:pgSz w:w="16838" w:h="11906" w:orient="landscape"/>
      <w:pgMar w:top="993" w:right="1134" w:bottom="426" w:left="1134" w:header="709" w:footer="43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3E6DBA" w16cid:durableId="1FC0C1D7"/>
  <w16cid:commentId w16cid:paraId="1104564F" w16cid:durableId="1FC0C269"/>
  <w16cid:commentId w16cid:paraId="6E6FD117" w16cid:durableId="1FC0C26D"/>
  <w16cid:commentId w16cid:paraId="52B548A1" w16cid:durableId="1FC0C2A4"/>
  <w16cid:commentId w16cid:paraId="0FB02A46" w16cid:durableId="1FC0C2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A6" w:rsidRDefault="00CB67A6">
      <w:pPr>
        <w:spacing w:after="0" w:line="240" w:lineRule="auto"/>
      </w:pPr>
      <w:r>
        <w:separator/>
      </w:r>
    </w:p>
  </w:endnote>
  <w:endnote w:type="continuationSeparator" w:id="0">
    <w:p w:rsidR="00CB67A6" w:rsidRDefault="00CB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099427"/>
      <w:docPartObj>
        <w:docPartGallery w:val="Page Numbers (Bottom of Page)"/>
        <w:docPartUnique/>
      </w:docPartObj>
    </w:sdtPr>
    <w:sdtEndPr/>
    <w:sdtContent>
      <w:p w:rsidR="00E11092" w:rsidRDefault="00E50C79">
        <w:pPr>
          <w:pStyle w:val="af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3E6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11092" w:rsidRDefault="00E1109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7A6" w:rsidRDefault="00CB67A6">
      <w:pPr>
        <w:spacing w:after="0" w:line="240" w:lineRule="auto"/>
      </w:pPr>
      <w:r>
        <w:separator/>
      </w:r>
    </w:p>
  </w:footnote>
  <w:footnote w:type="continuationSeparator" w:id="0">
    <w:p w:rsidR="00CB67A6" w:rsidRDefault="00CB6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92"/>
    <w:rsid w:val="0005271A"/>
    <w:rsid w:val="000826E1"/>
    <w:rsid w:val="001E146F"/>
    <w:rsid w:val="004769A4"/>
    <w:rsid w:val="006E3FF8"/>
    <w:rsid w:val="00816393"/>
    <w:rsid w:val="008631C3"/>
    <w:rsid w:val="009E57B3"/>
    <w:rsid w:val="00AB1FDE"/>
    <w:rsid w:val="00B87480"/>
    <w:rsid w:val="00C017C8"/>
    <w:rsid w:val="00CB67A6"/>
    <w:rsid w:val="00CF12D1"/>
    <w:rsid w:val="00D13789"/>
    <w:rsid w:val="00E10F81"/>
    <w:rsid w:val="00E11092"/>
    <w:rsid w:val="00E50C79"/>
    <w:rsid w:val="00F16F27"/>
    <w:rsid w:val="00F3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5EA3B-CF3D-468E-9C80-2703AA5F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qFormat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3">
    <w:name w:val="heading 3"/>
    <w:aliases w:val="H3,Заголовок подпукта (1.1.1),Level 1 - 1,o"/>
    <w:basedOn w:val="a"/>
    <w:next w:val="a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aliases w:val="Sub-Minor,Level 2 - a,H4,H41"/>
    <w:basedOn w:val="a"/>
    <w:next w:val="a"/>
    <w:link w:val="40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aliases w:val="h5,h51,H5,H51,h52,test,Block Label,Level 3 - i"/>
    <w:basedOn w:val="a"/>
    <w:link w:val="50"/>
    <w:qFormat/>
    <w:pPr>
      <w:tabs>
        <w:tab w:val="num" w:pos="360"/>
      </w:tabs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styleId="6">
    <w:name w:val="heading 6"/>
    <w:aliases w:val="Legal Level 1."/>
    <w:basedOn w:val="a"/>
    <w:next w:val="5"/>
    <w:link w:val="60"/>
    <w:qFormat/>
    <w:pPr>
      <w:tabs>
        <w:tab w:val="num" w:pos="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</w:rPr>
  </w:style>
  <w:style w:type="paragraph" w:styleId="7">
    <w:name w:val="heading 7"/>
    <w:aliases w:val="Appendix Header,Legal Level 1.1."/>
    <w:basedOn w:val="a"/>
    <w:next w:val="a"/>
    <w:link w:val="70"/>
    <w:qFormat/>
    <w:pPr>
      <w:spacing w:before="180" w:after="240" w:line="240" w:lineRule="auto"/>
      <w:outlineLvl w:val="6"/>
    </w:pPr>
    <w:rPr>
      <w:rFonts w:ascii="Garamond" w:eastAsia="Times New Roman" w:hAnsi="Garamond"/>
      <w:szCs w:val="20"/>
    </w:rPr>
  </w:style>
  <w:style w:type="paragraph" w:styleId="8">
    <w:name w:val="heading 8"/>
    <w:aliases w:val="Legal Level 1.1.1."/>
    <w:basedOn w:val="a"/>
    <w:next w:val="a"/>
    <w:link w:val="80"/>
    <w:qFormat/>
    <w:p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aliases w:val="Legal Level 1.1.1.1."/>
    <w:basedOn w:val="a"/>
    <w:next w:val="a"/>
    <w:link w:val="90"/>
    <w:qFormat/>
    <w:pPr>
      <w:spacing w:before="240" w:after="60" w:line="240" w:lineRule="auto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Body Text"/>
    <w:basedOn w:val="a"/>
    <w:link w:val="a6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6">
    <w:name w:val="Основной текст Знак"/>
    <w:link w:val="a5"/>
    <w:rPr>
      <w:rFonts w:ascii="Garamond" w:eastAsia="Times New Roman" w:hAnsi="Garamond"/>
      <w:sz w:val="22"/>
      <w:lang w:val="en-GB" w:eastAsia="en-US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link w:val="2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aliases w:val="Sub-Minor Знак,Level 2 - a Знак,H4 Знак,H41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link w:val="1"/>
    <w:rPr>
      <w:rFonts w:ascii="Garamond" w:eastAsia="Times New Roman" w:hAnsi="Garamond"/>
      <w:b/>
      <w:bCs/>
      <w:caps/>
      <w:color w:val="000000"/>
      <w:kern w:val="28"/>
      <w:sz w:val="22"/>
      <w:szCs w:val="22"/>
      <w:lang w:eastAsia="en-US"/>
    </w:rPr>
  </w:style>
  <w:style w:type="paragraph" w:customStyle="1" w:styleId="subsubclauseindent">
    <w:name w:val="subsubclauseindent"/>
    <w:basedOn w:val="a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caption"/>
    <w:basedOn w:val="a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b">
    <w:name w:val="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</w:rPr>
  </w:style>
  <w:style w:type="character" w:customStyle="1" w:styleId="ad">
    <w:name w:val="Название Знак"/>
    <w:link w:val="ac"/>
    <w:rPr>
      <w:rFonts w:ascii="Garamond" w:eastAsia="Times New Roman" w:hAnsi="Garamond"/>
      <w:b/>
      <w:bCs/>
      <w:sz w:val="32"/>
      <w:szCs w:val="24"/>
    </w:rPr>
  </w:style>
  <w:style w:type="paragraph" w:styleId="32">
    <w:name w:val="Body Text 3"/>
    <w:basedOn w:val="a"/>
    <w:link w:val="3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Pr>
      <w:b/>
      <w:bCs/>
      <w:lang w:eastAsia="en-US"/>
    </w:rPr>
  </w:style>
  <w:style w:type="paragraph" w:styleId="22">
    <w:name w:val="List Number 2"/>
    <w:basedOn w:val="a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4">
    <w:name w:val="Strong"/>
    <w:uiPriority w:val="22"/>
    <w:qFormat/>
    <w:rPr>
      <w:b/>
      <w:bCs/>
    </w:rPr>
  </w:style>
  <w:style w:type="paragraph" w:styleId="af5">
    <w:name w:val="Normal (Web)"/>
    <w:basedOn w:val="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sz w:val="22"/>
      <w:szCs w:val="22"/>
      <w:lang w:eastAsia="en-US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semiHidden/>
    <w:unhideWhenUsed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2"/>
      <w:szCs w:val="22"/>
      <w:lang w:eastAsia="en-US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rPr>
      <w:rFonts w:ascii="Times New Roman" w:eastAsia="Times New Roman" w:hAnsi="Times New Roman"/>
      <w:sz w:val="22"/>
      <w:lang w:eastAsia="en-US"/>
    </w:rPr>
  </w:style>
  <w:style w:type="character" w:customStyle="1" w:styleId="60">
    <w:name w:val="Заголовок 6 Знак"/>
    <w:aliases w:val="Legal Level 1. Знак"/>
    <w:basedOn w:val="a0"/>
    <w:link w:val="6"/>
    <w:rPr>
      <w:rFonts w:ascii="Times New Roman" w:eastAsia="Times New Roman" w:hAnsi="Times New Roman"/>
      <w:sz w:val="22"/>
      <w:lang w:eastAsia="en-US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rPr>
      <w:rFonts w:ascii="Garamond" w:eastAsia="Times New Roman" w:hAnsi="Garamond"/>
      <w:sz w:val="22"/>
      <w:lang w:eastAsia="en-US"/>
    </w:rPr>
  </w:style>
  <w:style w:type="character" w:customStyle="1" w:styleId="80">
    <w:name w:val="Заголовок 8 Знак"/>
    <w:aliases w:val="Legal Level 1.1.1. Знак"/>
    <w:basedOn w:val="a0"/>
    <w:link w:val="8"/>
    <w:rPr>
      <w:rFonts w:ascii="Arial" w:eastAsia="Times New Roman" w:hAnsi="Arial"/>
      <w:i/>
      <w:lang w:eastAsia="en-US"/>
    </w:rPr>
  </w:style>
  <w:style w:type="character" w:customStyle="1" w:styleId="90">
    <w:name w:val="Заголовок 9 Знак"/>
    <w:aliases w:val="Legal Level 1.1.1.1. Знак"/>
    <w:basedOn w:val="a0"/>
    <w:link w:val="9"/>
    <w:rPr>
      <w:rFonts w:ascii="Arial" w:eastAsia="Times New Roman" w:hAnsi="Arial"/>
      <w:i/>
      <w:sz w:val="18"/>
      <w:lang w:eastAsia="en-US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lang w:eastAsia="en-US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table" w:styleId="af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Обычный2"/>
    <w:basedOn w:val="a"/>
    <w:uiPriority w:val="99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18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7062C-803A-4568-909B-C7404BE3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Hewlett-Packard Company</Company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Geil_YV</dc:creator>
  <cp:lastModifiedBy>Пряхина Ирина Игоревна</cp:lastModifiedBy>
  <cp:revision>5</cp:revision>
  <cp:lastPrinted>2019-07-22T13:54:00Z</cp:lastPrinted>
  <dcterms:created xsi:type="dcterms:W3CDTF">2019-07-18T11:49:00Z</dcterms:created>
  <dcterms:modified xsi:type="dcterms:W3CDTF">2019-07-22T14:20:00Z</dcterms:modified>
</cp:coreProperties>
</file>