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C1" w:rsidRDefault="00E462C1" w:rsidP="00E462C1">
      <w:pPr>
        <w:spacing w:after="0" w:line="252" w:lineRule="auto"/>
        <w:ind w:left="57"/>
        <w:contextualSpacing/>
        <w:jc w:val="right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caps/>
          <w:sz w:val="24"/>
          <w:szCs w:val="24"/>
          <w:lang w:eastAsia="ru-RU"/>
        </w:rPr>
        <w:t>Приложение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№ </w:t>
      </w:r>
      <w:r w:rsidR="00241DB2">
        <w:rPr>
          <w:rFonts w:ascii="Times New Roman" w:eastAsia="Calibri" w:hAnsi="Times New Roman"/>
          <w:sz w:val="24"/>
          <w:szCs w:val="24"/>
          <w:lang w:val="en-US" w:eastAsia="ru-RU"/>
        </w:rPr>
        <w:t>1.</w:t>
      </w:r>
      <w:r>
        <w:rPr>
          <w:rFonts w:ascii="Times New Roman" w:eastAsia="Calibri" w:hAnsi="Times New Roman"/>
          <w:sz w:val="24"/>
          <w:szCs w:val="24"/>
          <w:lang w:eastAsia="ru-RU"/>
        </w:rPr>
        <w:t>3</w:t>
      </w:r>
    </w:p>
    <w:p w:rsidR="00E462C1" w:rsidRDefault="00E462C1" w:rsidP="00E462C1">
      <w:pPr>
        <w:spacing w:after="0" w:line="252" w:lineRule="auto"/>
        <w:ind w:left="57"/>
        <w:contextualSpacing/>
        <w:jc w:val="right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к Протоколу № 20/2020 заседания Наблюдательного совета </w:t>
      </w:r>
    </w:p>
    <w:p w:rsidR="00E462C1" w:rsidRPr="00E462C1" w:rsidRDefault="00E462C1" w:rsidP="00E462C1">
      <w:pPr>
        <w:spacing w:after="0" w:line="240" w:lineRule="auto"/>
        <w:ind w:right="-31"/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Ассоциации «НП Совет рынка» от 21 августа 2020 года.</w:t>
      </w:r>
    </w:p>
    <w:p w:rsidR="00E462C1" w:rsidRPr="00E462C1" w:rsidRDefault="00E462C1">
      <w:pPr>
        <w:spacing w:after="0" w:line="240" w:lineRule="auto"/>
        <w:ind w:right="-31"/>
        <w:rPr>
          <w:rFonts w:ascii="Garamond" w:hAnsi="Garamond"/>
          <w:b/>
          <w:iCs/>
          <w:sz w:val="28"/>
          <w:szCs w:val="28"/>
        </w:rPr>
      </w:pPr>
    </w:p>
    <w:p w:rsidR="00C00DE2" w:rsidRDefault="006E4FB6">
      <w:pPr>
        <w:spacing w:after="0" w:line="240" w:lineRule="auto"/>
        <w:ind w:right="-31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  <w:lang w:val="en-US"/>
        </w:rPr>
        <w:t>V</w:t>
      </w:r>
      <w:r w:rsidRPr="006E4FB6">
        <w:rPr>
          <w:rFonts w:ascii="Garamond" w:hAnsi="Garamond"/>
          <w:b/>
          <w:iCs/>
          <w:sz w:val="28"/>
          <w:szCs w:val="28"/>
        </w:rPr>
        <w:t>.1.</w:t>
      </w:r>
      <w:r w:rsidR="00D4117D">
        <w:rPr>
          <w:rFonts w:ascii="Garamond" w:hAnsi="Garamond"/>
          <w:b/>
          <w:iCs/>
          <w:sz w:val="28"/>
          <w:szCs w:val="28"/>
        </w:rPr>
        <w:t xml:space="preserve"> Изменения, связанные с порядком расчета неустойки (пени) на задолженн</w:t>
      </w:r>
      <w:r w:rsidR="007F3696">
        <w:rPr>
          <w:rFonts w:ascii="Garamond" w:hAnsi="Garamond"/>
          <w:b/>
          <w:iCs/>
          <w:sz w:val="28"/>
          <w:szCs w:val="28"/>
        </w:rPr>
        <w:t>ость участника оптового рынка в </w:t>
      </w:r>
      <w:r w:rsidR="00D4117D">
        <w:rPr>
          <w:rFonts w:ascii="Garamond" w:hAnsi="Garamond"/>
          <w:b/>
          <w:iCs/>
          <w:sz w:val="28"/>
          <w:szCs w:val="28"/>
        </w:rPr>
        <w:t>связи с завершением процедуры банкротства в отношении ВОАО «Химпром»</w:t>
      </w:r>
    </w:p>
    <w:p w:rsidR="006E4FB6" w:rsidRDefault="006E4FB6">
      <w:pPr>
        <w:spacing w:after="0" w:line="240" w:lineRule="auto"/>
        <w:ind w:right="-31"/>
        <w:rPr>
          <w:rFonts w:ascii="Garamond" w:hAnsi="Garamond"/>
          <w:b/>
          <w:iCs/>
          <w:sz w:val="28"/>
          <w:szCs w:val="28"/>
        </w:rPr>
      </w:pPr>
    </w:p>
    <w:p w:rsidR="00C00DE2" w:rsidRPr="00241DB2" w:rsidRDefault="006E4FB6" w:rsidP="006E4FB6">
      <w:pPr>
        <w:spacing w:after="0" w:line="240" w:lineRule="auto"/>
        <w:ind w:right="-10"/>
        <w:jc w:val="right"/>
        <w:rPr>
          <w:rFonts w:ascii="Garamond" w:eastAsia="Times New Roman" w:hAnsi="Garamond" w:cs="Arial"/>
          <w:b/>
          <w:sz w:val="28"/>
          <w:szCs w:val="28"/>
          <w:lang w:eastAsia="ru-RU"/>
        </w:rPr>
      </w:pPr>
      <w:r w:rsidRPr="006E4FB6">
        <w:rPr>
          <w:rFonts w:ascii="Garamond" w:eastAsia="Times New Roman" w:hAnsi="Garamond" w:cs="Arial"/>
          <w:b/>
          <w:sz w:val="28"/>
          <w:szCs w:val="28"/>
          <w:lang w:eastAsia="ru-RU"/>
        </w:rPr>
        <w:t xml:space="preserve">Приложение № </w:t>
      </w:r>
      <w:r w:rsidR="00241DB2">
        <w:rPr>
          <w:rFonts w:ascii="Garamond" w:eastAsia="Times New Roman" w:hAnsi="Garamond" w:cs="Arial"/>
          <w:b/>
          <w:sz w:val="28"/>
          <w:szCs w:val="28"/>
          <w:lang w:val="en-US" w:eastAsia="ru-RU"/>
        </w:rPr>
        <w:t>1.</w:t>
      </w:r>
      <w:bookmarkStart w:id="0" w:name="_GoBack"/>
      <w:bookmarkEnd w:id="0"/>
      <w:r w:rsidR="00E462C1" w:rsidRPr="00241DB2">
        <w:rPr>
          <w:rFonts w:ascii="Garamond" w:eastAsia="Times New Roman" w:hAnsi="Garamond" w:cs="Arial"/>
          <w:b/>
          <w:sz w:val="28"/>
          <w:szCs w:val="28"/>
          <w:lang w:eastAsia="ru-RU"/>
        </w:rPr>
        <w:t>3</w:t>
      </w:r>
    </w:p>
    <w:p w:rsidR="007F3696" w:rsidRPr="00EF45C8" w:rsidRDefault="007F3696" w:rsidP="006E4FB6">
      <w:pPr>
        <w:spacing w:after="0" w:line="240" w:lineRule="auto"/>
        <w:ind w:right="-10"/>
        <w:jc w:val="right"/>
        <w:rPr>
          <w:rFonts w:ascii="Garamond" w:eastAsia="Times New Roman" w:hAnsi="Garamond" w:cs="Arial"/>
          <w:b/>
          <w:sz w:val="28"/>
          <w:szCs w:val="28"/>
          <w:lang w:eastAsia="ru-RU"/>
        </w:rPr>
      </w:pPr>
    </w:p>
    <w:p w:rsidR="00C00DE2" w:rsidRPr="007F3696" w:rsidRDefault="00D4117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2" w:color="auto"/>
        </w:pBdr>
        <w:spacing w:after="0" w:line="240" w:lineRule="auto"/>
        <w:rPr>
          <w:rFonts w:ascii="Garamond" w:hAnsi="Garamond" w:cs="Garamond"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Инициатор: </w:t>
      </w:r>
      <w:r>
        <w:rPr>
          <w:rFonts w:ascii="Garamond" w:hAnsi="Garamond" w:cs="Garamond"/>
          <w:bCs/>
          <w:sz w:val="24"/>
          <w:szCs w:val="24"/>
        </w:rPr>
        <w:t>ПАО «</w:t>
      </w:r>
      <w:proofErr w:type="spellStart"/>
      <w:r>
        <w:rPr>
          <w:rFonts w:ascii="Garamond" w:hAnsi="Garamond" w:cs="Garamond"/>
          <w:bCs/>
          <w:sz w:val="24"/>
          <w:szCs w:val="24"/>
        </w:rPr>
        <w:t>Волгоградэнергосбыт</w:t>
      </w:r>
      <w:proofErr w:type="spellEnd"/>
      <w:r>
        <w:rPr>
          <w:rFonts w:ascii="Garamond" w:hAnsi="Garamond" w:cs="Garamond"/>
          <w:bCs/>
          <w:sz w:val="24"/>
          <w:szCs w:val="24"/>
        </w:rPr>
        <w:t>»</w:t>
      </w:r>
      <w:r w:rsidR="007F3696">
        <w:rPr>
          <w:rFonts w:ascii="Garamond" w:hAnsi="Garamond" w:cs="Garamond"/>
          <w:bCs/>
          <w:sz w:val="24"/>
          <w:szCs w:val="24"/>
        </w:rPr>
        <w:t>.</w:t>
      </w:r>
    </w:p>
    <w:p w:rsidR="00C00DE2" w:rsidRPr="007F3696" w:rsidRDefault="00D4117D">
      <w:pPr>
        <w:pStyle w:val="a3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2" w:color="auto"/>
        </w:pBdr>
        <w:jc w:val="both"/>
        <w:rPr>
          <w:rFonts w:ascii="Garamond" w:hAnsi="Garamond" w:cs="Garamond"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Обоснование: </w:t>
      </w:r>
      <w:r w:rsidR="007F3696" w:rsidRPr="007F3696">
        <w:rPr>
          <w:rFonts w:ascii="Garamond" w:hAnsi="Garamond" w:cs="Garamond"/>
          <w:bCs/>
          <w:sz w:val="24"/>
          <w:szCs w:val="24"/>
        </w:rPr>
        <w:t xml:space="preserve">предоставление АО </w:t>
      </w:r>
      <w:r w:rsidR="007F3696">
        <w:rPr>
          <w:rFonts w:ascii="Garamond" w:hAnsi="Garamond" w:cs="Garamond"/>
          <w:bCs/>
          <w:sz w:val="24"/>
          <w:szCs w:val="24"/>
        </w:rPr>
        <w:t>«ЦФР»</w:t>
      </w:r>
      <w:r w:rsidR="007F3696" w:rsidRPr="007F3696">
        <w:rPr>
          <w:rFonts w:ascii="Garamond" w:hAnsi="Garamond" w:cs="Garamond"/>
          <w:bCs/>
          <w:sz w:val="24"/>
          <w:szCs w:val="24"/>
        </w:rPr>
        <w:t xml:space="preserve"> возможности</w:t>
      </w:r>
      <w:r w:rsidR="007F3696">
        <w:rPr>
          <w:rFonts w:ascii="Garamond" w:hAnsi="Garamond" w:cs="Garamond"/>
          <w:bCs/>
          <w:sz w:val="24"/>
          <w:szCs w:val="24"/>
        </w:rPr>
        <w:t xml:space="preserve"> ежемесячно производить корректировку реестра неисполненных (исполненных ненадлежащим образом) обязательств участника – кредитора потребителя РРЭ с целью реализации действующих особенностей расчета неустойки (пени), предусмотренных </w:t>
      </w:r>
      <w:r w:rsidR="00473D6B">
        <w:rPr>
          <w:rFonts w:ascii="Garamond" w:hAnsi="Garamond" w:cs="Garamond"/>
          <w:bCs/>
          <w:sz w:val="24"/>
          <w:szCs w:val="24"/>
        </w:rPr>
        <w:t>пунктом</w:t>
      </w:r>
      <w:r w:rsidR="007F3696">
        <w:rPr>
          <w:rFonts w:ascii="Garamond" w:hAnsi="Garamond" w:cs="Garamond"/>
          <w:bCs/>
          <w:sz w:val="24"/>
          <w:szCs w:val="24"/>
        </w:rPr>
        <w:t xml:space="preserve"> 12.5.2 Р</w:t>
      </w:r>
      <w:r w:rsidR="007F3696" w:rsidRPr="007F3696">
        <w:rPr>
          <w:rFonts w:ascii="Garamond" w:hAnsi="Garamond" w:cs="Garamond"/>
          <w:bCs/>
          <w:sz w:val="24"/>
          <w:szCs w:val="24"/>
        </w:rPr>
        <w:t>егламент</w:t>
      </w:r>
      <w:r w:rsidR="007F3696">
        <w:rPr>
          <w:rFonts w:ascii="Garamond" w:hAnsi="Garamond" w:cs="Garamond"/>
          <w:bCs/>
          <w:sz w:val="24"/>
          <w:szCs w:val="24"/>
        </w:rPr>
        <w:t>а</w:t>
      </w:r>
      <w:r w:rsidR="007F3696" w:rsidRPr="007F3696">
        <w:rPr>
          <w:rFonts w:ascii="Garamond" w:hAnsi="Garamond" w:cs="Garamond"/>
          <w:bCs/>
          <w:sz w:val="24"/>
          <w:szCs w:val="24"/>
        </w:rPr>
        <w:t xml:space="preserve"> финансовых расчетов на оптовом рынке электроэнергии (Приложение № 16 к Договору о присоединении к торговой системе оптового рынка)</w:t>
      </w:r>
      <w:r w:rsidR="007F3696">
        <w:rPr>
          <w:rFonts w:ascii="Garamond" w:hAnsi="Garamond" w:cs="Garamond"/>
          <w:bCs/>
          <w:sz w:val="24"/>
          <w:szCs w:val="24"/>
        </w:rPr>
        <w:t>.</w:t>
      </w:r>
    </w:p>
    <w:p w:rsidR="00C00DE2" w:rsidRDefault="00D4117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2" w:color="auto"/>
        </w:pBdr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Дата вступления в силу:</w:t>
      </w:r>
      <w:r>
        <w:rPr>
          <w:rFonts w:ascii="Garamond" w:hAnsi="Garamond" w:cs="Garamond"/>
          <w:bCs/>
          <w:sz w:val="24"/>
          <w:szCs w:val="24"/>
        </w:rPr>
        <w:t xml:space="preserve"> </w:t>
      </w:r>
      <w:r w:rsidR="00EF45C8">
        <w:rPr>
          <w:rFonts w:ascii="Garamond" w:hAnsi="Garamond" w:cs="Garamond"/>
          <w:bCs/>
          <w:sz w:val="24"/>
          <w:szCs w:val="24"/>
        </w:rPr>
        <w:t>21 августа 2020 года.</w:t>
      </w:r>
    </w:p>
    <w:p w:rsidR="00C00DE2" w:rsidRDefault="00C00DE2">
      <w:pPr>
        <w:pStyle w:val="a3"/>
        <w:jc w:val="both"/>
        <w:rPr>
          <w:rFonts w:ascii="Garamond" w:hAnsi="Garamond"/>
          <w:b/>
          <w:sz w:val="23"/>
          <w:szCs w:val="23"/>
        </w:rPr>
      </w:pPr>
    </w:p>
    <w:p w:rsidR="00C00DE2" w:rsidRDefault="00D4117D">
      <w:pPr>
        <w:pStyle w:val="a3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 xml:space="preserve">РЕГЛАМЕНТ ФИНАНСОВЫХ РАСЧЕТОВ НА ОПТОВОМ РЫНКЕ ЭЛЕКТРОЭНЕРГИИ </w:t>
      </w:r>
      <w:r>
        <w:rPr>
          <w:rFonts w:ascii="Garamond" w:hAnsi="Garamond"/>
          <w:b/>
          <w:sz w:val="26"/>
          <w:szCs w:val="26"/>
        </w:rPr>
        <w:t>(Приложение № 16 к Договору о присоединении к торговой системе оптового рынка)</w:t>
      </w:r>
    </w:p>
    <w:p w:rsidR="00C00DE2" w:rsidRDefault="00C00DE2">
      <w:pPr>
        <w:pStyle w:val="a3"/>
        <w:ind w:firstLine="708"/>
        <w:jc w:val="both"/>
        <w:rPr>
          <w:rFonts w:ascii="Garamond" w:hAnsi="Garamond"/>
          <w:b/>
          <w:sz w:val="23"/>
          <w:szCs w:val="23"/>
        </w:rPr>
      </w:pPr>
    </w:p>
    <w:tbl>
      <w:tblPr>
        <w:tblStyle w:val="a4"/>
        <w:tblW w:w="14879" w:type="dxa"/>
        <w:tblInd w:w="-147" w:type="dxa"/>
        <w:tblLook w:val="04A0" w:firstRow="1" w:lastRow="0" w:firstColumn="1" w:lastColumn="0" w:noHBand="0" w:noVBand="1"/>
      </w:tblPr>
      <w:tblGrid>
        <w:gridCol w:w="959"/>
        <w:gridCol w:w="5840"/>
        <w:gridCol w:w="8080"/>
      </w:tblGrid>
      <w:tr w:rsidR="00C00DE2" w:rsidTr="00473D6B">
        <w:tc>
          <w:tcPr>
            <w:tcW w:w="959" w:type="dxa"/>
            <w:vAlign w:val="center"/>
          </w:tcPr>
          <w:p w:rsidR="00C00DE2" w:rsidRDefault="00D4117D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:rsidR="00C00DE2" w:rsidRDefault="00D4117D">
            <w:pPr>
              <w:pStyle w:val="a3"/>
              <w:ind w:left="-108" w:right="-108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5840" w:type="dxa"/>
          </w:tcPr>
          <w:p w:rsidR="00C00DE2" w:rsidRDefault="00D4117D">
            <w:pPr>
              <w:pStyle w:val="a3"/>
              <w:ind w:left="-108" w:right="-137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Редакция, действующая на момент </w:t>
            </w:r>
          </w:p>
          <w:p w:rsidR="00C00DE2" w:rsidRDefault="00D4117D" w:rsidP="007F3696">
            <w:pPr>
              <w:pStyle w:val="a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вступления в силу изменений </w:t>
            </w:r>
          </w:p>
        </w:tc>
        <w:tc>
          <w:tcPr>
            <w:tcW w:w="8080" w:type="dxa"/>
            <w:vAlign w:val="center"/>
          </w:tcPr>
          <w:p w:rsidR="00C00DE2" w:rsidRDefault="00D4117D">
            <w:pPr>
              <w:pStyle w:val="a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C00DE2" w:rsidRDefault="00D4117D">
            <w:pPr>
              <w:pStyle w:val="a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C00DE2" w:rsidTr="00473D6B">
        <w:trPr>
          <w:trHeight w:val="558"/>
        </w:trPr>
        <w:tc>
          <w:tcPr>
            <w:tcW w:w="959" w:type="dxa"/>
          </w:tcPr>
          <w:p w:rsidR="00C00DE2" w:rsidRDefault="00D4117D">
            <w:pPr>
              <w:pStyle w:val="a3"/>
              <w:spacing w:before="120" w:after="120"/>
              <w:ind w:left="-108" w:right="-108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12.5.2.8</w:t>
            </w:r>
          </w:p>
        </w:tc>
        <w:tc>
          <w:tcPr>
            <w:tcW w:w="5840" w:type="dxa"/>
          </w:tcPr>
          <w:p w:rsidR="00C00DE2" w:rsidRDefault="00D4117D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Начиная с первого рабочего дня, следующего за днем получения уведомления, указанного в п. 12.5.2.7 настоящего Регламента, ЦФР не осуществляет корректировку реестра неисполненных (исполненных ненадлежащим образом) обязательств участника – кредитора потребителя РРЭ, на которые не производится расчет неустойки (пени).</w:t>
            </w:r>
          </w:p>
          <w:p w:rsidR="00C00DE2" w:rsidRDefault="00D4117D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Начиная с даты прекращения у участника оптового рынка статуса участника – кредитора потребителя РРЭ ЦФР возобновляет расчет неустойки (пени) в отношении неисполненных (исполненных ненадлежащим образом) обязательств такого участника в порядке, предусмотренном настоящим Регламентом.</w:t>
            </w:r>
          </w:p>
        </w:tc>
        <w:tc>
          <w:tcPr>
            <w:tcW w:w="8080" w:type="dxa"/>
          </w:tcPr>
          <w:p w:rsidR="00C00DE2" w:rsidRDefault="00D4117D" w:rsidP="00473D6B">
            <w:pPr>
              <w:pStyle w:val="ab"/>
              <w:spacing w:before="120"/>
              <w:ind w:firstLine="606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Начиная с первого рабочего дня, следующего за днем получения уведомления, указанного в п. 12.5.2.7 настоящего Регламента, </w:t>
            </w:r>
            <w:r w:rsidRPr="00667C2E">
              <w:rPr>
                <w:rFonts w:ascii="Garamond" w:hAnsi="Garamond"/>
                <w:highlight w:val="yellow"/>
              </w:rPr>
              <w:t>и до 01.09.2020</w:t>
            </w:r>
            <w:r>
              <w:rPr>
                <w:rFonts w:ascii="Garamond" w:hAnsi="Garamond"/>
              </w:rPr>
              <w:t xml:space="preserve"> ЦФР не осуществляет корректировку реестра неисполненных (исполненных ненадлежащим образом) обязательств участника – кредитора потребителя РРЭ, на которые не производится расчет неустойки (пени).</w:t>
            </w:r>
          </w:p>
          <w:p w:rsidR="0080240A" w:rsidRPr="000A06D6" w:rsidRDefault="00F6643A" w:rsidP="000A06D6">
            <w:pPr>
              <w:pStyle w:val="ab"/>
              <w:spacing w:before="120"/>
              <w:ind w:firstLine="60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Н</w:t>
            </w:r>
            <w:r w:rsidR="00D4117D">
              <w:rPr>
                <w:rFonts w:ascii="Garamond" w:hAnsi="Garamond"/>
                <w:highlight w:val="yellow"/>
              </w:rPr>
              <w:t xml:space="preserve">ачиная с 01.09.2020 ЦФР </w:t>
            </w:r>
            <w:r w:rsidR="00D4117D" w:rsidRPr="00667C2E">
              <w:rPr>
                <w:rFonts w:ascii="Garamond" w:hAnsi="Garamond"/>
                <w:highlight w:val="yellow"/>
              </w:rPr>
              <w:t xml:space="preserve">ежемесячно, в первый рабочий день месяца, в который ЦФР проводит сессии с УКО, </w:t>
            </w:r>
            <w:r w:rsidR="00D4117D">
              <w:rPr>
                <w:rFonts w:ascii="Garamond" w:hAnsi="Garamond"/>
                <w:highlight w:val="yellow"/>
              </w:rPr>
              <w:t>осуществляет корректировку реестра неисполненных (исполненных ненадлежащим образом) обязательств участника – кредитора потребителя РРЭ, на которые не производится расчет неустойки (пени)</w:t>
            </w:r>
            <w:r w:rsidR="00914DBE">
              <w:rPr>
                <w:rFonts w:ascii="Garamond" w:hAnsi="Garamond"/>
                <w:highlight w:val="yellow"/>
              </w:rPr>
              <w:t>,</w:t>
            </w:r>
            <w:r w:rsidR="00D4117D">
              <w:rPr>
                <w:rFonts w:ascii="Garamond" w:hAnsi="Garamond"/>
                <w:highlight w:val="yellow"/>
              </w:rPr>
              <w:t xml:space="preserve"> с учетом информации о сумме задолженности, указанной в последнем предоставленном СР уведомлении в адрес ЦФР в соответствии с пунктом 12.5.2.2 настоящего Регламента</w:t>
            </w:r>
            <w:r w:rsidR="00D4117D">
              <w:rPr>
                <w:rFonts w:ascii="Garamond" w:hAnsi="Garamond"/>
              </w:rPr>
              <w:t>.</w:t>
            </w:r>
          </w:p>
          <w:p w:rsidR="00C00DE2" w:rsidRPr="00F6643A" w:rsidRDefault="00D4117D">
            <w:pPr>
              <w:spacing w:before="120" w:after="120"/>
              <w:ind w:firstLine="567"/>
              <w:jc w:val="both"/>
              <w:rPr>
                <w:rFonts w:ascii="Garamond" w:hAnsi="Garamond"/>
                <w:highlight w:val="cyan"/>
              </w:rPr>
            </w:pPr>
            <w:r>
              <w:rPr>
                <w:rFonts w:ascii="Garamond" w:hAnsi="Garamond"/>
              </w:rPr>
              <w:t xml:space="preserve">Начиная с даты прекращения у участника оптового рынка статуса участника – кредитора потребителя РРЭ </w:t>
            </w:r>
            <w:r w:rsidRPr="00667C2E">
              <w:rPr>
                <w:rFonts w:ascii="Garamond" w:hAnsi="Garamond"/>
              </w:rPr>
              <w:t>ЦФР</w:t>
            </w:r>
            <w:r w:rsidR="00667C2E">
              <w:rPr>
                <w:rFonts w:ascii="Garamond" w:hAnsi="Garamond"/>
                <w:highlight w:val="yellow"/>
              </w:rPr>
              <w:t>:</w:t>
            </w:r>
          </w:p>
          <w:p w:rsidR="00C00DE2" w:rsidRPr="00667C2E" w:rsidRDefault="00D4117D" w:rsidP="00F6643A">
            <w:pPr>
              <w:pStyle w:val="ab"/>
              <w:numPr>
                <w:ilvl w:val="0"/>
                <w:numId w:val="6"/>
              </w:numPr>
              <w:spacing w:before="120"/>
              <w:jc w:val="both"/>
              <w:rPr>
                <w:rFonts w:ascii="Garamond" w:hAnsi="Garamond"/>
                <w:highlight w:val="yellow"/>
              </w:rPr>
            </w:pPr>
            <w:r w:rsidRPr="00667C2E">
              <w:rPr>
                <w:rFonts w:ascii="Garamond" w:hAnsi="Garamond"/>
                <w:highlight w:val="yellow"/>
              </w:rPr>
              <w:t>не осуществляет корректировку реестра неисполненных (исполненных ненадлежащим образом) обязательств участника – кредитора потребителя РРЭ, на которые не производится расчет неустойки (пени);</w:t>
            </w:r>
          </w:p>
          <w:p w:rsidR="00C00DE2" w:rsidRPr="00667C2E" w:rsidRDefault="00D4117D" w:rsidP="00F6643A">
            <w:pPr>
              <w:pStyle w:val="a7"/>
              <w:numPr>
                <w:ilvl w:val="0"/>
                <w:numId w:val="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67C2E">
              <w:rPr>
                <w:rFonts w:ascii="Garamond" w:hAnsi="Garamond"/>
                <w:sz w:val="22"/>
                <w:szCs w:val="22"/>
              </w:rPr>
              <w:lastRenderedPageBreak/>
              <w:t>возобновляет расчет неустойки (пени) в отношении неисполненных (исполненных ненадлежащим образом) обязательств такого участника в порядке, предусмотренном настоящим Регламентом.</w:t>
            </w:r>
          </w:p>
        </w:tc>
      </w:tr>
    </w:tbl>
    <w:p w:rsidR="00C00DE2" w:rsidRDefault="00C00DE2"/>
    <w:sectPr w:rsidR="00C00DE2" w:rsidSect="00473D6B">
      <w:footerReference w:type="default" r:id="rId7"/>
      <w:pgSz w:w="16838" w:h="11906" w:orient="landscape"/>
      <w:pgMar w:top="993" w:right="962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356" w:rsidRDefault="00681356">
      <w:pPr>
        <w:spacing w:after="0" w:line="240" w:lineRule="auto"/>
      </w:pPr>
      <w:r>
        <w:separator/>
      </w:r>
    </w:p>
  </w:endnote>
  <w:endnote w:type="continuationSeparator" w:id="0">
    <w:p w:rsidR="00681356" w:rsidRDefault="0068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176763"/>
      <w:docPartObj>
        <w:docPartGallery w:val="Page Numbers (Bottom of Page)"/>
        <w:docPartUnique/>
      </w:docPartObj>
    </w:sdtPr>
    <w:sdtEndPr/>
    <w:sdtContent>
      <w:p w:rsidR="00C00DE2" w:rsidRDefault="00D4117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DB2">
          <w:rPr>
            <w:noProof/>
          </w:rPr>
          <w:t>2</w:t>
        </w:r>
        <w:r>
          <w:fldChar w:fldCharType="end"/>
        </w:r>
      </w:p>
    </w:sdtContent>
  </w:sdt>
  <w:p w:rsidR="00C00DE2" w:rsidRDefault="00C00D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356" w:rsidRDefault="00681356">
      <w:pPr>
        <w:spacing w:after="0" w:line="240" w:lineRule="auto"/>
      </w:pPr>
      <w:r>
        <w:separator/>
      </w:r>
    </w:p>
  </w:footnote>
  <w:footnote w:type="continuationSeparator" w:id="0">
    <w:p w:rsidR="00681356" w:rsidRDefault="0068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855AA"/>
    <w:multiLevelType w:val="hybridMultilevel"/>
    <w:tmpl w:val="5E0C7014"/>
    <w:lvl w:ilvl="0" w:tplc="FFFFFFFF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3A5A41"/>
    <w:multiLevelType w:val="hybridMultilevel"/>
    <w:tmpl w:val="A626994E"/>
    <w:lvl w:ilvl="0" w:tplc="FFFFFFFF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6D1EED"/>
    <w:multiLevelType w:val="hybridMultilevel"/>
    <w:tmpl w:val="4F98F110"/>
    <w:lvl w:ilvl="0" w:tplc="6C0A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410A0"/>
    <w:multiLevelType w:val="multilevel"/>
    <w:tmpl w:val="ED72F6C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-72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5DA24ED4"/>
    <w:multiLevelType w:val="hybridMultilevel"/>
    <w:tmpl w:val="A7EA250E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E1EB5"/>
    <w:multiLevelType w:val="hybridMultilevel"/>
    <w:tmpl w:val="901280F0"/>
    <w:lvl w:ilvl="0" w:tplc="FFFFFFFF">
      <w:start w:val="1"/>
      <w:numFmt w:val="decimal"/>
      <w:lvlText w:val="%1)"/>
      <w:lvlJc w:val="left"/>
      <w:pPr>
        <w:tabs>
          <w:tab w:val="num" w:pos="1190"/>
        </w:tabs>
        <w:ind w:left="1190" w:hanging="453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2029"/>
        </w:tabs>
        <w:ind w:left="2029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E2"/>
    <w:rsid w:val="000A06D6"/>
    <w:rsid w:val="00235F59"/>
    <w:rsid w:val="00241DB2"/>
    <w:rsid w:val="002F4FB2"/>
    <w:rsid w:val="00473D6B"/>
    <w:rsid w:val="00540FEA"/>
    <w:rsid w:val="00541EDA"/>
    <w:rsid w:val="00597E6D"/>
    <w:rsid w:val="0062138C"/>
    <w:rsid w:val="00646362"/>
    <w:rsid w:val="00667C2E"/>
    <w:rsid w:val="00681356"/>
    <w:rsid w:val="006A7563"/>
    <w:rsid w:val="006E4FB6"/>
    <w:rsid w:val="007F3696"/>
    <w:rsid w:val="0080240A"/>
    <w:rsid w:val="00803303"/>
    <w:rsid w:val="00914DBE"/>
    <w:rsid w:val="00994091"/>
    <w:rsid w:val="009F4C9B"/>
    <w:rsid w:val="00A35E0B"/>
    <w:rsid w:val="00A50D7F"/>
    <w:rsid w:val="00B16955"/>
    <w:rsid w:val="00C00DE2"/>
    <w:rsid w:val="00D4117D"/>
    <w:rsid w:val="00E462C1"/>
    <w:rsid w:val="00EA42F0"/>
    <w:rsid w:val="00EF45C8"/>
    <w:rsid w:val="00F6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17B0F-8806-4F85-85DE-72F62776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h2,h21,Заголовок пункта (1.1),5,Reset numbering,222"/>
    <w:basedOn w:val="a"/>
    <w:next w:val="a"/>
    <w:link w:val="20"/>
    <w:uiPriority w:val="99"/>
    <w:qFormat/>
    <w:pPr>
      <w:keepNext/>
      <w:spacing w:before="240" w:after="60" w:line="360" w:lineRule="auto"/>
      <w:jc w:val="both"/>
      <w:outlineLvl w:val="1"/>
    </w:pPr>
    <w:rPr>
      <w:rFonts w:ascii="Times New Roman" w:eastAsia="Times New Roman" w:hAnsi="Times New Roman" w:cs="Arial"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pPr>
      <w:spacing w:after="0" w:line="240" w:lineRule="auto"/>
      <w:ind w:left="720"/>
      <w:jc w:val="both"/>
    </w:pPr>
    <w:rPr>
      <w:rFonts w:ascii="Garamond" w:eastAsia="Times New Roman" w:hAnsi="Garamond" w:cs="Times New Roman"/>
      <w:szCs w:val="24"/>
      <w:lang w:eastAsia="ru-RU"/>
    </w:rPr>
  </w:style>
  <w:style w:type="paragraph" w:styleId="3">
    <w:name w:val="Body Text 3"/>
    <w:basedOn w:val="a"/>
    <w:link w:val="30"/>
    <w:pPr>
      <w:spacing w:after="120" w:line="240" w:lineRule="auto"/>
      <w:jc w:val="both"/>
    </w:pPr>
    <w:rPr>
      <w:rFonts w:ascii="Garamond" w:eastAsia="Times New Roman" w:hAnsi="Garamond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Pr>
      <w:rFonts w:ascii="Garamond" w:eastAsia="Times New Roman" w:hAnsi="Garamond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1">
    <w:name w:val="Абзац списка1"/>
    <w:basedOn w:val="a"/>
    <w:pPr>
      <w:spacing w:after="0" w:line="240" w:lineRule="auto"/>
      <w:ind w:left="708"/>
      <w:jc w:val="both"/>
    </w:pPr>
    <w:rPr>
      <w:rFonts w:ascii="Garamond" w:eastAsia="Times New Roman" w:hAnsi="Garamond" w:cs="Times New Roman"/>
      <w:szCs w:val="24"/>
      <w:lang w:eastAsia="ru-RU"/>
    </w:rPr>
  </w:style>
  <w:style w:type="paragraph" w:styleId="a7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0"/>
    <w:link w:val="2"/>
    <w:uiPriority w:val="99"/>
    <w:rPr>
      <w:rFonts w:ascii="Times New Roman" w:eastAsia="Times New Roman" w:hAnsi="Times New Roman" w:cs="Arial"/>
      <w:bCs/>
      <w:iCs/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paragraph" w:customStyle="1" w:styleId="normal0">
    <w:name w:val="normal0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n.kaptel</dc:creator>
  <cp:keywords/>
  <dc:description/>
  <cp:lastModifiedBy>Федяева Адиля Никитична</cp:lastModifiedBy>
  <cp:revision>10</cp:revision>
  <cp:lastPrinted>2020-01-31T08:03:00Z</cp:lastPrinted>
  <dcterms:created xsi:type="dcterms:W3CDTF">2020-07-28T09:25:00Z</dcterms:created>
  <dcterms:modified xsi:type="dcterms:W3CDTF">2020-08-19T14:15:00Z</dcterms:modified>
</cp:coreProperties>
</file>