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A0BDD" w14:textId="77777777" w:rsidR="003146D6" w:rsidRPr="003146D6" w:rsidRDefault="003146D6" w:rsidP="003146D6">
      <w:pPr>
        <w:keepNext/>
        <w:keepLines/>
        <w:spacing w:before="240" w:after="240" w:line="240" w:lineRule="auto"/>
        <w:ind w:right="27"/>
        <w:outlineLvl w:val="0"/>
        <w:rPr>
          <w:rFonts w:ascii="Garamond" w:eastAsia="Calibri" w:hAnsi="Garamond" w:cs="Times New Roman"/>
          <w:b/>
          <w:bCs/>
          <w:sz w:val="28"/>
          <w:szCs w:val="28"/>
        </w:rPr>
      </w:pPr>
      <w:r w:rsidRPr="003146D6">
        <w:rPr>
          <w:rFonts w:ascii="Garamond" w:eastAsia="Calibri" w:hAnsi="Garamond" w:cs="Times New Roman"/>
          <w:b/>
          <w:bCs/>
          <w:sz w:val="28"/>
          <w:szCs w:val="28"/>
          <w:lang w:val="en-US"/>
        </w:rPr>
        <w:t>V</w:t>
      </w:r>
      <w:r w:rsidRPr="003146D6">
        <w:rPr>
          <w:rFonts w:ascii="Garamond" w:eastAsia="Calibri" w:hAnsi="Garamond" w:cs="Times New Roman"/>
          <w:b/>
          <w:bCs/>
          <w:sz w:val="28"/>
          <w:szCs w:val="28"/>
        </w:rPr>
        <w:t>.3</w:t>
      </w:r>
      <w:r w:rsidRPr="003146D6">
        <w:rPr>
          <w:rFonts w:ascii="Garamond" w:eastAsia="Times New Roman" w:hAnsi="Garamond" w:cs="Times New Roman"/>
          <w:b/>
          <w:kern w:val="36"/>
          <w:sz w:val="28"/>
          <w:szCs w:val="28"/>
        </w:rPr>
        <w:t xml:space="preserve">. </w:t>
      </w:r>
      <w:r w:rsidRPr="003146D6">
        <w:rPr>
          <w:rFonts w:ascii="Garamond" w:eastAsia="Times New Roman" w:hAnsi="Garamond" w:cs="Times New Roman"/>
          <w:b/>
          <w:iCs/>
          <w:kern w:val="36"/>
          <w:sz w:val="28"/>
          <w:szCs w:val="28"/>
        </w:rPr>
        <w:t>Изменения, связанные с обменом информацией между КО и СР</w:t>
      </w:r>
    </w:p>
    <w:p w14:paraId="6175D7F4" w14:textId="77777777" w:rsidR="003146D6" w:rsidRPr="003146D6" w:rsidRDefault="003146D6" w:rsidP="003146D6">
      <w:pPr>
        <w:autoSpaceDE w:val="0"/>
        <w:autoSpaceDN w:val="0"/>
        <w:adjustRightInd w:val="0"/>
        <w:spacing w:line="254" w:lineRule="auto"/>
        <w:ind w:right="-31"/>
        <w:jc w:val="right"/>
        <w:outlineLvl w:val="0"/>
        <w:rPr>
          <w:rFonts w:ascii="Garamond" w:eastAsia="Calibri" w:hAnsi="Garamond" w:cs="Times New Roman"/>
          <w:b/>
          <w:sz w:val="28"/>
          <w:szCs w:val="28"/>
        </w:rPr>
      </w:pPr>
      <w:r w:rsidRPr="003146D6">
        <w:rPr>
          <w:rFonts w:ascii="Garamond" w:eastAsia="Calibri" w:hAnsi="Garamond" w:cs="Times New Roman"/>
          <w:b/>
          <w:color w:val="000000"/>
          <w:sz w:val="28"/>
          <w:szCs w:val="28"/>
          <w:shd w:val="clear" w:color="auto" w:fill="FFFFFF"/>
        </w:rPr>
        <w:t xml:space="preserve">Приложение № </w:t>
      </w:r>
      <w:r w:rsidRPr="003146D6">
        <w:rPr>
          <w:rFonts w:ascii="Garamond" w:eastAsia="Calibri" w:hAnsi="Garamond" w:cs="Times New Roman"/>
          <w:b/>
          <w:color w:val="000000"/>
          <w:sz w:val="28"/>
          <w:szCs w:val="28"/>
          <w:shd w:val="clear" w:color="auto" w:fill="FFFFFF"/>
          <w:lang w:val="en-US"/>
        </w:rPr>
        <w:t>5.</w:t>
      </w:r>
      <w:r w:rsidRPr="003146D6">
        <w:rPr>
          <w:rFonts w:ascii="Garamond" w:eastAsia="Calibri" w:hAnsi="Garamond" w:cs="Times New Roman"/>
          <w:b/>
          <w:color w:val="000000"/>
          <w:sz w:val="28"/>
          <w:szCs w:val="28"/>
          <w:shd w:val="clear" w:color="auto" w:fill="FFFFFF"/>
        </w:rPr>
        <w:t>3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1"/>
      </w:tblGrid>
      <w:tr w:rsidR="00F808C2" w14:paraId="07F1F831" w14:textId="77777777">
        <w:trPr>
          <w:trHeight w:val="1034"/>
        </w:trPr>
        <w:tc>
          <w:tcPr>
            <w:tcW w:w="14601" w:type="dxa"/>
          </w:tcPr>
          <w:p w14:paraId="0CE6F2EF" w14:textId="77777777" w:rsidR="00F808C2" w:rsidRDefault="00DF31DB" w:rsidP="00B30783">
            <w:pPr>
              <w:keepNext/>
              <w:spacing w:after="0" w:line="240" w:lineRule="auto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Инициатор: </w:t>
            </w:r>
            <w:r>
              <w:rPr>
                <w:rFonts w:ascii="Garamond" w:hAnsi="Garamond" w:cs="Times New Roman"/>
                <w:bCs/>
                <w:sz w:val="24"/>
                <w:szCs w:val="24"/>
              </w:rPr>
              <w:t>Ассоциация «НП Совет рынка».</w:t>
            </w:r>
          </w:p>
          <w:p w14:paraId="13026D07" w14:textId="77777777" w:rsidR="00F808C2" w:rsidRDefault="00DF31DB" w:rsidP="00B30783">
            <w:pPr>
              <w:tabs>
                <w:tab w:val="left" w:pos="0"/>
                <w:tab w:val="left" w:pos="3420"/>
              </w:tabs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>
              <w:rPr>
                <w:rFonts w:ascii="Garamond" w:hAnsi="Garamond"/>
                <w:sz w:val="24"/>
                <w:szCs w:val="24"/>
              </w:rPr>
              <w:t>необходимо привести текущую редакцию ДОП к актуальной терминологии в нормативном регулировании, устранить неопределенности при взаимно</w:t>
            </w:r>
            <w:r w:rsidR="002350F9">
              <w:rPr>
                <w:rFonts w:ascii="Garamond" w:hAnsi="Garamond"/>
                <w:sz w:val="24"/>
                <w:szCs w:val="24"/>
              </w:rPr>
              <w:t xml:space="preserve">м обмене информацией между </w:t>
            </w:r>
            <w:r w:rsidR="002350F9" w:rsidRPr="002D3A7F">
              <w:rPr>
                <w:rFonts w:ascii="Garamond" w:hAnsi="Garamond"/>
                <w:sz w:val="24"/>
                <w:szCs w:val="24"/>
              </w:rPr>
              <w:t xml:space="preserve">КО, </w:t>
            </w:r>
            <w:r w:rsidRPr="002D3A7F">
              <w:rPr>
                <w:rFonts w:ascii="Garamond" w:hAnsi="Garamond"/>
                <w:sz w:val="24"/>
                <w:szCs w:val="24"/>
              </w:rPr>
              <w:t>СР</w:t>
            </w:r>
            <w:r w:rsidR="002350F9" w:rsidRPr="002D3A7F">
              <w:rPr>
                <w:rFonts w:ascii="Garamond" w:hAnsi="Garamond"/>
                <w:sz w:val="24"/>
                <w:szCs w:val="24"/>
              </w:rPr>
              <w:t xml:space="preserve"> и ЦФР</w:t>
            </w:r>
            <w:r w:rsidRPr="002D3A7F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5F1D73D7" w14:textId="16EAEE6F" w:rsidR="00F808C2" w:rsidRDefault="00DF31DB" w:rsidP="00B30783">
            <w:pPr>
              <w:pStyle w:val="subclauseindent"/>
              <w:spacing w:before="0" w:after="0"/>
              <w:ind w:left="0"/>
              <w:rPr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242FA8">
              <w:rPr>
                <w:rFonts w:ascii="Garamond" w:hAnsi="Garamond"/>
                <w:sz w:val="24"/>
                <w:szCs w:val="24"/>
              </w:rPr>
              <w:t>1 февраля</w:t>
            </w:r>
            <w:r w:rsidR="003146D6">
              <w:rPr>
                <w:rFonts w:ascii="Garamond" w:hAnsi="Garamond"/>
                <w:sz w:val="24"/>
                <w:szCs w:val="24"/>
              </w:rPr>
              <w:t xml:space="preserve"> 2025 года.</w:t>
            </w:r>
          </w:p>
        </w:tc>
      </w:tr>
    </w:tbl>
    <w:p w14:paraId="68CB37A8" w14:textId="77777777" w:rsidR="00F808C2" w:rsidRDefault="00F808C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230949" w14:textId="77777777" w:rsidR="00F808C2" w:rsidRDefault="00DF31DB">
      <w:pPr>
        <w:spacing w:after="0" w:line="257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Предложения по изменениям и дополнениям в СТАНДАРТНУЮ ФОРМУ ДОГОВОРА О ПРИСОЕДИНЕНИИ К ТОРГОВОЙ СИСТЕМЕ ОПТОВОГО РЫНКА</w:t>
      </w:r>
    </w:p>
    <w:p w14:paraId="76282CE1" w14:textId="77777777" w:rsidR="00F808C2" w:rsidRDefault="00F808C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594" w:type="dxa"/>
        <w:tblInd w:w="0" w:type="dxa"/>
        <w:tblLook w:val="04A0" w:firstRow="1" w:lastRow="0" w:firstColumn="1" w:lastColumn="0" w:noHBand="0" w:noVBand="1"/>
      </w:tblPr>
      <w:tblGrid>
        <w:gridCol w:w="1271"/>
        <w:gridCol w:w="6521"/>
        <w:gridCol w:w="6802"/>
      </w:tblGrid>
      <w:tr w:rsidR="00F808C2" w:rsidRPr="00AD4771" w14:paraId="3B44A2CE" w14:textId="77777777">
        <w:trPr>
          <w:trHeight w:val="51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9B23" w14:textId="77777777" w:rsidR="00F808C2" w:rsidRPr="00AD4771" w:rsidRDefault="00DF31DB">
            <w:pPr>
              <w:pStyle w:val="a4"/>
              <w:ind w:left="-108" w:right="-108"/>
              <w:jc w:val="center"/>
              <w:rPr>
                <w:rFonts w:ascii="Garamond" w:hAnsi="Garamond" w:cs="Times New Roman"/>
                <w:b/>
              </w:rPr>
            </w:pPr>
            <w:r w:rsidRPr="00AD4771">
              <w:rPr>
                <w:rFonts w:ascii="Garamond" w:hAnsi="Garamond" w:cs="Times New Roman"/>
                <w:b/>
              </w:rPr>
              <w:t>№</w:t>
            </w:r>
          </w:p>
          <w:p w14:paraId="28A28108" w14:textId="77777777" w:rsidR="00F808C2" w:rsidRPr="00AD4771" w:rsidRDefault="00DF31DB">
            <w:pPr>
              <w:pStyle w:val="a4"/>
              <w:ind w:left="-108" w:right="-108"/>
              <w:jc w:val="center"/>
              <w:rPr>
                <w:rFonts w:ascii="Garamond" w:hAnsi="Garamond" w:cs="Times New Roman"/>
              </w:rPr>
            </w:pPr>
            <w:r w:rsidRPr="00AD4771">
              <w:rPr>
                <w:rFonts w:ascii="Garamond" w:hAnsi="Garamond" w:cs="Times New Roman"/>
                <w:b/>
              </w:rPr>
              <w:t>пункта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D85C" w14:textId="77777777" w:rsidR="00F808C2" w:rsidRPr="00AD4771" w:rsidRDefault="00DF31DB">
            <w:pPr>
              <w:pStyle w:val="a4"/>
              <w:ind w:left="-108" w:right="-137"/>
              <w:jc w:val="center"/>
              <w:rPr>
                <w:rFonts w:ascii="Garamond" w:hAnsi="Garamond" w:cs="Times New Roman"/>
                <w:b/>
              </w:rPr>
            </w:pPr>
            <w:r w:rsidRPr="00AD4771">
              <w:rPr>
                <w:rFonts w:ascii="Garamond" w:hAnsi="Garamond" w:cs="Times New Roman"/>
                <w:b/>
              </w:rPr>
              <w:t xml:space="preserve">Редакция, действующая на момент </w:t>
            </w:r>
          </w:p>
          <w:p w14:paraId="22453410" w14:textId="77777777" w:rsidR="00F808C2" w:rsidRPr="00AD4771" w:rsidRDefault="00DF31DB">
            <w:pPr>
              <w:pStyle w:val="a4"/>
              <w:ind w:left="-108" w:right="-137"/>
              <w:jc w:val="center"/>
              <w:rPr>
                <w:rFonts w:ascii="Garamond" w:hAnsi="Garamond" w:cs="Times New Roman"/>
                <w:b/>
              </w:rPr>
            </w:pPr>
            <w:r w:rsidRPr="00AD4771">
              <w:rPr>
                <w:rFonts w:ascii="Garamond" w:hAnsi="Garamond" w:cs="Times New Roman"/>
                <w:b/>
              </w:rPr>
              <w:t>вступления в силу изменений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205B" w14:textId="77777777" w:rsidR="00F808C2" w:rsidRPr="00AD4771" w:rsidRDefault="00DF31DB">
            <w:pPr>
              <w:pStyle w:val="a4"/>
              <w:jc w:val="center"/>
              <w:rPr>
                <w:rFonts w:ascii="Garamond" w:hAnsi="Garamond" w:cs="Times New Roman"/>
                <w:b/>
              </w:rPr>
            </w:pPr>
            <w:r w:rsidRPr="00AD4771">
              <w:rPr>
                <w:rFonts w:ascii="Garamond" w:hAnsi="Garamond" w:cs="Times New Roman"/>
                <w:b/>
              </w:rPr>
              <w:t>Предлагаемая редакция</w:t>
            </w:r>
          </w:p>
          <w:p w14:paraId="7E451507" w14:textId="77777777" w:rsidR="00F808C2" w:rsidRPr="00AD4771" w:rsidRDefault="00DF31D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AD4771">
              <w:rPr>
                <w:rFonts w:ascii="Garamond" w:hAnsi="Garamond" w:cs="Times New Roman"/>
              </w:rPr>
              <w:t>(изменения выделены цветом)</w:t>
            </w:r>
          </w:p>
        </w:tc>
      </w:tr>
      <w:tr w:rsidR="00F808C2" w:rsidRPr="00AD4771" w14:paraId="603F7CF6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9D04" w14:textId="77777777" w:rsidR="00F808C2" w:rsidRPr="00AD4771" w:rsidRDefault="00DF31DB">
            <w:pPr>
              <w:pStyle w:val="a4"/>
              <w:spacing w:before="120" w:after="120"/>
              <w:ind w:left="-108" w:right="-108"/>
              <w:jc w:val="center"/>
              <w:rPr>
                <w:rFonts w:ascii="Garamond" w:hAnsi="Garamond"/>
                <w:b/>
                <w:bCs/>
                <w:iCs/>
              </w:rPr>
            </w:pPr>
            <w:r w:rsidRPr="00AD4771">
              <w:rPr>
                <w:rFonts w:ascii="Garamond" w:hAnsi="Garamond"/>
                <w:b/>
                <w:bCs/>
                <w:iCs/>
              </w:rPr>
              <w:t>5.2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76AD" w14:textId="77777777" w:rsidR="00F808C2" w:rsidRPr="00AD4771" w:rsidRDefault="00DF31DB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bCs/>
                <w:iCs/>
              </w:rPr>
            </w:pPr>
            <w:r w:rsidRPr="00AD4771">
              <w:rPr>
                <w:rFonts w:ascii="Garamond" w:eastAsia="Times New Roman" w:hAnsi="Garamond" w:cs="Times New Roman"/>
                <w:bCs/>
                <w:iCs/>
              </w:rPr>
              <w:t>СР име</w:t>
            </w:r>
            <w:r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е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т право </w:t>
            </w:r>
            <w:r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передать документацию, содержащую сведения,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 указанные в пункте 5.1 настоящего Договора, КО на условиях, по которым между сторонами достигнуто соглашение, с предоставлением права использования </w:t>
            </w:r>
            <w:r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указанных документов и содержащихся в них сведений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 в порядке, случаях и на условиях, предусмотренных указанным соглашением с условием включения в указанное соглашение условия о конфиденциальности, а также в случаях, если предоставление </w:t>
            </w:r>
            <w:r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документации (сведений)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 предусмотрено решением Наблюдательного совета </w:t>
            </w:r>
            <w:proofErr w:type="spellStart"/>
            <w:r w:rsidRPr="00AD4771">
              <w:rPr>
                <w:rFonts w:ascii="Garamond" w:eastAsia="Times New Roman" w:hAnsi="Garamond" w:cs="Times New Roman"/>
                <w:bCs/>
                <w:iCs/>
              </w:rPr>
              <w:t>Совета</w:t>
            </w:r>
            <w:proofErr w:type="spellEnd"/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 рынка при условии соблюдения  КО требований настоящего Договора о сохранении конфиденциальности сведений, полученных в связи с его исполнением.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849E" w14:textId="77777777" w:rsidR="00F808C2" w:rsidRPr="00AD4771" w:rsidRDefault="00DF31DB" w:rsidP="003C1057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bCs/>
                <w:iCs/>
              </w:rPr>
            </w:pPr>
            <w:r w:rsidRPr="00AD4771">
              <w:rPr>
                <w:rFonts w:ascii="Garamond" w:eastAsia="Times New Roman" w:hAnsi="Garamond" w:cs="Times New Roman"/>
                <w:bCs/>
                <w:iCs/>
              </w:rPr>
              <w:t>СР</w:t>
            </w:r>
            <w:r w:rsidR="003C1057" w:rsidRPr="00AD4771">
              <w:rPr>
                <w:rFonts w:ascii="Garamond" w:eastAsia="Times New Roman" w:hAnsi="Garamond" w:cs="Times New Roman"/>
                <w:bCs/>
                <w:iCs/>
              </w:rPr>
              <w:t>,</w:t>
            </w:r>
            <w:r w:rsidR="00645227" w:rsidRPr="00AD4771">
              <w:rPr>
                <w:rFonts w:ascii="Garamond" w:eastAsia="Times New Roman" w:hAnsi="Garamond" w:cs="Times New Roman"/>
                <w:bCs/>
                <w:iCs/>
              </w:rPr>
              <w:t xml:space="preserve"> </w:t>
            </w:r>
            <w:r w:rsidR="00645227"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ЦФР</w:t>
            </w:r>
            <w:r w:rsidR="00645227" w:rsidRPr="00AD4771">
              <w:rPr>
                <w:rFonts w:ascii="Garamond" w:eastAsia="Times New Roman" w:hAnsi="Garamond" w:cs="Times New Roman"/>
                <w:bCs/>
                <w:iCs/>
              </w:rPr>
              <w:t xml:space="preserve"> име</w:t>
            </w:r>
            <w:r w:rsidR="00645227"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ю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т право </w:t>
            </w:r>
            <w:r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передавать сведения (информацию),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 указанные в пункте 5.1 настоящего Договора, КО на условиях, по которым между сторонами достигнуто соглашение, с предоставлением права использования указанных </w:t>
            </w:r>
            <w:r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сведений (информации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) в порядке, случаях и на условиях, предусмотренных указанным соглашением с условием включения в указанное соглашение условия о конфиденциальности, а также в случаях, если предоставление </w:t>
            </w:r>
            <w:r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сведений (информации)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 предусмотрено решением Наблюдательного совета </w:t>
            </w:r>
            <w:proofErr w:type="spellStart"/>
            <w:r w:rsidRPr="00AD4771">
              <w:rPr>
                <w:rFonts w:ascii="Garamond" w:eastAsia="Times New Roman" w:hAnsi="Garamond" w:cs="Times New Roman"/>
                <w:bCs/>
                <w:iCs/>
              </w:rPr>
              <w:t>Совета</w:t>
            </w:r>
            <w:proofErr w:type="spellEnd"/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 рынка при условии соблюдения  КО требований настоящего Договора о сохранении конфиденциальности сведений </w:t>
            </w:r>
            <w:r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(информации)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>, полученных в связи с его исполнением.</w:t>
            </w:r>
          </w:p>
        </w:tc>
      </w:tr>
      <w:tr w:rsidR="00F808C2" w:rsidRPr="00AD4771" w14:paraId="71806323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1DB" w14:textId="77777777" w:rsidR="00F808C2" w:rsidRPr="00AD4771" w:rsidRDefault="00DF31DB">
            <w:pPr>
              <w:pStyle w:val="a4"/>
              <w:spacing w:before="120" w:after="120"/>
              <w:ind w:left="-108" w:right="-108"/>
              <w:jc w:val="center"/>
              <w:rPr>
                <w:rFonts w:ascii="Garamond" w:hAnsi="Garamond" w:cs="Times New Roman"/>
                <w:b/>
              </w:rPr>
            </w:pPr>
            <w:r w:rsidRPr="00AD4771">
              <w:rPr>
                <w:rFonts w:ascii="Garamond" w:hAnsi="Garamond"/>
                <w:b/>
                <w:bCs/>
                <w:iCs/>
              </w:rPr>
              <w:t>5.3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DC41" w14:textId="77777777" w:rsidR="00F808C2" w:rsidRPr="00AD4771" w:rsidRDefault="00DF31DB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bCs/>
                <w:iCs/>
              </w:rPr>
            </w:pPr>
            <w:r w:rsidRPr="00AD4771">
              <w:rPr>
                <w:rFonts w:ascii="Garamond" w:eastAsia="Times New Roman" w:hAnsi="Garamond" w:cs="Times New Roman"/>
                <w:bCs/>
                <w:iCs/>
              </w:rPr>
              <w:t>КО име</w:t>
            </w:r>
            <w:r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е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т право </w:t>
            </w:r>
            <w:r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передать документацию, содержащую сведения,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 указанные в пункте 5.1 настоящего Договора, СР на условиях, по которым между сторонами достигнуто соглашение, с предоставлением права использования указанных </w:t>
            </w:r>
            <w:r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документов и содержащихся в них сведений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 в порядке, случаях и на условиях, предусмотренных указанным соглашением, с условием включения в указанное соглашение условия о конфиденциальности, а также в случаях, если предоставление </w:t>
            </w:r>
            <w:r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документации (сведений)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 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lastRenderedPageBreak/>
              <w:t xml:space="preserve">предусмотрено решением Наблюдательного совета </w:t>
            </w:r>
            <w:proofErr w:type="spellStart"/>
            <w:r w:rsidRPr="00AD4771">
              <w:rPr>
                <w:rFonts w:ascii="Garamond" w:eastAsia="Times New Roman" w:hAnsi="Garamond" w:cs="Times New Roman"/>
                <w:bCs/>
                <w:iCs/>
              </w:rPr>
              <w:t>Совета</w:t>
            </w:r>
            <w:proofErr w:type="spellEnd"/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 рынка при условии соблюдения СР требований настоящего Договора о сохранении конфиденциальности сведений, полученных в связи с его исполнением.</w:t>
            </w:r>
          </w:p>
          <w:p w14:paraId="0AD48075" w14:textId="77777777" w:rsidR="00F808C2" w:rsidRPr="00AD4771" w:rsidRDefault="00DF31DB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bCs/>
                <w:iCs/>
              </w:rPr>
            </w:pPr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КО имеет право </w:t>
            </w:r>
            <w:r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передать документацию, содержащую сведения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, указанные в пункте 5.1 настоящего Договора, организации коммерческой инфраструктуры, уполномоченной Правительством Российской Федерации на осуществление квалификации генерирующих объектов, функционирующих на основе использования возобновляемых источников энергии и (или) являющихся низкоуглеродными генерирующими объектами, учет атрибутов генерации, ведение реестра атрибутов генерации и предоставление сертификатов происхождения электрической энергии (далее – Оператор реестра атрибутов генерации), на условиях, по которым между сторонами достигнуто соглашение, с предоставлением права использования указанных </w:t>
            </w:r>
            <w:r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документов и содержащихся в них сведений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 в порядке, случаях и на условиях, предусмотренных указанным соглашением, с условием включения в указанное соглашение условия о конфиденциальности.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CFFD" w14:textId="77777777" w:rsidR="00F808C2" w:rsidRPr="00AD4771" w:rsidRDefault="00DF31DB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bCs/>
                <w:iCs/>
              </w:rPr>
            </w:pPr>
            <w:r w:rsidRPr="00AD4771">
              <w:rPr>
                <w:rFonts w:ascii="Garamond" w:eastAsia="Times New Roman" w:hAnsi="Garamond" w:cs="Times New Roman"/>
                <w:bCs/>
                <w:iCs/>
              </w:rPr>
              <w:lastRenderedPageBreak/>
              <w:t>КО</w:t>
            </w:r>
            <w:r w:rsidR="003C1057" w:rsidRPr="00AD4771">
              <w:rPr>
                <w:rFonts w:ascii="Garamond" w:eastAsia="Times New Roman" w:hAnsi="Garamond" w:cs="Times New Roman"/>
                <w:bCs/>
                <w:iCs/>
              </w:rPr>
              <w:t xml:space="preserve">, </w:t>
            </w:r>
            <w:r w:rsidR="00645227"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ЦФР</w:t>
            </w:r>
            <w:r w:rsidR="00645227" w:rsidRPr="00AD4771">
              <w:rPr>
                <w:rFonts w:ascii="Garamond" w:eastAsia="Times New Roman" w:hAnsi="Garamond" w:cs="Times New Roman"/>
                <w:bCs/>
                <w:iCs/>
              </w:rPr>
              <w:t xml:space="preserve"> име</w:t>
            </w:r>
            <w:r w:rsidR="00645227"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ю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т право </w:t>
            </w:r>
            <w:r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передавать сведения (информацию)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, указанные в пункте 5.1 настоящего Договора, СР на условиях, по которым между сторонами достигнуто соглашение, с предоставлением права использования указанных </w:t>
            </w:r>
            <w:r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сведений (информации)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 в порядке, случаях и на условиях, предусмотренных указанным соглашением, с условием включения в указанное соглашение условия о конфиденциальности, а также в случаях, если предоставление </w:t>
            </w:r>
            <w:r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сведений (информации)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 предусмотрено решением Наблюдательного совета </w:t>
            </w:r>
            <w:proofErr w:type="spellStart"/>
            <w:r w:rsidRPr="00AD4771">
              <w:rPr>
                <w:rFonts w:ascii="Garamond" w:eastAsia="Times New Roman" w:hAnsi="Garamond" w:cs="Times New Roman"/>
                <w:bCs/>
                <w:iCs/>
              </w:rPr>
              <w:t>Совета</w:t>
            </w:r>
            <w:proofErr w:type="spellEnd"/>
            <w:r w:rsidRPr="00AD4771">
              <w:rPr>
                <w:rFonts w:ascii="Garamond" w:eastAsia="Times New Roman" w:hAnsi="Garamond" w:cs="Times New Roman"/>
                <w:bCs/>
                <w:iCs/>
              </w:rPr>
              <w:t xml:space="preserve"> рынка при 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lastRenderedPageBreak/>
              <w:t xml:space="preserve">условии соблюдения СР требований настоящего Договора о сохранении конфиденциальности сведений </w:t>
            </w:r>
            <w:r w:rsidRPr="00AD477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(информации)</w:t>
            </w:r>
            <w:r w:rsidRPr="00AD4771">
              <w:rPr>
                <w:rFonts w:ascii="Garamond" w:eastAsia="Times New Roman" w:hAnsi="Garamond" w:cs="Times New Roman"/>
                <w:bCs/>
                <w:iCs/>
              </w:rPr>
              <w:t>, полученных в связи с его исполнением.</w:t>
            </w:r>
          </w:p>
          <w:p w14:paraId="5847DB53" w14:textId="77777777" w:rsidR="00645227" w:rsidRPr="00AD4771" w:rsidRDefault="00645227">
            <w:pPr>
              <w:spacing w:before="120" w:after="120" w:line="240" w:lineRule="auto"/>
              <w:jc w:val="both"/>
              <w:rPr>
                <w:rFonts w:ascii="Garamond" w:eastAsia="Times New Roman" w:hAnsi="Garamond" w:cs="Times New Roman"/>
                <w:bCs/>
                <w:iCs/>
              </w:rPr>
            </w:pPr>
            <w:r w:rsidRPr="009C170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СР</w:t>
            </w:r>
            <w:r w:rsidR="003C1057" w:rsidRPr="009C170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 xml:space="preserve">, </w:t>
            </w:r>
            <w:r w:rsidRPr="009C170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 xml:space="preserve">КО имеют право передавать сведения (информацию), указанные в пункте 5.1 настоящего Договора, ЦФР на условиях, по которым между сторонами достигнуто соглашение, с предоставлением права использования указанных сведений (информации) в порядке, случаях и на условиях, предусмотренных указанным соглашением, с условием включения в указанное соглашение условия о конфиденциальности, а также в случаях, если предоставление сведений (информации) предусмотрено решением Наблюдательного совета </w:t>
            </w:r>
            <w:proofErr w:type="spellStart"/>
            <w:r w:rsidRPr="009C170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>Совета</w:t>
            </w:r>
            <w:proofErr w:type="spellEnd"/>
            <w:r w:rsidRPr="009C1701">
              <w:rPr>
                <w:rFonts w:ascii="Garamond" w:eastAsia="Times New Roman" w:hAnsi="Garamond" w:cs="Times New Roman"/>
                <w:bCs/>
                <w:iCs/>
                <w:highlight w:val="yellow"/>
              </w:rPr>
              <w:t xml:space="preserve"> рынка при условии соблюдения ЦФР требований настоящего Договора о сохранении конфиденциальности сведений (информации), полученных в связи с его исполнением.</w:t>
            </w:r>
            <w:bookmarkStart w:id="0" w:name="_GoBack"/>
            <w:bookmarkEnd w:id="0"/>
          </w:p>
          <w:p w14:paraId="57B5E4C1" w14:textId="77777777" w:rsidR="00F808C2" w:rsidRPr="00AD4771" w:rsidRDefault="00DF31DB">
            <w:pPr>
              <w:pStyle w:val="subclauseindent"/>
              <w:spacing w:before="240"/>
              <w:ind w:left="79"/>
              <w:rPr>
                <w:rFonts w:ascii="Garamond" w:hAnsi="Garamond"/>
                <w:bCs/>
                <w:iCs/>
                <w:szCs w:val="22"/>
              </w:rPr>
            </w:pPr>
            <w:r w:rsidRPr="00AD4771">
              <w:rPr>
                <w:rFonts w:ascii="Garamond" w:hAnsi="Garamond"/>
                <w:bCs/>
                <w:iCs/>
                <w:szCs w:val="22"/>
              </w:rPr>
              <w:t xml:space="preserve">КО имеет право </w:t>
            </w:r>
            <w:r w:rsidRPr="00AD4771">
              <w:rPr>
                <w:rFonts w:ascii="Garamond" w:hAnsi="Garamond"/>
                <w:bCs/>
                <w:iCs/>
                <w:szCs w:val="22"/>
                <w:highlight w:val="yellow"/>
              </w:rPr>
              <w:t>передавать сведения (информацию)</w:t>
            </w:r>
            <w:r w:rsidRPr="00AD4771">
              <w:rPr>
                <w:rFonts w:ascii="Garamond" w:hAnsi="Garamond"/>
                <w:bCs/>
                <w:iCs/>
                <w:szCs w:val="22"/>
              </w:rPr>
              <w:t xml:space="preserve">, указанные в пункте 5.1 настоящего Договора, организации коммерческой инфраструктуры, уполномоченной Правительством Российской Федерации на осуществление квалификации генерирующих объектов, функционирующих на основе использования возобновляемых источников энергии и (или) являющихся низкоуглеродными генерирующими объектами, учет атрибутов генерации, ведение реестра атрибутов генерации и предоставление сертификатов происхождения электрической энергии (далее – Оператор реестра атрибутов генерации), на условиях, по которым между сторонами достигнуто соглашение, с предоставлением права использования указанных </w:t>
            </w:r>
            <w:r w:rsidRPr="00AD4771">
              <w:rPr>
                <w:rFonts w:ascii="Garamond" w:hAnsi="Garamond"/>
                <w:bCs/>
                <w:iCs/>
                <w:szCs w:val="22"/>
                <w:highlight w:val="yellow"/>
              </w:rPr>
              <w:t>сведений (информации)</w:t>
            </w:r>
            <w:r w:rsidRPr="00AD4771">
              <w:rPr>
                <w:rFonts w:ascii="Garamond" w:hAnsi="Garamond"/>
                <w:bCs/>
                <w:iCs/>
                <w:szCs w:val="22"/>
              </w:rPr>
              <w:t xml:space="preserve"> в порядке, случаях и на условиях, предусмотренных указанным соглашением, с условием включения в указанное соглашение условия о конфиденциальности.</w:t>
            </w:r>
          </w:p>
          <w:p w14:paraId="7815A5A3" w14:textId="77777777" w:rsidR="00645227" w:rsidRPr="00AD4771" w:rsidRDefault="00645227">
            <w:pPr>
              <w:pStyle w:val="subclauseindent"/>
              <w:spacing w:before="240"/>
              <w:ind w:left="79"/>
              <w:rPr>
                <w:rFonts w:ascii="Garamond" w:eastAsiaTheme="minorHAnsi" w:hAnsi="Garamond"/>
                <w:iCs/>
                <w:szCs w:val="22"/>
              </w:rPr>
            </w:pPr>
          </w:p>
        </w:tc>
      </w:tr>
    </w:tbl>
    <w:p w14:paraId="6568188B" w14:textId="77777777" w:rsidR="00F808C2" w:rsidRDefault="00F808C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827CD0" w14:textId="77777777" w:rsidR="00F808C2" w:rsidRDefault="00F808C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808C2">
      <w:footerReference w:type="default" r:id="rId8"/>
      <w:footerReference w:type="first" r:id="rId9"/>
      <w:pgSz w:w="16838" w:h="11906" w:orient="landscape"/>
      <w:pgMar w:top="993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C414A" w14:textId="77777777" w:rsidR="00AA7F7C" w:rsidRDefault="00AA7F7C">
      <w:pPr>
        <w:spacing w:after="0" w:line="240" w:lineRule="auto"/>
      </w:pPr>
      <w:r>
        <w:separator/>
      </w:r>
    </w:p>
  </w:endnote>
  <w:endnote w:type="continuationSeparator" w:id="0">
    <w:p w14:paraId="01F34246" w14:textId="77777777" w:rsidR="00AA7F7C" w:rsidRDefault="00AA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0825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2BE0C0" w14:textId="2D592B4D" w:rsidR="00F808C2" w:rsidRDefault="00DF31DB">
        <w:pPr>
          <w:pStyle w:val="a8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9C1701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059FB51" w14:textId="77777777" w:rsidR="00F808C2" w:rsidRDefault="00F808C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C21BE" w14:textId="77777777" w:rsidR="00F808C2" w:rsidRDefault="00F808C2">
    <w:pPr>
      <w:pStyle w:val="a8"/>
      <w:jc w:val="right"/>
    </w:pPr>
  </w:p>
  <w:p w14:paraId="591735DC" w14:textId="77777777" w:rsidR="00F808C2" w:rsidRDefault="00F808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8F209" w14:textId="77777777" w:rsidR="00AA7F7C" w:rsidRDefault="00AA7F7C">
      <w:pPr>
        <w:spacing w:after="0" w:line="240" w:lineRule="auto"/>
      </w:pPr>
      <w:r>
        <w:separator/>
      </w:r>
    </w:p>
  </w:footnote>
  <w:footnote w:type="continuationSeparator" w:id="0">
    <w:p w14:paraId="3FCDC927" w14:textId="77777777" w:rsidR="00AA7F7C" w:rsidRDefault="00AA7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multilevel"/>
    <w:tmpl w:val="4ACE1628"/>
    <w:lvl w:ilvl="0">
      <w:start w:val="1"/>
      <w:numFmt w:val="decimal"/>
      <w:pStyle w:val="2"/>
      <w:lvlText w:val="%1."/>
      <w:lvlJc w:val="left"/>
      <w:pPr>
        <w:tabs>
          <w:tab w:val="num" w:pos="2193"/>
        </w:tabs>
        <w:ind w:left="2193" w:hanging="360"/>
      </w:pPr>
      <w:rPr>
        <w:rFonts w:cs="Times New Roman"/>
        <w:b/>
      </w:rPr>
    </w:lvl>
    <w:lvl w:ilvl="1">
      <w:start w:val="3"/>
      <w:numFmt w:val="decimal"/>
      <w:isLgl/>
      <w:lvlText w:val="%1.%2"/>
      <w:lvlJc w:val="left"/>
      <w:pPr>
        <w:tabs>
          <w:tab w:val="num" w:pos="1623"/>
        </w:tabs>
        <w:ind w:left="1623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83"/>
        </w:tabs>
        <w:ind w:left="198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3"/>
        </w:tabs>
        <w:ind w:left="234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43"/>
        </w:tabs>
        <w:ind w:left="23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03"/>
        </w:tabs>
        <w:ind w:left="270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3"/>
        </w:tabs>
        <w:ind w:left="270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3"/>
        </w:tabs>
        <w:ind w:left="30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3"/>
        </w:tabs>
        <w:ind w:left="3063" w:hanging="1800"/>
      </w:pPr>
      <w:rPr>
        <w:rFonts w:cs="Times New Roman" w:hint="default"/>
      </w:rPr>
    </w:lvl>
  </w:abstractNum>
  <w:abstractNum w:abstractNumId="1" w15:restartNumberingAfterBreak="0">
    <w:nsid w:val="FFFFFFFB"/>
    <w:multiLevelType w:val="multilevel"/>
    <w:tmpl w:val="E5B4EFCC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" w15:restartNumberingAfterBreak="0">
    <w:nsid w:val="06E1179C"/>
    <w:multiLevelType w:val="multilevel"/>
    <w:tmpl w:val="FBE63E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94247C8"/>
    <w:multiLevelType w:val="multilevel"/>
    <w:tmpl w:val="06CCF8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FBF3C95"/>
    <w:multiLevelType w:val="multilevel"/>
    <w:tmpl w:val="2AFC5B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0136312"/>
    <w:multiLevelType w:val="hybridMultilevel"/>
    <w:tmpl w:val="DD245CA6"/>
    <w:lvl w:ilvl="0" w:tplc="14BA9D00">
      <w:start w:val="1"/>
      <w:numFmt w:val="bullet"/>
      <w:pStyle w:val="a"/>
      <w:lvlText w:val=""/>
      <w:lvlJc w:val="left"/>
      <w:pPr>
        <w:tabs>
          <w:tab w:val="num" w:pos="1552"/>
        </w:tabs>
        <w:ind w:left="1203" w:hanging="11"/>
      </w:pPr>
      <w:rPr>
        <w:rFonts w:ascii="Wingdings" w:hAnsi="Wingdings" w:hint="default"/>
      </w:rPr>
    </w:lvl>
    <w:lvl w:ilvl="1" w:tplc="9520601A">
      <w:start w:val="1"/>
      <w:numFmt w:val="bullet"/>
      <w:lvlText w:val="o"/>
      <w:lvlJc w:val="left"/>
      <w:pPr>
        <w:tabs>
          <w:tab w:val="num" w:pos="1912"/>
        </w:tabs>
        <w:ind w:left="1912" w:hanging="360"/>
      </w:pPr>
      <w:rPr>
        <w:rFonts w:ascii="Courier New" w:hAnsi="Courier New" w:hint="default"/>
      </w:rPr>
    </w:lvl>
    <w:lvl w:ilvl="2" w:tplc="2F28707E" w:tentative="1">
      <w:start w:val="1"/>
      <w:numFmt w:val="bullet"/>
      <w:lvlText w:val=""/>
      <w:lvlJc w:val="left"/>
      <w:pPr>
        <w:tabs>
          <w:tab w:val="num" w:pos="2632"/>
        </w:tabs>
        <w:ind w:left="2632" w:hanging="360"/>
      </w:pPr>
      <w:rPr>
        <w:rFonts w:ascii="Wingdings" w:hAnsi="Wingdings" w:hint="default"/>
      </w:rPr>
    </w:lvl>
    <w:lvl w:ilvl="3" w:tplc="0C6E2A14" w:tentative="1">
      <w:start w:val="1"/>
      <w:numFmt w:val="bullet"/>
      <w:lvlText w:val=""/>
      <w:lvlJc w:val="left"/>
      <w:pPr>
        <w:tabs>
          <w:tab w:val="num" w:pos="3352"/>
        </w:tabs>
        <w:ind w:left="3352" w:hanging="360"/>
      </w:pPr>
      <w:rPr>
        <w:rFonts w:ascii="Symbol" w:hAnsi="Symbol" w:hint="default"/>
      </w:rPr>
    </w:lvl>
    <w:lvl w:ilvl="4" w:tplc="8A72A828" w:tentative="1">
      <w:start w:val="1"/>
      <w:numFmt w:val="bullet"/>
      <w:lvlText w:val="o"/>
      <w:lvlJc w:val="left"/>
      <w:pPr>
        <w:tabs>
          <w:tab w:val="num" w:pos="4072"/>
        </w:tabs>
        <w:ind w:left="4072" w:hanging="360"/>
      </w:pPr>
      <w:rPr>
        <w:rFonts w:ascii="Courier New" w:hAnsi="Courier New" w:hint="default"/>
      </w:rPr>
    </w:lvl>
    <w:lvl w:ilvl="5" w:tplc="8C44A2BE" w:tentative="1">
      <w:start w:val="1"/>
      <w:numFmt w:val="bullet"/>
      <w:lvlText w:val=""/>
      <w:lvlJc w:val="left"/>
      <w:pPr>
        <w:tabs>
          <w:tab w:val="num" w:pos="4792"/>
        </w:tabs>
        <w:ind w:left="4792" w:hanging="360"/>
      </w:pPr>
      <w:rPr>
        <w:rFonts w:ascii="Wingdings" w:hAnsi="Wingdings" w:hint="default"/>
      </w:rPr>
    </w:lvl>
    <w:lvl w:ilvl="6" w:tplc="C360E92E" w:tentative="1">
      <w:start w:val="1"/>
      <w:numFmt w:val="bullet"/>
      <w:lvlText w:val=""/>
      <w:lvlJc w:val="left"/>
      <w:pPr>
        <w:tabs>
          <w:tab w:val="num" w:pos="5512"/>
        </w:tabs>
        <w:ind w:left="5512" w:hanging="360"/>
      </w:pPr>
      <w:rPr>
        <w:rFonts w:ascii="Symbol" w:hAnsi="Symbol" w:hint="default"/>
      </w:rPr>
    </w:lvl>
    <w:lvl w:ilvl="7" w:tplc="0BC8328E" w:tentative="1">
      <w:start w:val="1"/>
      <w:numFmt w:val="bullet"/>
      <w:lvlText w:val="o"/>
      <w:lvlJc w:val="left"/>
      <w:pPr>
        <w:tabs>
          <w:tab w:val="num" w:pos="6232"/>
        </w:tabs>
        <w:ind w:left="6232" w:hanging="360"/>
      </w:pPr>
      <w:rPr>
        <w:rFonts w:ascii="Courier New" w:hAnsi="Courier New" w:hint="default"/>
      </w:rPr>
    </w:lvl>
    <w:lvl w:ilvl="8" w:tplc="E52A2308" w:tentative="1">
      <w:start w:val="1"/>
      <w:numFmt w:val="bullet"/>
      <w:lvlText w:val=""/>
      <w:lvlJc w:val="left"/>
      <w:pPr>
        <w:tabs>
          <w:tab w:val="num" w:pos="6952"/>
        </w:tabs>
        <w:ind w:left="6952" w:hanging="360"/>
      </w:pPr>
      <w:rPr>
        <w:rFonts w:ascii="Wingdings" w:hAnsi="Wingdings" w:hint="default"/>
      </w:rPr>
    </w:lvl>
  </w:abstractNum>
  <w:abstractNum w:abstractNumId="6" w15:restartNumberingAfterBreak="0">
    <w:nsid w:val="13FA189E"/>
    <w:multiLevelType w:val="multilevel"/>
    <w:tmpl w:val="268422F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4704C0B"/>
    <w:multiLevelType w:val="hybridMultilevel"/>
    <w:tmpl w:val="F3F48D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A4503F"/>
    <w:multiLevelType w:val="hybridMultilevel"/>
    <w:tmpl w:val="F45AE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62EBE"/>
    <w:multiLevelType w:val="multilevel"/>
    <w:tmpl w:val="B292FB28"/>
    <w:styleLink w:val="List64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10" w15:restartNumberingAfterBreak="0">
    <w:nsid w:val="193A6BC1"/>
    <w:multiLevelType w:val="multilevel"/>
    <w:tmpl w:val="4BB6E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726F3E"/>
    <w:multiLevelType w:val="multilevel"/>
    <w:tmpl w:val="B568C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FEE1B2C"/>
    <w:multiLevelType w:val="hybridMultilevel"/>
    <w:tmpl w:val="FD4C0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839A9"/>
    <w:multiLevelType w:val="hybridMultilevel"/>
    <w:tmpl w:val="5FBADD16"/>
    <w:lvl w:ilvl="0" w:tplc="96DAB0A2">
      <w:start w:val="1"/>
      <w:numFmt w:val="bullet"/>
      <w:lvlText w:val="−"/>
      <w:lvlJc w:val="left"/>
      <w:pPr>
        <w:ind w:left="1713" w:hanging="360"/>
      </w:pPr>
      <w:rPr>
        <w:rFonts w:ascii="Garamond" w:hAnsi="Garamond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2932556"/>
    <w:multiLevelType w:val="hybridMultilevel"/>
    <w:tmpl w:val="09DE069E"/>
    <w:lvl w:ilvl="0" w:tplc="96DAB0A2">
      <w:start w:val="1"/>
      <w:numFmt w:val="bullet"/>
      <w:lvlText w:val="−"/>
      <w:lvlJc w:val="left"/>
      <w:pPr>
        <w:ind w:left="1713" w:hanging="360"/>
      </w:pPr>
      <w:rPr>
        <w:rFonts w:ascii="Garamond" w:hAnsi="Garamond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27871060"/>
    <w:multiLevelType w:val="multilevel"/>
    <w:tmpl w:val="BFDCD3A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"/>
        </w:tabs>
        <w:ind w:left="831" w:hanging="405"/>
      </w:pPr>
      <w:rPr>
        <w:rFonts w:cs="Times New Roman" w:hint="default"/>
        <w:b w:val="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C684285"/>
    <w:multiLevelType w:val="hybridMultilevel"/>
    <w:tmpl w:val="53E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F77BC"/>
    <w:multiLevelType w:val="multilevel"/>
    <w:tmpl w:val="3716BC2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4.2.1.%2"/>
      <w:lvlJc w:val="left"/>
      <w:pPr>
        <w:ind w:left="2136" w:hanging="576"/>
      </w:pPr>
      <w:rPr>
        <w:rFonts w:cs="Times New Roman" w:hint="default"/>
      </w:rPr>
    </w:lvl>
    <w:lvl w:ilvl="2">
      <w:start w:val="1"/>
      <w:numFmt w:val="decimal"/>
      <w:pStyle w:val="3"/>
      <w:lvlText w:val="4.2.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4.2.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4.2.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4.2.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4.2.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4.2.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4.2.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49CE1BD1"/>
    <w:multiLevelType w:val="hybridMultilevel"/>
    <w:tmpl w:val="7C38F404"/>
    <w:lvl w:ilvl="0" w:tplc="04190005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12DB0"/>
    <w:multiLevelType w:val="multilevel"/>
    <w:tmpl w:val="761A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A782AD0"/>
    <w:multiLevelType w:val="multilevel"/>
    <w:tmpl w:val="2AFC5B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B583EC7"/>
    <w:multiLevelType w:val="multilevel"/>
    <w:tmpl w:val="523073B0"/>
    <w:styleLink w:val="List6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22" w15:restartNumberingAfterBreak="0">
    <w:nsid w:val="4D016FF4"/>
    <w:multiLevelType w:val="hybridMultilevel"/>
    <w:tmpl w:val="53E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03F06"/>
    <w:multiLevelType w:val="hybridMultilevel"/>
    <w:tmpl w:val="16984A8E"/>
    <w:lvl w:ilvl="0" w:tplc="25CC5EE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0662FBC"/>
    <w:multiLevelType w:val="multilevel"/>
    <w:tmpl w:val="868E87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562B74A2"/>
    <w:multiLevelType w:val="multilevel"/>
    <w:tmpl w:val="7B38B9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574D7614"/>
    <w:multiLevelType w:val="multilevel"/>
    <w:tmpl w:val="65B2D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80B5A13"/>
    <w:multiLevelType w:val="hybridMultilevel"/>
    <w:tmpl w:val="B2A294E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F0575"/>
    <w:multiLevelType w:val="hybridMultilevel"/>
    <w:tmpl w:val="29E485C2"/>
    <w:lvl w:ilvl="0" w:tplc="203C02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D6899"/>
    <w:multiLevelType w:val="multilevel"/>
    <w:tmpl w:val="F3F0CCDE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Garamond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ru-RU"/>
      </w:rPr>
    </w:lvl>
  </w:abstractNum>
  <w:abstractNum w:abstractNumId="30" w15:restartNumberingAfterBreak="0">
    <w:nsid w:val="68E734D9"/>
    <w:multiLevelType w:val="hybridMultilevel"/>
    <w:tmpl w:val="870E8D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BF2491"/>
    <w:multiLevelType w:val="multilevel"/>
    <w:tmpl w:val="3BD4BF10"/>
    <w:lvl w:ilvl="0">
      <w:start w:val="1"/>
      <w:numFmt w:val="decimal"/>
      <w:lvlText w:val="§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  <w:i w:val="0"/>
        <w:strike w:val="0"/>
        <w:color w:val="auto"/>
      </w:rPr>
    </w:lvl>
    <w:lvl w:ilvl="2">
      <w:start w:val="1"/>
      <w:numFmt w:val="decimal"/>
      <w:lvlText w:val="1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2" w15:restartNumberingAfterBreak="0">
    <w:nsid w:val="75DD6C99"/>
    <w:multiLevelType w:val="multilevel"/>
    <w:tmpl w:val="DF3EE598"/>
    <w:lvl w:ilvl="0">
      <w:start w:val="1"/>
      <w:numFmt w:val="decimal"/>
      <w:suff w:val="nothing"/>
      <w:lvlText w:val="%1."/>
      <w:lvlJc w:val="left"/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426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79686A4D"/>
    <w:multiLevelType w:val="hybridMultilevel"/>
    <w:tmpl w:val="ABD0E128"/>
    <w:lvl w:ilvl="0" w:tplc="96DAB0A2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  <w:b w:val="0"/>
        <w:i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35745"/>
    <w:multiLevelType w:val="multilevel"/>
    <w:tmpl w:val="868E87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7AA02956"/>
    <w:multiLevelType w:val="multilevel"/>
    <w:tmpl w:val="268422F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29"/>
  </w:num>
  <w:num w:numId="4">
    <w:abstractNumId w:val="9"/>
  </w:num>
  <w:num w:numId="5">
    <w:abstractNumId w:val="17"/>
  </w:num>
  <w:num w:numId="6">
    <w:abstractNumId w:val="19"/>
  </w:num>
  <w:num w:numId="7">
    <w:abstractNumId w:val="4"/>
  </w:num>
  <w:num w:numId="8">
    <w:abstractNumId w:val="20"/>
  </w:num>
  <w:num w:numId="9">
    <w:abstractNumId w:val="2"/>
  </w:num>
  <w:num w:numId="10">
    <w:abstractNumId w:val="26"/>
  </w:num>
  <w:num w:numId="11">
    <w:abstractNumId w:val="1"/>
  </w:num>
  <w:num w:numId="12">
    <w:abstractNumId w:val="5"/>
  </w:num>
  <w:num w:numId="13">
    <w:abstractNumId w:val="34"/>
  </w:num>
  <w:num w:numId="14">
    <w:abstractNumId w:val="24"/>
  </w:num>
  <w:num w:numId="15">
    <w:abstractNumId w:val="22"/>
  </w:num>
  <w:num w:numId="16">
    <w:abstractNumId w:val="16"/>
  </w:num>
  <w:num w:numId="17">
    <w:abstractNumId w:val="23"/>
  </w:num>
  <w:num w:numId="18">
    <w:abstractNumId w:val="12"/>
  </w:num>
  <w:num w:numId="19">
    <w:abstractNumId w:val="6"/>
  </w:num>
  <w:num w:numId="20">
    <w:abstractNumId w:val="25"/>
  </w:num>
  <w:num w:numId="21">
    <w:abstractNumId w:val="35"/>
  </w:num>
  <w:num w:numId="22">
    <w:abstractNumId w:val="27"/>
  </w:num>
  <w:num w:numId="23">
    <w:abstractNumId w:val="11"/>
  </w:num>
  <w:num w:numId="24">
    <w:abstractNumId w:val="15"/>
  </w:num>
  <w:num w:numId="25">
    <w:abstractNumId w:val="10"/>
  </w:num>
  <w:num w:numId="26">
    <w:abstractNumId w:val="28"/>
  </w:num>
  <w:num w:numId="27">
    <w:abstractNumId w:val="32"/>
  </w:num>
  <w:num w:numId="28">
    <w:abstractNumId w:val="7"/>
  </w:num>
  <w:num w:numId="29">
    <w:abstractNumId w:val="13"/>
  </w:num>
  <w:num w:numId="30">
    <w:abstractNumId w:val="14"/>
  </w:num>
  <w:num w:numId="31">
    <w:abstractNumId w:val="3"/>
  </w:num>
  <w:num w:numId="32">
    <w:abstractNumId w:val="30"/>
  </w:num>
  <w:num w:numId="33">
    <w:abstractNumId w:val="18"/>
  </w:num>
  <w:num w:numId="34">
    <w:abstractNumId w:val="33"/>
  </w:num>
  <w:num w:numId="35">
    <w:abstractNumId w:val="8"/>
  </w:num>
  <w:num w:numId="36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C2"/>
    <w:rsid w:val="002350F9"/>
    <w:rsid w:val="00242FA8"/>
    <w:rsid w:val="00252D2B"/>
    <w:rsid w:val="002D3A7F"/>
    <w:rsid w:val="002E3396"/>
    <w:rsid w:val="003146D6"/>
    <w:rsid w:val="003759F4"/>
    <w:rsid w:val="003C1057"/>
    <w:rsid w:val="00527BB9"/>
    <w:rsid w:val="00623DD3"/>
    <w:rsid w:val="00643109"/>
    <w:rsid w:val="00645227"/>
    <w:rsid w:val="00722045"/>
    <w:rsid w:val="007E3307"/>
    <w:rsid w:val="00946F0B"/>
    <w:rsid w:val="009C1701"/>
    <w:rsid w:val="00A10C25"/>
    <w:rsid w:val="00A4667C"/>
    <w:rsid w:val="00AA7F7C"/>
    <w:rsid w:val="00AD4771"/>
    <w:rsid w:val="00B30783"/>
    <w:rsid w:val="00DF31DB"/>
    <w:rsid w:val="00F808C2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8028"/>
  <w15:chartTrackingRefBased/>
  <w15:docId w15:val="{FEDCDCDA-9724-4E7B-937F-A5CB668B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56" w:lineRule="auto"/>
    </w:pPr>
  </w:style>
  <w:style w:type="paragraph" w:styleId="1">
    <w:name w:val="heading 1"/>
    <w:aliases w:val="Заголовок параграфа (1.),Section,Section Heading,level2 hdg,111"/>
    <w:basedOn w:val="a0"/>
    <w:next w:val="a0"/>
    <w:link w:val="10"/>
    <w:uiPriority w:val="99"/>
    <w:qFormat/>
    <w:pPr>
      <w:keepNext/>
      <w:keepLines/>
      <w:numPr>
        <w:numId w:val="5"/>
      </w:numPr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0">
    <w:name w:val="heading 2"/>
    <w:aliases w:val="Заголовок пункта (1.1),h2,h21,5,Reset numbering,222"/>
    <w:basedOn w:val="a0"/>
    <w:next w:val="3"/>
    <w:link w:val="21"/>
    <w:uiPriority w:val="99"/>
    <w:qFormat/>
    <w:pPr>
      <w:keepNext/>
      <w:tabs>
        <w:tab w:val="num" w:pos="567"/>
      </w:tabs>
      <w:spacing w:before="180" w:after="180" w:line="240" w:lineRule="auto"/>
      <w:ind w:left="567" w:hanging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aliases w:val="H3,Заголовок подпукта (1.1.1),Level 1 - 1"/>
    <w:basedOn w:val="a0"/>
    <w:next w:val="a0"/>
    <w:link w:val="30"/>
    <w:uiPriority w:val="99"/>
    <w:qFormat/>
    <w:pPr>
      <w:keepNext/>
      <w:keepLines/>
      <w:numPr>
        <w:ilvl w:val="2"/>
        <w:numId w:val="5"/>
      </w:numPr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4">
    <w:name w:val="heading 4"/>
    <w:aliases w:val="H4,H41,Sub-Minor,Level 2 - a"/>
    <w:basedOn w:val="a0"/>
    <w:next w:val="a0"/>
    <w:link w:val="40"/>
    <w:uiPriority w:val="99"/>
    <w:qFormat/>
    <w:pPr>
      <w:keepNext/>
      <w:keepLines/>
      <w:numPr>
        <w:ilvl w:val="3"/>
        <w:numId w:val="5"/>
      </w:numPr>
      <w:spacing w:before="40" w:after="0" w:line="259" w:lineRule="auto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aliases w:val="h5,h51,H5,H51,h52,test,Block Label,Level 3 - i"/>
    <w:basedOn w:val="a0"/>
    <w:next w:val="a0"/>
    <w:link w:val="50"/>
    <w:uiPriority w:val="99"/>
    <w:qFormat/>
    <w:pPr>
      <w:keepNext/>
      <w:keepLines/>
      <w:numPr>
        <w:ilvl w:val="4"/>
        <w:numId w:val="5"/>
      </w:numPr>
      <w:spacing w:before="40" w:after="0" w:line="259" w:lineRule="auto"/>
      <w:outlineLvl w:val="4"/>
    </w:pPr>
    <w:rPr>
      <w:rFonts w:ascii="Calibri Light" w:eastAsia="Times New Roman" w:hAnsi="Calibri Light" w:cs="Times New Roman"/>
      <w:color w:val="2E74B5"/>
    </w:rPr>
  </w:style>
  <w:style w:type="paragraph" w:styleId="6">
    <w:name w:val="heading 6"/>
    <w:aliases w:val="Legal Level 1."/>
    <w:basedOn w:val="a0"/>
    <w:next w:val="a0"/>
    <w:link w:val="60"/>
    <w:uiPriority w:val="99"/>
    <w:qFormat/>
    <w:pPr>
      <w:keepNext/>
      <w:keepLines/>
      <w:numPr>
        <w:ilvl w:val="5"/>
        <w:numId w:val="5"/>
      </w:numPr>
      <w:spacing w:before="40" w:after="0" w:line="259" w:lineRule="auto"/>
      <w:outlineLvl w:val="5"/>
    </w:pPr>
    <w:rPr>
      <w:rFonts w:ascii="Calibri Light" w:eastAsia="Times New Roman" w:hAnsi="Calibri Light" w:cs="Times New Roman"/>
      <w:color w:val="1F4D78"/>
    </w:rPr>
  </w:style>
  <w:style w:type="paragraph" w:styleId="7">
    <w:name w:val="heading 7"/>
    <w:aliases w:val="Appendix Header,Legal Level 1.1."/>
    <w:basedOn w:val="a0"/>
    <w:next w:val="a0"/>
    <w:link w:val="70"/>
    <w:uiPriority w:val="99"/>
    <w:qFormat/>
    <w:pPr>
      <w:numPr>
        <w:ilvl w:val="6"/>
        <w:numId w:val="5"/>
      </w:numPr>
      <w:spacing w:before="180" w:after="240" w:line="240" w:lineRule="auto"/>
      <w:outlineLvl w:val="6"/>
    </w:pPr>
    <w:rPr>
      <w:rFonts w:ascii="Garamond" w:eastAsia="Times New Roman" w:hAnsi="Garamond" w:cs="Times New Roman"/>
      <w:szCs w:val="20"/>
      <w:lang w:val="en-GB" w:eastAsia="ru-RU"/>
    </w:rPr>
  </w:style>
  <w:style w:type="paragraph" w:styleId="8">
    <w:name w:val="heading 8"/>
    <w:aliases w:val="Legal Level 1.1.1."/>
    <w:basedOn w:val="a0"/>
    <w:next w:val="a0"/>
    <w:link w:val="80"/>
    <w:uiPriority w:val="99"/>
    <w:qFormat/>
    <w:pPr>
      <w:numPr>
        <w:ilvl w:val="7"/>
        <w:numId w:val="5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val="en-GB" w:eastAsia="ru-RU"/>
    </w:rPr>
  </w:style>
  <w:style w:type="paragraph" w:styleId="9">
    <w:name w:val="heading 9"/>
    <w:aliases w:val="Legal Level 1.1.1.1."/>
    <w:basedOn w:val="a0"/>
    <w:next w:val="a0"/>
    <w:link w:val="90"/>
    <w:uiPriority w:val="99"/>
    <w:qFormat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val="en-GB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link w:val="32"/>
    <w:unhideWhenUsed/>
    <w:pPr>
      <w:spacing w:after="120" w:line="240" w:lineRule="auto"/>
      <w:jc w:val="both"/>
    </w:pPr>
    <w:rPr>
      <w:rFonts w:ascii="Garamond" w:eastAsia="Times New Roman" w:hAnsi="Garamond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Pr>
      <w:rFonts w:ascii="Garamond" w:eastAsia="Times New Roman" w:hAnsi="Garamond" w:cs="Times New Roman"/>
      <w:sz w:val="16"/>
      <w:szCs w:val="16"/>
      <w:lang w:eastAsia="ru-RU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customStyle="1" w:styleId="msolistparagraph0">
    <w:name w:val="msolistparagraph"/>
    <w:basedOn w:val="a0"/>
    <w:uiPriority w:val="99"/>
    <w:pPr>
      <w:spacing w:after="0" w:line="240" w:lineRule="auto"/>
      <w:ind w:left="720"/>
      <w:jc w:val="both"/>
    </w:pPr>
    <w:rPr>
      <w:rFonts w:ascii="Garamond" w:eastAsia="Times New Roman" w:hAnsi="Garamond" w:cs="Times New Roman"/>
      <w:szCs w:val="24"/>
      <w:lang w:eastAsia="ru-RU"/>
    </w:rPr>
  </w:style>
  <w:style w:type="table" w:styleId="a5">
    <w:name w:val="Table Grid"/>
    <w:basedOn w:val="a2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0"/>
    <w:link w:val="23"/>
    <w:uiPriority w:val="99"/>
    <w:semiHidden/>
    <w:unhideWhenUsed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</w:style>
  <w:style w:type="paragraph" w:styleId="2">
    <w:name w:val="List Number 2"/>
    <w:basedOn w:val="a0"/>
    <w:pPr>
      <w:keepNext/>
      <w:keepLines/>
      <w:numPr>
        <w:numId w:val="1"/>
      </w:numPr>
      <w:tabs>
        <w:tab w:val="left" w:pos="1260"/>
      </w:tabs>
      <w:spacing w:before="120"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a6">
    <w:name w:val="header"/>
    <w:basedOn w:val="a0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</w:style>
  <w:style w:type="paragraph" w:styleId="a8">
    <w:name w:val="footer"/>
    <w:basedOn w:val="a0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</w:style>
  <w:style w:type="paragraph" w:styleId="aa">
    <w:name w:val="footnote text"/>
    <w:basedOn w:val="a0"/>
    <w:link w:val="a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Pr>
      <w:sz w:val="20"/>
      <w:szCs w:val="20"/>
    </w:rPr>
  </w:style>
  <w:style w:type="character" w:styleId="ac">
    <w:name w:val="footnote reference"/>
    <w:basedOn w:val="a1"/>
    <w:uiPriority w:val="99"/>
    <w:semiHidden/>
    <w:unhideWhenUsed/>
    <w:rPr>
      <w:vertAlign w:val="superscript"/>
    </w:rPr>
  </w:style>
  <w:style w:type="character" w:styleId="ad">
    <w:name w:val="annotation reference"/>
    <w:basedOn w:val="a1"/>
    <w:uiPriority w:val="99"/>
    <w:unhideWhenUsed/>
    <w:rPr>
      <w:sz w:val="16"/>
      <w:szCs w:val="16"/>
    </w:rPr>
  </w:style>
  <w:style w:type="paragraph" w:styleId="ae">
    <w:name w:val="annotation text"/>
    <w:basedOn w:val="a0"/>
    <w:link w:val="af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Pr>
      <w:b/>
      <w:bCs/>
      <w:sz w:val="20"/>
      <w:szCs w:val="20"/>
    </w:rPr>
  </w:style>
  <w:style w:type="paragraph" w:styleId="af2">
    <w:name w:val="Balloon Text"/>
    <w:basedOn w:val="a0"/>
    <w:link w:val="a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Обычный1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styleId="af4">
    <w:name w:val="Body Text"/>
    <w:basedOn w:val="a0"/>
    <w:link w:val="af5"/>
    <w:uiPriority w:val="99"/>
    <w:semiHidden/>
    <w:unhideWhenUsed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</w:style>
  <w:style w:type="paragraph" w:styleId="af6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"/>
    <w:basedOn w:val="a0"/>
    <w:link w:val="af7"/>
    <w:uiPriority w:val="99"/>
    <w:qFormat/>
    <w:pPr>
      <w:spacing w:line="259" w:lineRule="auto"/>
      <w:ind w:left="720"/>
      <w:contextualSpacing/>
    </w:pPr>
  </w:style>
  <w:style w:type="paragraph" w:styleId="af8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0"/>
    <w:link w:val="afa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1"/>
    <w:link w:val="af9"/>
    <w:uiPriority w:val="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List62">
    <w:name w:val="List 62"/>
    <w:basedOn w:val="a3"/>
    <w:pPr>
      <w:numPr>
        <w:numId w:val="2"/>
      </w:numPr>
    </w:pPr>
  </w:style>
  <w:style w:type="numbering" w:customStyle="1" w:styleId="List63">
    <w:name w:val="List 63"/>
    <w:basedOn w:val="a3"/>
    <w:pPr>
      <w:numPr>
        <w:numId w:val="3"/>
      </w:numPr>
    </w:pPr>
  </w:style>
  <w:style w:type="numbering" w:customStyle="1" w:styleId="List64">
    <w:name w:val="List 64"/>
    <w:basedOn w:val="a3"/>
    <w:pPr>
      <w:numPr>
        <w:numId w:val="4"/>
      </w:numPr>
    </w:pPr>
  </w:style>
  <w:style w:type="character" w:customStyle="1" w:styleId="10">
    <w:name w:val="Заголовок 1 Знак"/>
    <w:aliases w:val="Заголовок параграфа (1.) Знак,Section Знак,Section Heading Знак,level2 hdg Знак,111 Знак"/>
    <w:basedOn w:val="a1"/>
    <w:link w:val="1"/>
    <w:uiPriority w:val="9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aliases w:val="H3 Знак,Заголовок подпукта (1.1.1) Знак,Level 1 - 1 Знак"/>
    <w:basedOn w:val="a1"/>
    <w:link w:val="3"/>
    <w:uiPriority w:val="9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aliases w:val="H4 Знак,H41 Знак,Sub-Minor Знак,Level 2 - a Знак"/>
    <w:basedOn w:val="a1"/>
    <w:link w:val="4"/>
    <w:uiPriority w:val="99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1"/>
    <w:link w:val="5"/>
    <w:uiPriority w:val="99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aliases w:val="Legal Level 1. Знак"/>
    <w:basedOn w:val="a1"/>
    <w:link w:val="6"/>
    <w:uiPriority w:val="99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aliases w:val="Appendix Header Знак,Legal Level 1.1. Знак"/>
    <w:basedOn w:val="a1"/>
    <w:link w:val="7"/>
    <w:uiPriority w:val="99"/>
    <w:rPr>
      <w:rFonts w:ascii="Garamond" w:eastAsia="Times New Roman" w:hAnsi="Garamond" w:cs="Times New Roman"/>
      <w:szCs w:val="20"/>
      <w:lang w:val="en-GB" w:eastAsia="ru-RU"/>
    </w:rPr>
  </w:style>
  <w:style w:type="character" w:customStyle="1" w:styleId="80">
    <w:name w:val="Заголовок 8 Знак"/>
    <w:aliases w:val="Legal Level 1.1.1. Знак"/>
    <w:basedOn w:val="a1"/>
    <w:link w:val="8"/>
    <w:uiPriority w:val="99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0">
    <w:name w:val="Заголовок 9 Знак"/>
    <w:aliases w:val="Legal Level 1.1.1.1. Знак"/>
    <w:basedOn w:val="a1"/>
    <w:link w:val="9"/>
    <w:uiPriority w:val="99"/>
    <w:rPr>
      <w:rFonts w:ascii="Arial" w:eastAsia="Times New Roman" w:hAnsi="Arial" w:cs="Times New Roman"/>
      <w:i/>
      <w:sz w:val="18"/>
      <w:szCs w:val="20"/>
      <w:lang w:val="en-GB" w:eastAsia="ru-RU"/>
    </w:rPr>
  </w:style>
  <w:style w:type="paragraph" w:styleId="12">
    <w:name w:val="toc 1"/>
    <w:basedOn w:val="a0"/>
    <w:next w:val="a0"/>
    <w:autoRedefine/>
    <w:uiPriority w:val="39"/>
    <w:pPr>
      <w:tabs>
        <w:tab w:val="left" w:pos="567"/>
        <w:tab w:val="right" w:leader="dot" w:pos="9345"/>
      </w:tabs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character" w:styleId="afb">
    <w:name w:val="Hyperlink"/>
    <w:basedOn w:val="a1"/>
    <w:uiPriority w:val="99"/>
    <w:rPr>
      <w:color w:val="0000FF"/>
      <w:u w:val="single"/>
    </w:rPr>
  </w:style>
  <w:style w:type="paragraph" w:styleId="afc">
    <w:name w:val="caption"/>
    <w:basedOn w:val="a0"/>
    <w:next w:val="a0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l0">
    <w:name w:val="normal0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character" w:customStyle="1" w:styleId="21">
    <w:name w:val="Заголовок 2 Знак"/>
    <w:aliases w:val="Заголовок пункта (1.1) Знак,h2 Знак,h21 Знак,5 Знак,Reset numbering Знак,222 Знак"/>
    <w:basedOn w:val="a1"/>
    <w:link w:val="20"/>
    <w:uiPriority w:val="9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ubclauseindent">
    <w:name w:val="subclauseindent"/>
    <w:basedOn w:val="a0"/>
    <w:uiPriority w:val="99"/>
    <w:pPr>
      <w:spacing w:before="120" w:after="120" w:line="240" w:lineRule="auto"/>
      <w:ind w:left="1701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ubsubclauseindent">
    <w:name w:val="subsubclauseindent"/>
    <w:basedOn w:val="a0"/>
    <w:pPr>
      <w:spacing w:before="120" w:after="120" w:line="240" w:lineRule="auto"/>
      <w:ind w:left="2552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Список с точкой"/>
    <w:basedOn w:val="a0"/>
    <w:uiPriority w:val="99"/>
    <w:pPr>
      <w:numPr>
        <w:numId w:val="12"/>
      </w:numPr>
      <w:spacing w:before="180" w:after="60" w:line="240" w:lineRule="auto"/>
    </w:pPr>
    <w:rPr>
      <w:rFonts w:ascii="Garamond" w:eastAsia="Times New Roman" w:hAnsi="Garamond" w:cs="Times New Roman"/>
      <w:szCs w:val="20"/>
    </w:rPr>
  </w:style>
  <w:style w:type="paragraph" w:customStyle="1" w:styleId="13">
    <w:name w:val="Абзац списка1"/>
    <w:basedOn w:val="a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Абзац списка2"/>
    <w:basedOn w:val="a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33">
    <w:name w:val="Body Text Indent 3"/>
    <w:basedOn w:val="a0"/>
    <w:link w:val="34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Pr>
      <w:sz w:val="16"/>
      <w:szCs w:val="16"/>
    </w:rPr>
  </w:style>
  <w:style w:type="character" w:customStyle="1" w:styleId="af7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6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192B7-BCCF-43D0-B39C-6E64D9C6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n.kaptel</dc:creator>
  <cp:keywords/>
  <dc:description/>
  <cp:lastModifiedBy>Гирина Марина Владимировна</cp:lastModifiedBy>
  <cp:revision>8</cp:revision>
  <cp:lastPrinted>2020-01-27T11:48:00Z</cp:lastPrinted>
  <dcterms:created xsi:type="dcterms:W3CDTF">2025-01-21T11:22:00Z</dcterms:created>
  <dcterms:modified xsi:type="dcterms:W3CDTF">2025-01-28T07:32:00Z</dcterms:modified>
</cp:coreProperties>
</file>