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DC42" w14:textId="77777777" w:rsidR="008E35D5" w:rsidRPr="00FA57B3" w:rsidRDefault="00CF643A" w:rsidP="005401DD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FA57B3">
        <w:rPr>
          <w:rFonts w:ascii="Garamond" w:hAnsi="Garamond"/>
          <w:b/>
          <w:sz w:val="28"/>
          <w:szCs w:val="28"/>
        </w:rPr>
        <w:t xml:space="preserve">V.1. Изменения, связанные c реорганизацией субъекта оптового рынка – стороны соглашения о порядке исполнения обязательств </w:t>
      </w:r>
    </w:p>
    <w:p w14:paraId="1E9F7418" w14:textId="77777777" w:rsidR="008E35D5" w:rsidRPr="00FA57B3" w:rsidRDefault="008E35D5" w:rsidP="005401DD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66358553" w14:textId="77777777" w:rsidR="008E35D5" w:rsidRPr="00FA57B3" w:rsidRDefault="00CF643A" w:rsidP="005401D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FA57B3">
        <w:rPr>
          <w:rFonts w:ascii="Garamond" w:hAnsi="Garamond"/>
          <w:b/>
          <w:sz w:val="28"/>
          <w:szCs w:val="28"/>
        </w:rPr>
        <w:t>Приложение № 5.1</w:t>
      </w:r>
    </w:p>
    <w:p w14:paraId="2E48B25F" w14:textId="77777777" w:rsidR="008E35D5" w:rsidRPr="00FA57B3" w:rsidRDefault="008E35D5" w:rsidP="005401DD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35D5" w:rsidRPr="00FA57B3" w14:paraId="62BD8531" w14:textId="77777777">
        <w:trPr>
          <w:trHeight w:val="928"/>
        </w:trPr>
        <w:tc>
          <w:tcPr>
            <w:tcW w:w="14992" w:type="dxa"/>
          </w:tcPr>
          <w:p w14:paraId="35EFAB99" w14:textId="6309936D" w:rsidR="008E35D5" w:rsidRPr="00FA57B3" w:rsidRDefault="00CF643A" w:rsidP="005401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FA57B3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FA57B3">
              <w:rPr>
                <w:rFonts w:ascii="Garamond" w:hAnsi="Garamond"/>
                <w:sz w:val="24"/>
                <w:szCs w:val="24"/>
              </w:rPr>
              <w:t xml:space="preserve"> Ассоциация «НП Совет рынка»</w:t>
            </w:r>
            <w:r w:rsidR="00C04732" w:rsidRPr="00FA57B3">
              <w:rPr>
                <w:rFonts w:ascii="Garamond" w:hAnsi="Garamond"/>
                <w:sz w:val="24"/>
                <w:szCs w:val="24"/>
              </w:rPr>
              <w:t>.</w:t>
            </w:r>
          </w:p>
          <w:p w14:paraId="4696D231" w14:textId="10C1D1EE" w:rsidR="008E35D5" w:rsidRPr="00FA57B3" w:rsidRDefault="00CF643A" w:rsidP="005401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FA57B3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Pr="00FA57B3">
              <w:rPr>
                <w:rFonts w:ascii="Garamond" w:hAnsi="Garamond"/>
                <w:sz w:val="24"/>
                <w:szCs w:val="24"/>
              </w:rPr>
              <w:t xml:space="preserve"> необходимо уточнить порядок действий АО «ЦФР» в случае реорганизации субъекта оптового рынка, являющегося </w:t>
            </w:r>
            <w:r w:rsidR="00D350FD" w:rsidRPr="00FA57B3">
              <w:rPr>
                <w:rFonts w:ascii="Garamond" w:hAnsi="Garamond"/>
                <w:sz w:val="24"/>
                <w:szCs w:val="24"/>
              </w:rPr>
              <w:t>п</w:t>
            </w:r>
            <w:r w:rsidRPr="00FA57B3">
              <w:rPr>
                <w:rFonts w:ascii="Garamond" w:hAnsi="Garamond"/>
                <w:sz w:val="24"/>
                <w:szCs w:val="24"/>
              </w:rPr>
              <w:t>родавцом по соглашению о порядке исполнения обязательств, в форме слияния или присоединения к другому субъекту оптового рынка</w:t>
            </w:r>
            <w:r w:rsidR="00FA57B3" w:rsidRPr="00FA57B3">
              <w:rPr>
                <w:rFonts w:ascii="Garamond" w:hAnsi="Garamond"/>
                <w:sz w:val="24"/>
                <w:szCs w:val="24"/>
              </w:rPr>
              <w:t>.</w:t>
            </w:r>
          </w:p>
          <w:p w14:paraId="230A71D4" w14:textId="77777777" w:rsidR="008E35D5" w:rsidRPr="00FA57B3" w:rsidRDefault="00CF643A" w:rsidP="005401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FA57B3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FA57B3">
              <w:rPr>
                <w:rFonts w:ascii="Garamond" w:hAnsi="Garamond"/>
                <w:sz w:val="24"/>
                <w:szCs w:val="24"/>
              </w:rPr>
              <w:t xml:space="preserve"> 20 апреля 2026 года. </w:t>
            </w:r>
          </w:p>
        </w:tc>
      </w:tr>
    </w:tbl>
    <w:p w14:paraId="1BAB84F7" w14:textId="77777777" w:rsidR="008E35D5" w:rsidRPr="00FA57B3" w:rsidRDefault="008E35D5" w:rsidP="005401DD">
      <w:pPr>
        <w:widowControl w:val="0"/>
        <w:spacing w:after="0" w:line="240" w:lineRule="auto"/>
        <w:rPr>
          <w:rFonts w:ascii="Garamond" w:hAnsi="Garamond"/>
        </w:rPr>
      </w:pPr>
    </w:p>
    <w:p w14:paraId="35D40640" w14:textId="77777777" w:rsidR="008E35D5" w:rsidRPr="00FA57B3" w:rsidRDefault="00CF643A" w:rsidP="005401DD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FA57B3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FA57B3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FA57B3">
        <w:rPr>
          <w:rFonts w:ascii="Garamond" w:hAnsi="Garamond"/>
          <w:b/>
          <w:sz w:val="26"/>
          <w:szCs w:val="26"/>
        </w:rPr>
        <w:t xml:space="preserve"> (</w:t>
      </w:r>
      <w:r w:rsidRPr="00FA57B3">
        <w:rPr>
          <w:rFonts w:ascii="Garamond" w:hAnsi="Garamond"/>
          <w:b/>
          <w:bCs/>
          <w:sz w:val="26"/>
          <w:szCs w:val="26"/>
        </w:rPr>
        <w:t>Приложение № 16 к</w:t>
      </w:r>
      <w:r w:rsidRPr="00FA57B3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FA57B3">
        <w:rPr>
          <w:rFonts w:ascii="Garamond" w:hAnsi="Garamond"/>
          <w:b/>
          <w:bCs/>
          <w:sz w:val="26"/>
          <w:szCs w:val="26"/>
        </w:rPr>
        <w:t>Д</w:t>
      </w:r>
      <w:r w:rsidRPr="00FA57B3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0CE40708" w14:textId="77777777" w:rsidR="008E35D5" w:rsidRPr="00FA57B3" w:rsidRDefault="008E35D5" w:rsidP="005401DD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96"/>
        <w:gridCol w:w="5976"/>
        <w:gridCol w:w="8149"/>
      </w:tblGrid>
      <w:tr w:rsidR="008E35D5" w:rsidRPr="00FA57B3" w14:paraId="6EA939E3" w14:textId="77777777" w:rsidTr="005401DD">
        <w:tc>
          <w:tcPr>
            <w:tcW w:w="896" w:type="dxa"/>
            <w:vAlign w:val="center"/>
          </w:tcPr>
          <w:p w14:paraId="22EE70EF" w14:textId="77777777" w:rsidR="008E35D5" w:rsidRPr="00FA57B3" w:rsidRDefault="00CF643A" w:rsidP="005401D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FA57B3">
              <w:rPr>
                <w:rFonts w:ascii="Garamond" w:hAnsi="Garamond"/>
                <w:b/>
              </w:rPr>
              <w:t>№</w:t>
            </w:r>
          </w:p>
          <w:p w14:paraId="306F4F0D" w14:textId="77777777" w:rsidR="008E35D5" w:rsidRPr="00FA57B3" w:rsidRDefault="00CF643A" w:rsidP="005401DD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FA57B3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976" w:type="dxa"/>
            <w:vAlign w:val="center"/>
          </w:tcPr>
          <w:p w14:paraId="3938717A" w14:textId="77777777" w:rsidR="008E35D5" w:rsidRPr="00FA57B3" w:rsidRDefault="00CF643A" w:rsidP="005401DD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FA57B3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4566214C" w14:textId="77777777" w:rsidR="008E35D5" w:rsidRPr="00FA57B3" w:rsidRDefault="00CF643A" w:rsidP="005401DD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FA57B3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8149" w:type="dxa"/>
            <w:vAlign w:val="center"/>
          </w:tcPr>
          <w:p w14:paraId="7A18417D" w14:textId="77777777" w:rsidR="008E35D5" w:rsidRPr="00FA57B3" w:rsidRDefault="00CF643A" w:rsidP="005401DD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FA57B3">
              <w:rPr>
                <w:rFonts w:ascii="Garamond" w:hAnsi="Garamond"/>
                <w:b/>
              </w:rPr>
              <w:t>Предлагаемая редакция</w:t>
            </w:r>
          </w:p>
          <w:p w14:paraId="0F95534C" w14:textId="77777777" w:rsidR="008E35D5" w:rsidRPr="00FA57B3" w:rsidRDefault="00CF643A" w:rsidP="005401DD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FA57B3">
              <w:rPr>
                <w:rFonts w:ascii="Garamond" w:hAnsi="Garamond"/>
              </w:rPr>
              <w:t>(изменения выделены цветом)</w:t>
            </w:r>
          </w:p>
        </w:tc>
      </w:tr>
      <w:tr w:rsidR="008E35D5" w:rsidRPr="00FA57B3" w14:paraId="2A6DE04A" w14:textId="77777777" w:rsidTr="005401DD">
        <w:tc>
          <w:tcPr>
            <w:tcW w:w="896" w:type="dxa"/>
            <w:vAlign w:val="center"/>
          </w:tcPr>
          <w:p w14:paraId="6D1EAAE7" w14:textId="77777777" w:rsidR="008E35D5" w:rsidRPr="00FA57B3" w:rsidRDefault="00CF643A">
            <w:pPr>
              <w:jc w:val="center"/>
              <w:rPr>
                <w:rFonts w:ascii="Garamond" w:hAnsi="Garamond"/>
                <w:b/>
              </w:rPr>
            </w:pPr>
            <w:r w:rsidRPr="00FA57B3">
              <w:rPr>
                <w:rFonts w:ascii="Garamond" w:hAnsi="Garamond"/>
                <w:b/>
              </w:rPr>
              <w:t>18´.24.1</w:t>
            </w:r>
          </w:p>
        </w:tc>
        <w:tc>
          <w:tcPr>
            <w:tcW w:w="5976" w:type="dxa"/>
          </w:tcPr>
          <w:p w14:paraId="4C8F606B" w14:textId="77777777" w:rsidR="008E35D5" w:rsidRPr="00FA57B3" w:rsidRDefault="00CF643A" w:rsidP="005401DD">
            <w:pPr>
              <w:spacing w:before="120" w:after="120"/>
              <w:ind w:firstLine="567"/>
              <w:rPr>
                <w:rFonts w:ascii="Garamond" w:hAnsi="Garamond"/>
                <w:b/>
              </w:rPr>
            </w:pPr>
            <w:r w:rsidRPr="00FA57B3">
              <w:rPr>
                <w:rFonts w:ascii="Garamond" w:hAnsi="Garamond"/>
                <w:b/>
              </w:rPr>
              <w:t>Добавить пункт</w:t>
            </w:r>
          </w:p>
          <w:p w14:paraId="3372D67E" w14:textId="77777777" w:rsidR="008E35D5" w:rsidRPr="00FA57B3" w:rsidRDefault="008E35D5" w:rsidP="005401DD">
            <w:pPr>
              <w:spacing w:before="120" w:after="120"/>
              <w:ind w:firstLine="567"/>
              <w:rPr>
                <w:rFonts w:ascii="Garamond" w:hAnsi="Garamond"/>
                <w:b/>
              </w:rPr>
            </w:pPr>
          </w:p>
        </w:tc>
        <w:tc>
          <w:tcPr>
            <w:tcW w:w="8149" w:type="dxa"/>
          </w:tcPr>
          <w:p w14:paraId="579B6FA5" w14:textId="47D23305" w:rsidR="008E35D5" w:rsidRPr="00FA57B3" w:rsidRDefault="00CF643A" w:rsidP="005401DD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highlight w:val="yellow"/>
              </w:rPr>
              <w:t xml:space="preserve">18´.24.1. В случае поступления в ЦФР в порядке, установленном пунктом 2.7 настоящего Регламента, информации о завершении реорганизации субъекта оптового рынка в форме слияния или присоединения, подтверждающей, что права и обязанности продавца, заключившего с покупателем соглашение о порядке исполнения обязательств на условиях варианта 1 (Оплата векселями), в силу правопреемства переходят к другому субъекту оптового рынка </w:t>
            </w:r>
            <w:r w:rsidR="0098590B" w:rsidRPr="00FA57B3">
              <w:rPr>
                <w:rFonts w:ascii="Garamond" w:hAnsi="Garamond"/>
                <w:highlight w:val="yellow"/>
              </w:rPr>
              <w:t>–</w:t>
            </w:r>
            <w:r w:rsidRPr="00FA57B3">
              <w:rPr>
                <w:rFonts w:ascii="Garamond" w:hAnsi="Garamond"/>
                <w:highlight w:val="yellow"/>
              </w:rPr>
              <w:t xml:space="preserve"> продавцу, также заключившему с покупателем соглашение о порядке исполнения обязательств:</w:t>
            </w:r>
          </w:p>
          <w:p w14:paraId="0116FEE9" w14:textId="4A4FC01D" w:rsidR="008E35D5" w:rsidRPr="00FA57B3" w:rsidRDefault="00CF643A" w:rsidP="005401DD">
            <w:pPr>
              <w:pStyle w:val="af0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исполнение</w:t>
            </w:r>
            <w:r w:rsidRPr="00FA57B3">
              <w:rPr>
                <w:rFonts w:ascii="Garamond" w:hAnsi="Garamond"/>
                <w:sz w:val="22"/>
                <w:highlight w:val="yellow"/>
              </w:rPr>
              <w:t xml:space="preserve"> обязательств покупателя 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по оплате электрической энергии и (или) мощности</w:t>
            </w:r>
            <w:r w:rsidRPr="00FA57B3">
              <w:rPr>
                <w:rFonts w:ascii="Garamond" w:hAnsi="Garamond"/>
                <w:sz w:val="22"/>
                <w:highlight w:val="yellow"/>
              </w:rPr>
              <w:t xml:space="preserve">, возникших 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за периоды с</w:t>
            </w:r>
            <w:r w:rsidRPr="00FA57B3">
              <w:rPr>
                <w:rFonts w:ascii="Garamond" w:hAnsi="Garamond"/>
                <w:sz w:val="22"/>
                <w:highlight w:val="yellow"/>
              </w:rPr>
              <w:t xml:space="preserve"> даты </w:t>
            </w:r>
            <w:r w:rsidR="0098590B" w:rsidRPr="00FA57B3">
              <w:rPr>
                <w:rFonts w:ascii="Garamond" w:hAnsi="Garamond"/>
                <w:sz w:val="22"/>
                <w:szCs w:val="22"/>
                <w:highlight w:val="yellow"/>
              </w:rPr>
              <w:t>реорганизации продавца-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правопредшественника, учитывается на условиях согла</w:t>
            </w:r>
            <w:r w:rsidR="0098590B" w:rsidRPr="00FA57B3">
              <w:rPr>
                <w:rFonts w:ascii="Garamond" w:hAnsi="Garamond"/>
                <w:sz w:val="22"/>
                <w:szCs w:val="22"/>
                <w:highlight w:val="yellow"/>
              </w:rPr>
              <w:t>шения, заключенного с продавцом-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 xml:space="preserve">правопреемником; </w:t>
            </w:r>
          </w:p>
          <w:p w14:paraId="6A3DEEAF" w14:textId="604404B6" w:rsidR="008E35D5" w:rsidRPr="00FA57B3" w:rsidRDefault="00CF643A" w:rsidP="005401DD">
            <w:pPr>
              <w:pStyle w:val="af0"/>
              <w:numPr>
                <w:ilvl w:val="0"/>
                <w:numId w:val="3"/>
              </w:numPr>
              <w:spacing w:before="120" w:after="120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исполнение обязательств покупателя по оплате электрической энергии и (или) мощности, возникших из договоров, заключенных</w:t>
            </w:r>
            <w:r w:rsidR="00FA57B3">
              <w:rPr>
                <w:rFonts w:ascii="Garamond" w:hAnsi="Garamond"/>
                <w:sz w:val="22"/>
                <w:highlight w:val="yellow"/>
              </w:rPr>
              <w:t xml:space="preserve"> с продавцом-</w:t>
            </w:r>
            <w:r w:rsidRPr="00FA57B3">
              <w:rPr>
                <w:rFonts w:ascii="Garamond" w:hAnsi="Garamond"/>
                <w:sz w:val="22"/>
                <w:highlight w:val="yellow"/>
              </w:rPr>
              <w:t xml:space="preserve">правопредшественником, 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за периоды д</w:t>
            </w:r>
            <w:r w:rsidR="0098590B" w:rsidRPr="00FA57B3">
              <w:rPr>
                <w:rFonts w:ascii="Garamond" w:hAnsi="Garamond"/>
                <w:sz w:val="22"/>
                <w:szCs w:val="22"/>
                <w:highlight w:val="yellow"/>
              </w:rPr>
              <w:t>о даты реорганизации продавца-</w:t>
            </w:r>
            <w:r w:rsidR="00FA57B3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 xml:space="preserve"> учитывается</w:t>
            </w:r>
            <w:r w:rsidRPr="00FA57B3">
              <w:rPr>
                <w:rFonts w:ascii="Garamond" w:hAnsi="Garamond"/>
                <w:sz w:val="22"/>
                <w:highlight w:val="yellow"/>
              </w:rPr>
              <w:t xml:space="preserve"> на условиях согла</w:t>
            </w:r>
            <w:r w:rsidR="0098590B" w:rsidRPr="00FA57B3">
              <w:rPr>
                <w:rFonts w:ascii="Garamond" w:hAnsi="Garamond"/>
                <w:sz w:val="22"/>
                <w:highlight w:val="yellow"/>
              </w:rPr>
              <w:t>шения, заключенного с продавцом-</w:t>
            </w:r>
            <w:r w:rsidRPr="00FA57B3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правопредшественником.</w:t>
            </w:r>
          </w:p>
          <w:p w14:paraId="7CC0EA42" w14:textId="77777777" w:rsidR="008E35D5" w:rsidRPr="00FA57B3" w:rsidRDefault="00CF643A" w:rsidP="005401DD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highlight w:val="yellow"/>
              </w:rPr>
              <w:t>ЦФР прекращает учет соглашений, заключенных с реорганизованным продавцом – правопредшественником, в следующие сроки:</w:t>
            </w:r>
          </w:p>
          <w:p w14:paraId="0FE7E103" w14:textId="10F313C0" w:rsidR="008E35D5" w:rsidRPr="00FA57B3" w:rsidRDefault="0098590B" w:rsidP="005401DD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highlight w:val="yellow"/>
              </w:rPr>
              <w:lastRenderedPageBreak/>
              <w:t>–</w:t>
            </w:r>
            <w:r w:rsidR="00CF643A" w:rsidRPr="00FA57B3">
              <w:rPr>
                <w:rFonts w:ascii="Garamond" w:hAnsi="Garamond"/>
                <w:highlight w:val="yellow"/>
              </w:rPr>
              <w:t xml:space="preserve"> с 01.05.2026, если информация о завершении реорганизации, указанная в настоящем пункте, получена ЦФР до 01.04.2026;  </w:t>
            </w:r>
          </w:p>
          <w:p w14:paraId="4DAFED75" w14:textId="354D399A" w:rsidR="008E35D5" w:rsidRPr="00FA57B3" w:rsidRDefault="0098590B" w:rsidP="005401DD">
            <w:pPr>
              <w:spacing w:before="120" w:after="120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highlight w:val="yellow"/>
              </w:rPr>
              <w:t>–</w:t>
            </w:r>
            <w:r w:rsidR="00CF643A" w:rsidRPr="00FA57B3">
              <w:rPr>
                <w:rFonts w:ascii="Garamond" w:hAnsi="Garamond"/>
                <w:highlight w:val="yellow"/>
              </w:rPr>
              <w:t xml:space="preserve"> с даты, следующей за датой фиксации ЦФР исполнения обязательств покупателя по оплате электрической энергии и (или) мощности, возникших из дог</w:t>
            </w:r>
            <w:r w:rsidRPr="00FA57B3">
              <w:rPr>
                <w:rFonts w:ascii="Garamond" w:hAnsi="Garamond"/>
                <w:highlight w:val="yellow"/>
              </w:rPr>
              <w:t>оворов, заключенных с продавцом-</w:t>
            </w:r>
            <w:r w:rsidR="00CF643A" w:rsidRPr="00FA57B3">
              <w:rPr>
                <w:rFonts w:ascii="Garamond" w:hAnsi="Garamond"/>
                <w:highlight w:val="yellow"/>
              </w:rPr>
              <w:t>правопредшественником, за периоды д</w:t>
            </w:r>
            <w:r w:rsidRPr="00FA57B3">
              <w:rPr>
                <w:rFonts w:ascii="Garamond" w:hAnsi="Garamond"/>
                <w:highlight w:val="yellow"/>
              </w:rPr>
              <w:t>о даты реорганизации продавца-</w:t>
            </w:r>
            <w:r w:rsidR="00CF643A" w:rsidRPr="00FA57B3">
              <w:rPr>
                <w:rFonts w:ascii="Garamond" w:hAnsi="Garamond"/>
                <w:highlight w:val="yellow"/>
              </w:rPr>
              <w:t>правопредшественника, если информация о завершении реорганизации, указанная в настоящем пункте, получена ЦФР 01.04.2026 и позднее.</w:t>
            </w:r>
          </w:p>
          <w:p w14:paraId="71357246" w14:textId="65EE3470" w:rsidR="008E35D5" w:rsidRPr="00FA57B3" w:rsidRDefault="00DA6124" w:rsidP="0098590B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FA57B3">
              <w:rPr>
                <w:rFonts w:ascii="Garamond" w:hAnsi="Garamond"/>
                <w:highlight w:val="yellow"/>
              </w:rPr>
              <w:t>ЦФР уведомляет соответ</w:t>
            </w:r>
            <w:r w:rsidR="0098590B" w:rsidRPr="00FA57B3">
              <w:rPr>
                <w:rFonts w:ascii="Garamond" w:hAnsi="Garamond"/>
                <w:highlight w:val="yellow"/>
              </w:rPr>
              <w:t>ствующего покупателя и продавца-</w:t>
            </w:r>
            <w:r w:rsidRPr="00FA57B3">
              <w:rPr>
                <w:rFonts w:ascii="Garamond" w:hAnsi="Garamond"/>
                <w:highlight w:val="yellow"/>
              </w:rPr>
              <w:t>правопреемника о прекращен</w:t>
            </w:r>
            <w:r w:rsidR="0098590B" w:rsidRPr="00FA57B3">
              <w:rPr>
                <w:rFonts w:ascii="Garamond" w:hAnsi="Garamond"/>
                <w:highlight w:val="yellow"/>
              </w:rPr>
              <w:t>ии учета соглашения с продавцом-</w:t>
            </w:r>
            <w:r w:rsidRPr="00FA57B3">
              <w:rPr>
                <w:rFonts w:ascii="Garamond" w:hAnsi="Garamond"/>
                <w:highlight w:val="yellow"/>
              </w:rPr>
              <w:t xml:space="preserve">правопредшественником путем публикации уведомления по форме, установленной приложением 114.22´ к настоящему Регламенту </w:t>
            </w:r>
            <w:r w:rsidRPr="00FA57B3">
              <w:rPr>
                <w:rFonts w:ascii="Garamond" w:eastAsia="Batang" w:hAnsi="Garamond" w:cs="Garamond"/>
                <w:highlight w:val="yellow"/>
                <w:lang w:eastAsia="ko-KR"/>
              </w:rPr>
              <w:t>(код формы privmsg)</w:t>
            </w:r>
            <w:r w:rsidR="00C656DB">
              <w:rPr>
                <w:rFonts w:ascii="Garamond" w:eastAsia="Batang" w:hAnsi="Garamond" w:cs="Garamond"/>
                <w:highlight w:val="yellow"/>
                <w:lang w:eastAsia="ko-KR"/>
              </w:rPr>
              <w:t>,</w:t>
            </w:r>
            <w:r w:rsidRPr="00FA57B3">
              <w:rPr>
                <w:rFonts w:ascii="Garamond" w:hAnsi="Garamond"/>
                <w:highlight w:val="yellow"/>
              </w:rPr>
              <w:t xml:space="preserve"> на официальном интернет-сайте Коммерческого оператора</w:t>
            </w:r>
            <w:r w:rsidR="0098590B" w:rsidRPr="00FA57B3">
              <w:rPr>
                <w:rFonts w:ascii="Garamond" w:hAnsi="Garamond"/>
                <w:highlight w:val="yellow"/>
              </w:rPr>
              <w:t>,</w:t>
            </w:r>
            <w:r w:rsidRPr="00FA57B3">
              <w:rPr>
                <w:rFonts w:ascii="Garamond" w:hAnsi="Garamond"/>
                <w:highlight w:val="yellow"/>
              </w:rPr>
              <w:t xml:space="preserve"> в разделе с ограниченным в соответствии с Правилами ЭДО СЭД КО доступом, а также Совет рынка путем направления письма на бумажном носителе за подписью уполномоченного лица.</w:t>
            </w:r>
          </w:p>
        </w:tc>
      </w:tr>
    </w:tbl>
    <w:p w14:paraId="54425045" w14:textId="77777777" w:rsidR="008E35D5" w:rsidRPr="00FA57B3" w:rsidRDefault="008E35D5"/>
    <w:p w14:paraId="0F0E5BA8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34DF07C9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6B3A75FF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3CCD9885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3660FAE9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41869942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63B23FEF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484B8E30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159AA387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</w:p>
    <w:p w14:paraId="68802E95" w14:textId="77777777" w:rsidR="008E35D5" w:rsidRPr="00FA57B3" w:rsidRDefault="008E35D5">
      <w:pPr>
        <w:rPr>
          <w:rFonts w:ascii="Garamond" w:eastAsia="Times New Roman" w:hAnsi="Garamond"/>
          <w:b/>
          <w:szCs w:val="28"/>
        </w:rPr>
      </w:pPr>
    </w:p>
    <w:p w14:paraId="18880158" w14:textId="77777777" w:rsidR="008E35D5" w:rsidRPr="00FA57B3" w:rsidRDefault="008E35D5">
      <w:pPr>
        <w:spacing w:before="180" w:after="60" w:line="240" w:lineRule="auto"/>
        <w:rPr>
          <w:rFonts w:ascii="Garamond" w:eastAsia="Times New Roman" w:hAnsi="Garamond"/>
          <w:b/>
          <w:szCs w:val="28"/>
        </w:rPr>
        <w:sectPr w:rsidR="008E35D5" w:rsidRPr="00FA57B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5AEC7BC" w14:textId="77777777" w:rsidR="008E35D5" w:rsidRPr="00FA57B3" w:rsidRDefault="00CF643A">
      <w:pPr>
        <w:spacing w:before="180" w:after="60" w:line="240" w:lineRule="auto"/>
        <w:rPr>
          <w:rFonts w:ascii="Garamond" w:eastAsia="Times New Roman" w:hAnsi="Garamond"/>
          <w:b/>
          <w:szCs w:val="28"/>
        </w:rPr>
      </w:pPr>
      <w:r w:rsidRPr="00FA57B3">
        <w:rPr>
          <w:rFonts w:ascii="Garamond" w:eastAsia="Times New Roman" w:hAnsi="Garamond"/>
          <w:b/>
          <w:szCs w:val="28"/>
        </w:rPr>
        <w:lastRenderedPageBreak/>
        <w:t>Добавить приложение</w:t>
      </w:r>
    </w:p>
    <w:p w14:paraId="0D313EEF" w14:textId="77777777" w:rsidR="008E35D5" w:rsidRPr="00FA57B3" w:rsidRDefault="008E35D5"/>
    <w:p w14:paraId="3547FCD0" w14:textId="77777777" w:rsidR="008E35D5" w:rsidRPr="00FA57B3" w:rsidRDefault="00CF643A">
      <w:pPr>
        <w:jc w:val="right"/>
        <w:rPr>
          <w:b/>
          <w:sz w:val="24"/>
        </w:rPr>
      </w:pPr>
      <w:r w:rsidRPr="00FA57B3">
        <w:rPr>
          <w:rFonts w:ascii="Garamond" w:hAnsi="Garamond"/>
          <w:b/>
        </w:rPr>
        <w:t>Приложение 114.22´</w:t>
      </w:r>
    </w:p>
    <w:p w14:paraId="25BA94ED" w14:textId="77777777" w:rsidR="008E35D5" w:rsidRPr="00FA57B3" w:rsidRDefault="00CF643A">
      <w:pPr>
        <w:spacing w:before="180" w:after="0" w:line="240" w:lineRule="auto"/>
        <w:jc w:val="right"/>
        <w:rPr>
          <w:rFonts w:ascii="Garamond" w:eastAsia="Times New Roman" w:hAnsi="Garamond"/>
          <w:szCs w:val="20"/>
        </w:rPr>
      </w:pPr>
      <w:r w:rsidRPr="00FA57B3">
        <w:rPr>
          <w:rFonts w:ascii="Garamond" w:eastAsia="Times New Roman" w:hAnsi="Garamond"/>
          <w:szCs w:val="20"/>
        </w:rPr>
        <w:t xml:space="preserve">Руководителю </w:t>
      </w:r>
    </w:p>
    <w:p w14:paraId="01F00804" w14:textId="77777777" w:rsidR="008E35D5" w:rsidRPr="00FA57B3" w:rsidRDefault="00CF643A">
      <w:pPr>
        <w:spacing w:before="180" w:after="0" w:line="240" w:lineRule="auto"/>
        <w:jc w:val="right"/>
        <w:rPr>
          <w:rFonts w:ascii="Garamond" w:eastAsia="Times New Roman" w:hAnsi="Garamond"/>
          <w:szCs w:val="20"/>
        </w:rPr>
      </w:pPr>
      <w:r w:rsidRPr="00FA57B3">
        <w:rPr>
          <w:rFonts w:ascii="Garamond" w:eastAsia="Times New Roman" w:hAnsi="Garamond"/>
          <w:szCs w:val="20"/>
        </w:rPr>
        <w:t>(наименование участника-покупателя / наименование участника-продавца (</w:t>
      </w:r>
      <w:r w:rsidRPr="00FA57B3">
        <w:rPr>
          <w:rFonts w:ascii="Garamond" w:hAnsi="Garamond"/>
        </w:rPr>
        <w:t>правопреемника)</w:t>
      </w:r>
      <w:r w:rsidRPr="00FA57B3">
        <w:rPr>
          <w:rFonts w:ascii="Garamond" w:eastAsia="Times New Roman" w:hAnsi="Garamond"/>
          <w:szCs w:val="20"/>
        </w:rPr>
        <w:t>)</w:t>
      </w:r>
    </w:p>
    <w:p w14:paraId="7070329A" w14:textId="77777777" w:rsidR="008E35D5" w:rsidRPr="00FA57B3" w:rsidRDefault="008E35D5">
      <w:pPr>
        <w:spacing w:after="0"/>
        <w:ind w:left="-284" w:right="-312"/>
        <w:jc w:val="both"/>
        <w:rPr>
          <w:b/>
          <w:sz w:val="26"/>
          <w:szCs w:val="26"/>
        </w:rPr>
      </w:pPr>
    </w:p>
    <w:p w14:paraId="1B524426" w14:textId="77777777" w:rsidR="008E35D5" w:rsidRPr="00FA57B3" w:rsidRDefault="00CF643A">
      <w:pPr>
        <w:spacing w:before="180" w:after="0" w:line="240" w:lineRule="auto"/>
        <w:ind w:right="-1"/>
        <w:jc w:val="center"/>
        <w:rPr>
          <w:b/>
        </w:rPr>
      </w:pPr>
      <w:r w:rsidRPr="00FA57B3">
        <w:rPr>
          <w:rFonts w:ascii="Garamond" w:eastAsia="Times New Roman" w:hAnsi="Garamond"/>
          <w:b/>
          <w:szCs w:val="20"/>
        </w:rPr>
        <w:t>Уведомление о прекращении учета соглашения о порядке исполнения обязательств</w:t>
      </w:r>
    </w:p>
    <w:p w14:paraId="3E0D1622" w14:textId="77777777" w:rsidR="008E35D5" w:rsidRPr="00FA57B3" w:rsidRDefault="008E35D5">
      <w:pPr>
        <w:jc w:val="center"/>
        <w:rPr>
          <w:b/>
        </w:rPr>
      </w:pPr>
    </w:p>
    <w:p w14:paraId="1716F643" w14:textId="58F7BAD6" w:rsidR="008E35D5" w:rsidRPr="00FA57B3" w:rsidRDefault="00CF643A" w:rsidP="00D350FD">
      <w:pPr>
        <w:spacing w:before="180" w:after="0" w:line="240" w:lineRule="auto"/>
        <w:ind w:firstLine="709"/>
        <w:jc w:val="both"/>
        <w:rPr>
          <w:rFonts w:ascii="Garamond" w:eastAsia="Times New Roman" w:hAnsi="Garamond"/>
          <w:szCs w:val="20"/>
        </w:rPr>
      </w:pPr>
      <w:r w:rsidRPr="00FA57B3">
        <w:rPr>
          <w:rFonts w:ascii="Garamond" w:eastAsia="Times New Roman" w:hAnsi="Garamond"/>
          <w:szCs w:val="20"/>
        </w:rPr>
        <w:t xml:space="preserve">Настоящим АО «ЦФР» уведомляет о прекращении учета соглашения о порядке исполнения обязательств </w:t>
      </w:r>
      <w:r w:rsidRPr="00FA57B3">
        <w:rPr>
          <w:rFonts w:ascii="Garamond" w:hAnsi="Garamond"/>
          <w:shd w:val="clear" w:color="auto" w:fill="FFFFFF"/>
        </w:rPr>
        <w:t>№ _______________</w:t>
      </w:r>
      <w:r w:rsidRPr="00FA57B3">
        <w:rPr>
          <w:rFonts w:ascii="Garamond" w:eastAsia="Times New Roman" w:hAnsi="Garamond"/>
          <w:szCs w:val="20"/>
        </w:rPr>
        <w:t>, заключенного в соответствии с пунктом 18´.21 Регламента финансовых расчетов на оптовом рынке электроэнергии (Приложение № 16 к Договору о присоединении к торговой системе оптового рынка) с участником оптового рынка – продавцом (правопредшественником) ________________________</w:t>
      </w:r>
      <w:bookmarkStart w:id="0" w:name="_GoBack"/>
      <w:bookmarkEnd w:id="0"/>
      <w:r w:rsidR="00C656DB">
        <w:rPr>
          <w:rFonts w:ascii="Garamond" w:eastAsia="Times New Roman" w:hAnsi="Garamond"/>
          <w:szCs w:val="20"/>
        </w:rPr>
        <w:t>,</w:t>
      </w:r>
      <w:r w:rsidRPr="00FA57B3">
        <w:rPr>
          <w:rFonts w:ascii="Garamond" w:eastAsia="Times New Roman" w:hAnsi="Garamond"/>
          <w:szCs w:val="20"/>
        </w:rPr>
        <w:t xml:space="preserve"> c _____________ (чч.мм.гггг).</w:t>
      </w:r>
    </w:p>
    <w:p w14:paraId="66F22EFF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7401D17D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04CE94FC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043642AB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30A859A9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4584836F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07B30767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7A2FB83B" w14:textId="77777777" w:rsidR="008E35D5" w:rsidRPr="00FA57B3" w:rsidRDefault="008E35D5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13BBAA05" w14:textId="77777777" w:rsidR="00E77CD0" w:rsidRPr="00FA57B3" w:rsidRDefault="00E77CD0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21763B97" w14:textId="77777777" w:rsidR="00E77CD0" w:rsidRPr="00FA57B3" w:rsidRDefault="00E77CD0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4FD8C50E" w14:textId="77777777" w:rsidR="00E77CD0" w:rsidRPr="00FA57B3" w:rsidRDefault="00E77CD0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p w14:paraId="3DA35E20" w14:textId="77777777" w:rsidR="00D350FD" w:rsidRPr="00FA57B3" w:rsidRDefault="00D350FD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  <w:sectPr w:rsidR="00D350FD" w:rsidRPr="00FA57B3" w:rsidSect="00D350F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4EDA8EE" w14:textId="77777777" w:rsidR="00E77CD0" w:rsidRPr="00FA57B3" w:rsidRDefault="00E77CD0" w:rsidP="00D350FD">
      <w:pPr>
        <w:pStyle w:val="1"/>
        <w:keepNext w:val="0"/>
        <w:spacing w:line="240" w:lineRule="auto"/>
        <w:ind w:right="-116"/>
        <w:jc w:val="left"/>
        <w:rPr>
          <w:rFonts w:ascii="Garamond" w:eastAsia="Courier New" w:hAnsi="Garamond"/>
          <w:sz w:val="26"/>
          <w:szCs w:val="26"/>
        </w:rPr>
      </w:pPr>
      <w:r w:rsidRPr="00FA57B3">
        <w:rPr>
          <w:rFonts w:ascii="Garamond" w:eastAsia="Courier New" w:hAnsi="Garamond"/>
          <w:sz w:val="26"/>
          <w:szCs w:val="26"/>
        </w:rPr>
        <w:lastRenderedPageBreak/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2C765395" w14:textId="77777777" w:rsidR="00E77CD0" w:rsidRPr="00FA57B3" w:rsidRDefault="00E77CD0" w:rsidP="00D350FD">
      <w:pPr>
        <w:spacing w:after="0" w:line="240" w:lineRule="auto"/>
        <w:rPr>
          <w:rFonts w:ascii="Garamond" w:eastAsia="SimSun" w:hAnsi="Garamond"/>
          <w:iCs/>
          <w:sz w:val="24"/>
          <w:szCs w:val="24"/>
        </w:rPr>
      </w:pPr>
    </w:p>
    <w:p w14:paraId="5271398B" w14:textId="52EB1A0D" w:rsidR="00E77CD0" w:rsidRPr="00FA57B3" w:rsidRDefault="00E77CD0" w:rsidP="00D350FD">
      <w:pPr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  <w:r w:rsidRPr="00FA57B3">
        <w:rPr>
          <w:rFonts w:ascii="Garamond" w:hAnsi="Garamond" w:cs="Calibri"/>
          <w:b/>
          <w:sz w:val="24"/>
          <w:szCs w:val="24"/>
        </w:rPr>
        <w:t xml:space="preserve">Действующая редакция </w:t>
      </w:r>
      <w:r w:rsidRPr="00FA57B3">
        <w:rPr>
          <w:rFonts w:ascii="Garamond" w:eastAsia="Times New Roman" w:hAnsi="Garamond"/>
          <w:b/>
          <w:sz w:val="24"/>
          <w:szCs w:val="24"/>
        </w:rPr>
        <w:t>приложения 2 к Правилам ЭДО СЭД КО. Перечень видов ЭД, обращающихся в системе ЭДО</w:t>
      </w:r>
    </w:p>
    <w:p w14:paraId="20534F20" w14:textId="77777777" w:rsidR="00D350FD" w:rsidRPr="00FA57B3" w:rsidRDefault="00D350FD" w:rsidP="00D350FD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008"/>
        <w:gridCol w:w="1591"/>
        <w:gridCol w:w="823"/>
        <w:gridCol w:w="706"/>
        <w:gridCol w:w="774"/>
        <w:gridCol w:w="1069"/>
        <w:gridCol w:w="1010"/>
        <w:gridCol w:w="1001"/>
        <w:gridCol w:w="1635"/>
        <w:gridCol w:w="843"/>
        <w:gridCol w:w="727"/>
        <w:gridCol w:w="762"/>
        <w:gridCol w:w="837"/>
      </w:tblGrid>
      <w:tr w:rsidR="00D350FD" w:rsidRPr="00FA57B3" w14:paraId="1345F2EA" w14:textId="77777777" w:rsidTr="00D350FD">
        <w:trPr>
          <w:trHeight w:val="1290"/>
        </w:trPr>
        <w:tc>
          <w:tcPr>
            <w:tcW w:w="371" w:type="pct"/>
            <w:shd w:val="clear" w:color="000000" w:fill="C0C0C0"/>
            <w:vAlign w:val="center"/>
            <w:hideMark/>
          </w:tcPr>
          <w:p w14:paraId="5CB96F19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674" w:type="pct"/>
            <w:shd w:val="clear" w:color="000000" w:fill="C0C0C0"/>
            <w:vAlign w:val="center"/>
            <w:hideMark/>
          </w:tcPr>
          <w:p w14:paraId="50E7F79C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534" w:type="pct"/>
            <w:shd w:val="clear" w:color="000000" w:fill="C0C0C0"/>
            <w:vAlign w:val="center"/>
            <w:hideMark/>
          </w:tcPr>
          <w:p w14:paraId="6E12FA3B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76" w:type="pct"/>
            <w:shd w:val="clear" w:color="000000" w:fill="C0C0C0"/>
            <w:vAlign w:val="center"/>
            <w:hideMark/>
          </w:tcPr>
          <w:p w14:paraId="69168C1D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37" w:type="pct"/>
            <w:shd w:val="clear" w:color="000000" w:fill="C0C0C0"/>
            <w:vAlign w:val="center"/>
            <w:hideMark/>
          </w:tcPr>
          <w:p w14:paraId="210A16EB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60" w:type="pct"/>
            <w:shd w:val="clear" w:color="000000" w:fill="C0C0C0"/>
            <w:vAlign w:val="center"/>
            <w:hideMark/>
          </w:tcPr>
          <w:p w14:paraId="1B1DFBCE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59" w:type="pct"/>
            <w:shd w:val="clear" w:color="000000" w:fill="C0C0C0"/>
            <w:vAlign w:val="center"/>
            <w:hideMark/>
          </w:tcPr>
          <w:p w14:paraId="6851DDC8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39" w:type="pct"/>
            <w:shd w:val="clear" w:color="000000" w:fill="C0C0C0"/>
            <w:vAlign w:val="center"/>
            <w:hideMark/>
          </w:tcPr>
          <w:p w14:paraId="27B63A98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36" w:type="pct"/>
            <w:shd w:val="clear" w:color="000000" w:fill="C0C0C0"/>
            <w:vAlign w:val="center"/>
            <w:hideMark/>
          </w:tcPr>
          <w:p w14:paraId="14F29324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49" w:type="pct"/>
            <w:shd w:val="clear" w:color="000000" w:fill="C0C0C0"/>
            <w:vAlign w:val="center"/>
            <w:hideMark/>
          </w:tcPr>
          <w:p w14:paraId="39038F37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283" w:type="pct"/>
            <w:shd w:val="clear" w:color="000000" w:fill="C0C0C0"/>
            <w:vAlign w:val="center"/>
            <w:hideMark/>
          </w:tcPr>
          <w:p w14:paraId="589A013A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44" w:type="pct"/>
            <w:shd w:val="clear" w:color="000000" w:fill="C0C0C0"/>
            <w:vAlign w:val="center"/>
            <w:hideMark/>
          </w:tcPr>
          <w:p w14:paraId="272DFC84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14:paraId="2A3D23C1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14:paraId="069167C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D350FD" w:rsidRPr="00FA57B3" w14:paraId="5B138CCA" w14:textId="77777777" w:rsidTr="00D350FD">
        <w:trPr>
          <w:trHeight w:val="1062"/>
        </w:trPr>
        <w:tc>
          <w:tcPr>
            <w:tcW w:w="371" w:type="pct"/>
            <w:shd w:val="clear" w:color="000000" w:fill="FFFFFF"/>
          </w:tcPr>
          <w:p w14:paraId="7D84BD64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privmsg</w:t>
            </w:r>
          </w:p>
        </w:tc>
        <w:tc>
          <w:tcPr>
            <w:tcW w:w="674" w:type="pct"/>
            <w:shd w:val="clear" w:color="000000" w:fill="FFFFFF"/>
          </w:tcPr>
          <w:p w14:paraId="6862A2FB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Персональные сообщения</w:t>
            </w:r>
            <w:r w:rsidR="00FF2D20"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  <w:shd w:val="clear" w:color="000000" w:fill="FFFFFF"/>
          </w:tcPr>
          <w:p w14:paraId="2B13688D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Агентский договор, Регламент № 16</w:t>
            </w:r>
          </w:p>
        </w:tc>
        <w:tc>
          <w:tcPr>
            <w:tcW w:w="276" w:type="pct"/>
            <w:shd w:val="clear" w:color="000000" w:fill="FFFFFF"/>
          </w:tcPr>
          <w:p w14:paraId="229EBC3F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xls, doc</w:t>
            </w:r>
          </w:p>
        </w:tc>
        <w:tc>
          <w:tcPr>
            <w:tcW w:w="237" w:type="pct"/>
            <w:shd w:val="clear" w:color="000000" w:fill="FFFFFF"/>
          </w:tcPr>
          <w:p w14:paraId="3EA87A41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60" w:type="pct"/>
            <w:shd w:val="clear" w:color="000000" w:fill="FFFFFF"/>
          </w:tcPr>
          <w:p w14:paraId="6066E062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59" w:type="pct"/>
            <w:shd w:val="clear" w:color="000000" w:fill="FFFFFF"/>
          </w:tcPr>
          <w:p w14:paraId="65BB0875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39" w:type="pct"/>
            <w:shd w:val="clear" w:color="000000" w:fill="FFFFFF"/>
          </w:tcPr>
          <w:p w14:paraId="5340702E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6" w:type="pct"/>
            <w:shd w:val="clear" w:color="000000" w:fill="FFFFFF"/>
          </w:tcPr>
          <w:p w14:paraId="6A1C8254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49" w:type="pct"/>
            <w:shd w:val="clear" w:color="000000" w:fill="FFFFFF"/>
          </w:tcPr>
          <w:p w14:paraId="62C0C6C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1.3.6.1.4.1.18545.1.2.1.6</w:t>
            </w:r>
          </w:p>
        </w:tc>
        <w:tc>
          <w:tcPr>
            <w:tcW w:w="283" w:type="pct"/>
            <w:shd w:val="clear" w:color="000000" w:fill="FFFFFF"/>
          </w:tcPr>
          <w:p w14:paraId="1895A5B8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" w:type="pct"/>
            <w:shd w:val="clear" w:color="000000" w:fill="FFFFFF"/>
          </w:tcPr>
          <w:p w14:paraId="400341E2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56" w:type="pct"/>
            <w:shd w:val="clear" w:color="000000" w:fill="FFFFFF"/>
          </w:tcPr>
          <w:p w14:paraId="5803643A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shd w:val="clear" w:color="000000" w:fill="FFFFFF"/>
          </w:tcPr>
          <w:p w14:paraId="1528D8D8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80D15AD" w14:textId="77777777" w:rsidR="00B95CC8" w:rsidRPr="00FA57B3" w:rsidRDefault="00B95CC8" w:rsidP="00D350FD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14:paraId="49053DBA" w14:textId="370F2F67" w:rsidR="00E77CD0" w:rsidRPr="00FA57B3" w:rsidRDefault="00E77CD0" w:rsidP="00D350FD">
      <w:pPr>
        <w:spacing w:after="0" w:line="240" w:lineRule="auto"/>
        <w:rPr>
          <w:rFonts w:ascii="Garamond" w:eastAsia="Times New Roman" w:hAnsi="Garamond"/>
          <w:b/>
          <w:sz w:val="24"/>
          <w:szCs w:val="24"/>
        </w:rPr>
      </w:pPr>
      <w:r w:rsidRPr="00FA57B3">
        <w:rPr>
          <w:rFonts w:ascii="Garamond" w:hAnsi="Garamond" w:cs="Calibri"/>
          <w:b/>
          <w:sz w:val="24"/>
          <w:szCs w:val="24"/>
        </w:rPr>
        <w:t xml:space="preserve">Предлагаемая </w:t>
      </w:r>
      <w:r w:rsidRPr="00FA57B3">
        <w:rPr>
          <w:rFonts w:ascii="Garamond" w:eastAsia="Times New Roman" w:hAnsi="Garamond"/>
          <w:b/>
          <w:sz w:val="24"/>
          <w:szCs w:val="24"/>
        </w:rPr>
        <w:t>редакция приложения 2 к Правилам ЭДО СЭД КО. Перечень видов ЭД, обращающихся в системе ЭДО</w:t>
      </w:r>
    </w:p>
    <w:p w14:paraId="5C9A65C5" w14:textId="77777777" w:rsidR="00D350FD" w:rsidRPr="00FA57B3" w:rsidRDefault="00D350FD" w:rsidP="00D350FD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008"/>
        <w:gridCol w:w="1591"/>
        <w:gridCol w:w="823"/>
        <w:gridCol w:w="706"/>
        <w:gridCol w:w="774"/>
        <w:gridCol w:w="1069"/>
        <w:gridCol w:w="1010"/>
        <w:gridCol w:w="1001"/>
        <w:gridCol w:w="1635"/>
        <w:gridCol w:w="843"/>
        <w:gridCol w:w="727"/>
        <w:gridCol w:w="762"/>
        <w:gridCol w:w="837"/>
      </w:tblGrid>
      <w:tr w:rsidR="00D350FD" w:rsidRPr="00FA57B3" w14:paraId="21C16BDC" w14:textId="77777777" w:rsidTr="00D350FD">
        <w:trPr>
          <w:trHeight w:val="1290"/>
        </w:trPr>
        <w:tc>
          <w:tcPr>
            <w:tcW w:w="371" w:type="pct"/>
            <w:shd w:val="clear" w:color="000000" w:fill="C0C0C0"/>
            <w:vAlign w:val="center"/>
            <w:hideMark/>
          </w:tcPr>
          <w:p w14:paraId="691DE508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674" w:type="pct"/>
            <w:shd w:val="clear" w:color="000000" w:fill="C0C0C0"/>
            <w:vAlign w:val="center"/>
            <w:hideMark/>
          </w:tcPr>
          <w:p w14:paraId="3AE8434A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534" w:type="pct"/>
            <w:shd w:val="clear" w:color="000000" w:fill="C0C0C0"/>
            <w:vAlign w:val="center"/>
            <w:hideMark/>
          </w:tcPr>
          <w:p w14:paraId="7B6A507C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76" w:type="pct"/>
            <w:shd w:val="clear" w:color="000000" w:fill="C0C0C0"/>
            <w:vAlign w:val="center"/>
            <w:hideMark/>
          </w:tcPr>
          <w:p w14:paraId="389EA6C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37" w:type="pct"/>
            <w:shd w:val="clear" w:color="000000" w:fill="C0C0C0"/>
            <w:vAlign w:val="center"/>
            <w:hideMark/>
          </w:tcPr>
          <w:p w14:paraId="396FD769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60" w:type="pct"/>
            <w:shd w:val="clear" w:color="000000" w:fill="C0C0C0"/>
            <w:vAlign w:val="center"/>
            <w:hideMark/>
          </w:tcPr>
          <w:p w14:paraId="12A7B1D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59" w:type="pct"/>
            <w:shd w:val="clear" w:color="000000" w:fill="C0C0C0"/>
            <w:vAlign w:val="center"/>
            <w:hideMark/>
          </w:tcPr>
          <w:p w14:paraId="465D23CC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39" w:type="pct"/>
            <w:shd w:val="clear" w:color="000000" w:fill="C0C0C0"/>
            <w:vAlign w:val="center"/>
            <w:hideMark/>
          </w:tcPr>
          <w:p w14:paraId="7E331B87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36" w:type="pct"/>
            <w:shd w:val="clear" w:color="000000" w:fill="C0C0C0"/>
            <w:vAlign w:val="center"/>
            <w:hideMark/>
          </w:tcPr>
          <w:p w14:paraId="09B402C2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49" w:type="pct"/>
            <w:shd w:val="clear" w:color="000000" w:fill="C0C0C0"/>
            <w:vAlign w:val="center"/>
            <w:hideMark/>
          </w:tcPr>
          <w:p w14:paraId="59DA7191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283" w:type="pct"/>
            <w:shd w:val="clear" w:color="000000" w:fill="C0C0C0"/>
            <w:vAlign w:val="center"/>
            <w:hideMark/>
          </w:tcPr>
          <w:p w14:paraId="2C439E25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44" w:type="pct"/>
            <w:shd w:val="clear" w:color="000000" w:fill="C0C0C0"/>
            <w:vAlign w:val="center"/>
            <w:hideMark/>
          </w:tcPr>
          <w:p w14:paraId="3916BC72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14:paraId="3848346F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81" w:type="pct"/>
            <w:shd w:val="clear" w:color="000000" w:fill="C0C0C0"/>
            <w:vAlign w:val="center"/>
            <w:hideMark/>
          </w:tcPr>
          <w:p w14:paraId="45106A0E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D350FD" w:rsidRPr="00FA57B3" w14:paraId="20180E74" w14:textId="77777777" w:rsidTr="00D350FD">
        <w:trPr>
          <w:trHeight w:val="765"/>
        </w:trPr>
        <w:tc>
          <w:tcPr>
            <w:tcW w:w="371" w:type="pct"/>
            <w:shd w:val="clear" w:color="000000" w:fill="FFFFFF"/>
          </w:tcPr>
          <w:p w14:paraId="1453A96C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privmsg</w:t>
            </w:r>
          </w:p>
        </w:tc>
        <w:tc>
          <w:tcPr>
            <w:tcW w:w="674" w:type="pct"/>
            <w:shd w:val="clear" w:color="000000" w:fill="FFFFFF"/>
          </w:tcPr>
          <w:p w14:paraId="6897472F" w14:textId="1926350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Персональные сообщения</w:t>
            </w:r>
            <w:r w:rsidR="00FF2D20"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FF2D20" w:rsidRPr="00FA57B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 xml:space="preserve">от АО </w:t>
            </w:r>
            <w:r w:rsidR="005401DD" w:rsidRPr="00FA57B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«</w:t>
            </w:r>
            <w:r w:rsidR="00FF2D20" w:rsidRPr="00FA57B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ЦФР</w:t>
            </w:r>
            <w:r w:rsidR="005401DD" w:rsidRPr="00FA57B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»</w:t>
            </w:r>
          </w:p>
        </w:tc>
        <w:tc>
          <w:tcPr>
            <w:tcW w:w="534" w:type="pct"/>
            <w:shd w:val="clear" w:color="000000" w:fill="FFFFFF"/>
          </w:tcPr>
          <w:p w14:paraId="0E92C3B3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Агентский договор, Регламент № 16</w:t>
            </w:r>
          </w:p>
        </w:tc>
        <w:tc>
          <w:tcPr>
            <w:tcW w:w="276" w:type="pct"/>
            <w:shd w:val="clear" w:color="000000" w:fill="FFFFFF"/>
          </w:tcPr>
          <w:p w14:paraId="2F6A538A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xls, doc</w:t>
            </w:r>
          </w:p>
        </w:tc>
        <w:tc>
          <w:tcPr>
            <w:tcW w:w="237" w:type="pct"/>
            <w:shd w:val="clear" w:color="000000" w:fill="FFFFFF"/>
          </w:tcPr>
          <w:p w14:paraId="1D13A0BD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60" w:type="pct"/>
            <w:shd w:val="clear" w:color="000000" w:fill="FFFFFF"/>
          </w:tcPr>
          <w:p w14:paraId="150A30B4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359" w:type="pct"/>
            <w:shd w:val="clear" w:color="000000" w:fill="FFFFFF"/>
          </w:tcPr>
          <w:p w14:paraId="42FB2C27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339" w:type="pct"/>
            <w:shd w:val="clear" w:color="000000" w:fill="FFFFFF"/>
          </w:tcPr>
          <w:p w14:paraId="38D9A7F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6" w:type="pct"/>
            <w:shd w:val="clear" w:color="000000" w:fill="FFFFFF"/>
          </w:tcPr>
          <w:p w14:paraId="110C7EE1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49" w:type="pct"/>
            <w:shd w:val="clear" w:color="000000" w:fill="FFFFFF"/>
          </w:tcPr>
          <w:p w14:paraId="276C254D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283" w:type="pct"/>
            <w:shd w:val="clear" w:color="000000" w:fill="FFFFFF"/>
          </w:tcPr>
          <w:p w14:paraId="7ADFD136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" w:type="pct"/>
            <w:shd w:val="clear" w:color="000000" w:fill="FFFFFF"/>
          </w:tcPr>
          <w:p w14:paraId="776A077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56" w:type="pct"/>
            <w:shd w:val="clear" w:color="000000" w:fill="FFFFFF"/>
          </w:tcPr>
          <w:p w14:paraId="39AC5996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shd w:val="clear" w:color="000000" w:fill="FFFFFF"/>
          </w:tcPr>
          <w:p w14:paraId="23F599C0" w14:textId="77777777" w:rsidR="00E77CD0" w:rsidRPr="00FA57B3" w:rsidRDefault="00E77CD0" w:rsidP="00D350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A57B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5EF385A" w14:textId="77777777" w:rsidR="00E77CD0" w:rsidRPr="00FA57B3" w:rsidRDefault="00E77CD0">
      <w:pPr>
        <w:spacing w:before="180" w:after="0" w:line="240" w:lineRule="auto"/>
        <w:jc w:val="both"/>
        <w:rPr>
          <w:rFonts w:ascii="Garamond" w:eastAsia="Times New Roman" w:hAnsi="Garamond"/>
          <w:szCs w:val="20"/>
        </w:rPr>
      </w:pPr>
    </w:p>
    <w:sectPr w:rsidR="00E77CD0" w:rsidRPr="00FA57B3" w:rsidSect="00E77CD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315F" w14:textId="77777777" w:rsidR="000874A2" w:rsidRDefault="000874A2">
      <w:pPr>
        <w:spacing w:after="0" w:line="240" w:lineRule="auto"/>
      </w:pPr>
      <w:r>
        <w:separator/>
      </w:r>
    </w:p>
  </w:endnote>
  <w:endnote w:type="continuationSeparator" w:id="0">
    <w:p w14:paraId="4309A770" w14:textId="77777777" w:rsidR="000874A2" w:rsidRDefault="000874A2">
      <w:pPr>
        <w:spacing w:after="0" w:line="240" w:lineRule="auto"/>
      </w:pPr>
      <w:r>
        <w:continuationSeparator/>
      </w:r>
    </w:p>
  </w:endnote>
  <w:endnote w:type="continuationNotice" w:id="1">
    <w:p w14:paraId="383D154B" w14:textId="77777777" w:rsidR="000874A2" w:rsidRDefault="00087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31712" w14:textId="77777777" w:rsidR="000874A2" w:rsidRDefault="000874A2">
      <w:pPr>
        <w:spacing w:after="0" w:line="240" w:lineRule="auto"/>
      </w:pPr>
      <w:r>
        <w:separator/>
      </w:r>
    </w:p>
  </w:footnote>
  <w:footnote w:type="continuationSeparator" w:id="0">
    <w:p w14:paraId="3BCC028C" w14:textId="77777777" w:rsidR="000874A2" w:rsidRDefault="000874A2">
      <w:pPr>
        <w:spacing w:after="0" w:line="240" w:lineRule="auto"/>
      </w:pPr>
      <w:r>
        <w:continuationSeparator/>
      </w:r>
    </w:p>
  </w:footnote>
  <w:footnote w:type="continuationNotice" w:id="1">
    <w:p w14:paraId="0BB0ADC5" w14:textId="77777777" w:rsidR="000874A2" w:rsidRDefault="000874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798B094C"/>
    <w:multiLevelType w:val="hybridMultilevel"/>
    <w:tmpl w:val="B15219F0"/>
    <w:lvl w:ilvl="0" w:tplc="EEE2F6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D5"/>
    <w:rsid w:val="000874A2"/>
    <w:rsid w:val="001E39D4"/>
    <w:rsid w:val="0046780B"/>
    <w:rsid w:val="005401DD"/>
    <w:rsid w:val="005E673E"/>
    <w:rsid w:val="00665144"/>
    <w:rsid w:val="008E35D5"/>
    <w:rsid w:val="0098590B"/>
    <w:rsid w:val="009F4D12"/>
    <w:rsid w:val="00A222D0"/>
    <w:rsid w:val="00AE0F64"/>
    <w:rsid w:val="00B95CC8"/>
    <w:rsid w:val="00C04732"/>
    <w:rsid w:val="00C656DB"/>
    <w:rsid w:val="00CF643A"/>
    <w:rsid w:val="00D350FD"/>
    <w:rsid w:val="00DA6124"/>
    <w:rsid w:val="00DC2A9E"/>
    <w:rsid w:val="00DF0913"/>
    <w:rsid w:val="00E77CD0"/>
    <w:rsid w:val="00F27DD3"/>
    <w:rsid w:val="00FA57B3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1149"/>
  <w15:chartTrackingRefBased/>
  <w15:docId w15:val="{108BB097-2D8C-423F-9615-F7196EF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uiPriority w:val="9"/>
    <w:qFormat/>
    <w:rsid w:val="00CF643A"/>
    <w:pPr>
      <w:keepNext/>
      <w:suppressAutoHyphens/>
      <w:spacing w:after="0" w:line="360" w:lineRule="auto"/>
      <w:jc w:val="center"/>
      <w:outlineLvl w:val="0"/>
    </w:pPr>
    <w:rPr>
      <w:rFonts w:asciiTheme="minorHAnsi" w:eastAsia="Cambria" w:hAnsiTheme="minorHAnsi" w:cs="Cambria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1">
    <w:name w:val="Основной текст Знак1"/>
    <w:aliases w:val="body text Знак"/>
    <w:link w:val="ab"/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footnote text"/>
    <w:basedOn w:val="a"/>
    <w:link w:val="12"/>
    <w:uiPriority w:val="99"/>
    <w:unhideWhenUsed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link w:val="af0"/>
    <w:uiPriority w:val="34"/>
    <w:locked/>
    <w:rPr>
      <w:sz w:val="24"/>
      <w:szCs w:val="24"/>
    </w:rPr>
  </w:style>
  <w:style w:type="paragraph" w:styleId="af0">
    <w:name w:val="List Paragraph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character" w:customStyle="1" w:styleId="12">
    <w:name w:val="Текст сноски Знак1"/>
    <w:link w:val="ad"/>
    <w:uiPriority w:val="99"/>
    <w:locked/>
    <w:rPr>
      <w:rFonts w:ascii="Garamond" w:eastAsia="Times New Roman" w:hAnsi="Garamond" w:cs="Times New Roman"/>
      <w:sz w:val="20"/>
      <w:szCs w:val="20"/>
      <w:lang w:val="en-GB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Calibri" w:hAnsi="Calibri" w:cs="Times New Roman"/>
    </w:rPr>
  </w:style>
  <w:style w:type="paragraph" w:styleId="af6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"/>
    <w:rsid w:val="00CF643A"/>
    <w:rPr>
      <w:rFonts w:eastAsia="Cambria" w:cs="Cambr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688C-5B22-447E-97BB-81FD6D41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11</cp:revision>
  <dcterms:created xsi:type="dcterms:W3CDTF">2026-04-14T11:28:00Z</dcterms:created>
  <dcterms:modified xsi:type="dcterms:W3CDTF">2026-04-19T16:04:00Z</dcterms:modified>
</cp:coreProperties>
</file>