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5C" w:rsidRPr="00256862" w:rsidRDefault="00FE1CA1" w:rsidP="00256862">
      <w:pPr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 w:rsidRPr="00256862">
        <w:rPr>
          <w:rFonts w:ascii="Garamond" w:hAnsi="Garamond"/>
          <w:b/>
          <w:bCs/>
          <w:sz w:val="28"/>
          <w:szCs w:val="28"/>
          <w:lang w:val="en-US"/>
        </w:rPr>
        <w:t>V</w:t>
      </w:r>
      <w:r w:rsidRPr="00256862">
        <w:rPr>
          <w:rFonts w:ascii="Garamond" w:hAnsi="Garamond"/>
          <w:b/>
          <w:bCs/>
          <w:sz w:val="28"/>
          <w:szCs w:val="28"/>
        </w:rPr>
        <w:t>.4</w:t>
      </w:r>
      <w:r w:rsidR="00256862" w:rsidRPr="00256862">
        <w:rPr>
          <w:rFonts w:ascii="Garamond" w:hAnsi="Garamond"/>
          <w:b/>
          <w:bCs/>
          <w:sz w:val="28"/>
          <w:szCs w:val="28"/>
        </w:rPr>
        <w:t>.</w:t>
      </w:r>
      <w:r w:rsidRPr="00256862">
        <w:rPr>
          <w:rFonts w:ascii="Garamond" w:hAnsi="Garamond"/>
          <w:b/>
          <w:bCs/>
          <w:sz w:val="28"/>
          <w:szCs w:val="28"/>
        </w:rPr>
        <w:t xml:space="preserve"> </w:t>
      </w:r>
      <w:r w:rsidR="00517081" w:rsidRPr="00256862">
        <w:rPr>
          <w:rFonts w:ascii="Garamond" w:hAnsi="Garamond"/>
          <w:b/>
          <w:bCs/>
          <w:sz w:val="28"/>
          <w:szCs w:val="28"/>
        </w:rPr>
        <w:t xml:space="preserve">Изменения, связанные </w:t>
      </w:r>
      <w:r w:rsidR="00517081" w:rsidRPr="00256862">
        <w:rPr>
          <w:rFonts w:ascii="Garamond" w:hAnsi="Garamond"/>
          <w:b/>
          <w:iCs/>
          <w:sz w:val="28"/>
          <w:szCs w:val="28"/>
        </w:rPr>
        <w:t>с уточнением порядка предоставления документо</w:t>
      </w:r>
      <w:r w:rsidR="00256862">
        <w:rPr>
          <w:rFonts w:ascii="Garamond" w:hAnsi="Garamond"/>
          <w:b/>
          <w:iCs/>
          <w:sz w:val="28"/>
          <w:szCs w:val="28"/>
        </w:rPr>
        <w:t>в бухгалтерской отчетности в АО </w:t>
      </w:r>
      <w:r w:rsidR="00517081" w:rsidRPr="00256862">
        <w:rPr>
          <w:rFonts w:ascii="Garamond" w:hAnsi="Garamond"/>
          <w:b/>
          <w:iCs/>
          <w:sz w:val="28"/>
          <w:szCs w:val="28"/>
        </w:rPr>
        <w:t>«ЦФР», а также сроков публикации уведомлений об обязанности предоставления информации в АО «ЦФР»</w:t>
      </w:r>
    </w:p>
    <w:p w:rsidR="00256862" w:rsidRDefault="00256862" w:rsidP="0025686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A6045C" w:rsidRPr="00256862" w:rsidRDefault="00517081" w:rsidP="0025686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 w:rsidRPr="00256862">
        <w:rPr>
          <w:rFonts w:ascii="Garamond" w:hAnsi="Garamond"/>
          <w:b/>
          <w:sz w:val="28"/>
          <w:szCs w:val="28"/>
        </w:rPr>
        <w:t>Приложение №</w:t>
      </w:r>
      <w:r w:rsidR="00FE1CA1" w:rsidRPr="00256862">
        <w:rPr>
          <w:rFonts w:ascii="Garamond" w:hAnsi="Garamond"/>
          <w:b/>
          <w:sz w:val="28"/>
          <w:szCs w:val="28"/>
          <w:lang w:val="en-US"/>
        </w:rPr>
        <w:t xml:space="preserve"> 5.4</w:t>
      </w:r>
    </w:p>
    <w:p w:rsidR="00A6045C" w:rsidRPr="00256862" w:rsidRDefault="00A6045C" w:rsidP="0025686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A6045C" w:rsidRPr="00256862">
        <w:trPr>
          <w:trHeight w:val="38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5C" w:rsidRPr="00256862" w:rsidRDefault="00517081" w:rsidP="00256862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56862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256862"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A6045C" w:rsidRPr="00256862" w:rsidRDefault="00256862" w:rsidP="002568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517081" w:rsidRPr="0025686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у</w:t>
            </w:r>
            <w:r w:rsidR="00517081" w:rsidRPr="00256862">
              <w:rPr>
                <w:rFonts w:ascii="Garamond" w:hAnsi="Garamond"/>
                <w:color w:val="000000"/>
                <w:sz w:val="24"/>
                <w:szCs w:val="24"/>
              </w:rPr>
              <w:t xml:space="preserve">точнить требования Регламента финансовых расчетов на оптовом рынке электроэнергии (Приложение № 16 к Договору о присоединении к торговой системе оптового рынка) о предоставлении документов ежеквартальной бухгалтерской отчетности, а также скорректировать сроки публикации уведомлений об обязанности предоставления информации по приложениям 103а,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103</w:t>
            </w:r>
            <w:r w:rsidR="00517081" w:rsidRPr="00256862">
              <w:rPr>
                <w:rFonts w:ascii="Garamond" w:hAnsi="Garamond"/>
                <w:color w:val="000000"/>
                <w:sz w:val="24"/>
                <w:szCs w:val="24"/>
              </w:rPr>
              <w:t>б за отчетный год.</w:t>
            </w:r>
            <w:r w:rsidR="00517081" w:rsidRPr="00256862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  <w:p w:rsidR="00A6045C" w:rsidRPr="00256862" w:rsidRDefault="00517081" w:rsidP="002568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256862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256862">
              <w:rPr>
                <w:rFonts w:ascii="Garamond" w:hAnsi="Garamond"/>
                <w:sz w:val="24"/>
                <w:szCs w:val="24"/>
              </w:rPr>
              <w:t xml:space="preserve"> 1 января 2023 года.</w:t>
            </w:r>
          </w:p>
        </w:tc>
      </w:tr>
    </w:tbl>
    <w:p w:rsidR="00CD6E85" w:rsidRPr="00256862" w:rsidRDefault="00CD6E85" w:rsidP="00256862">
      <w:pPr>
        <w:spacing w:after="0" w:line="240" w:lineRule="auto"/>
        <w:rPr>
          <w:rFonts w:ascii="Garamond" w:hAnsi="Garamond"/>
          <w:b/>
          <w:sz w:val="26"/>
        </w:rPr>
      </w:pPr>
    </w:p>
    <w:p w:rsidR="00CD6E85" w:rsidRDefault="00CD6E85" w:rsidP="00256862">
      <w:pPr>
        <w:spacing w:after="0" w:line="240" w:lineRule="auto"/>
        <w:rPr>
          <w:rFonts w:ascii="Garamond" w:hAnsi="Garamond"/>
          <w:b/>
          <w:sz w:val="26"/>
        </w:rPr>
      </w:pPr>
      <w:r w:rsidRPr="00256862"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256862" w:rsidRPr="00256862" w:rsidRDefault="00256862" w:rsidP="00256862">
      <w:pPr>
        <w:spacing w:after="0" w:line="240" w:lineRule="auto"/>
        <w:rPr>
          <w:rFonts w:ascii="Garamond" w:hAnsi="Garamond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642"/>
        <w:gridCol w:w="7371"/>
      </w:tblGrid>
      <w:tr w:rsidR="00A6045C" w:rsidRPr="00256862" w:rsidTr="00256862">
        <w:trPr>
          <w:trHeight w:val="435"/>
        </w:trPr>
        <w:tc>
          <w:tcPr>
            <w:tcW w:w="1008" w:type="dxa"/>
            <w:vAlign w:val="center"/>
          </w:tcPr>
          <w:p w:rsidR="00A6045C" w:rsidRPr="00256862" w:rsidRDefault="00517081" w:rsidP="0025686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>№</w:t>
            </w:r>
          </w:p>
          <w:p w:rsidR="00A6045C" w:rsidRPr="00256862" w:rsidRDefault="00517081" w:rsidP="0025686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42" w:type="dxa"/>
            <w:vAlign w:val="center"/>
          </w:tcPr>
          <w:p w:rsidR="00A6045C" w:rsidRPr="00256862" w:rsidRDefault="00517081" w:rsidP="0025686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A6045C" w:rsidRPr="00256862" w:rsidRDefault="00517081" w:rsidP="0025686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A6045C" w:rsidRPr="00256862" w:rsidRDefault="00517081" w:rsidP="0025686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A6045C" w:rsidRPr="00256862" w:rsidRDefault="00517081" w:rsidP="0025686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256862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A6045C" w:rsidRPr="00256862" w:rsidTr="00256862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5C" w:rsidRPr="00256862" w:rsidRDefault="00517081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>16.1.2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 xml:space="preserve">             Участники оптового рынка – </w:t>
            </w:r>
            <w:proofErr w:type="spellStart"/>
            <w:r w:rsidRPr="00256862">
              <w:rPr>
                <w:rFonts w:ascii="Garamond" w:hAnsi="Garamond"/>
              </w:rPr>
              <w:t>энергосбытовые</w:t>
            </w:r>
            <w:proofErr w:type="spellEnd"/>
            <w:r w:rsidRPr="00256862">
              <w:rPr>
                <w:rFonts w:ascii="Garamond" w:hAnsi="Garamond"/>
              </w:rPr>
              <w:t xml:space="preserve"> компании, гарантирующие поставщики обязаны </w:t>
            </w:r>
            <w:r w:rsidRPr="00256862">
              <w:rPr>
                <w:rFonts w:ascii="Garamond" w:hAnsi="Garamond"/>
                <w:highlight w:val="yellow"/>
              </w:rPr>
              <w:t xml:space="preserve">ежеквартально (не позднее 30-го числа месяца, следующего после окончания отчетного квартала, либо не позднее следующего рабочего дня, если 30-е число месяца приходится на нерабочий день) и ежегодно (не позднее 31-го числа 3-го месяца, следующего после окончания отчетного года, либо не позднее следующего рабочего дня, если 31-е число месяца приходится на нерабочий день) </w:t>
            </w:r>
            <w:r w:rsidRPr="00256862">
              <w:rPr>
                <w:rFonts w:ascii="Garamond" w:hAnsi="Garamond"/>
              </w:rPr>
              <w:t xml:space="preserve">направлять в ЦФР документы </w:t>
            </w:r>
            <w:r w:rsidRPr="00256862">
              <w:rPr>
                <w:rFonts w:ascii="Garamond" w:hAnsi="Garamond"/>
                <w:highlight w:val="yellow"/>
              </w:rPr>
              <w:t>ежеквартальной и годовой</w:t>
            </w:r>
            <w:r w:rsidRPr="00256862">
              <w:rPr>
                <w:rFonts w:ascii="Garamond" w:hAnsi="Garamond"/>
              </w:rPr>
              <w:t xml:space="preserve"> бухгалтерской отчетности</w:t>
            </w:r>
            <w:r w:rsidRPr="00256862">
              <w:rPr>
                <w:rFonts w:ascii="Garamond" w:hAnsi="Garamond"/>
                <w:highlight w:val="yellow"/>
              </w:rPr>
              <w:t xml:space="preserve">: </w:t>
            </w:r>
            <w:r w:rsidRPr="00811558">
              <w:rPr>
                <w:rFonts w:ascii="Garamond" w:hAnsi="Garamond"/>
                <w:highlight w:val="yellow"/>
              </w:rPr>
              <w:t>Б</w:t>
            </w:r>
            <w:r w:rsidRPr="00256862">
              <w:rPr>
                <w:rFonts w:ascii="Garamond" w:hAnsi="Garamond"/>
              </w:rPr>
              <w:t>ухгалтерский баланс</w:t>
            </w:r>
            <w:r w:rsidRPr="00256862">
              <w:rPr>
                <w:rFonts w:ascii="Garamond" w:hAnsi="Garamond"/>
                <w:highlight w:val="yellow"/>
              </w:rPr>
              <w:t xml:space="preserve"> (форма № 1) </w:t>
            </w:r>
            <w:r w:rsidRPr="00256862">
              <w:rPr>
                <w:rFonts w:ascii="Garamond" w:hAnsi="Garamond"/>
              </w:rPr>
              <w:t xml:space="preserve">и </w:t>
            </w:r>
            <w:r w:rsidRPr="00811558">
              <w:rPr>
                <w:rFonts w:ascii="Garamond" w:hAnsi="Garamond"/>
                <w:highlight w:val="yellow"/>
              </w:rPr>
              <w:t>О</w:t>
            </w:r>
            <w:r w:rsidRPr="00256862">
              <w:rPr>
                <w:rFonts w:ascii="Garamond" w:hAnsi="Garamond"/>
              </w:rPr>
              <w:t>тчет о финансовых результатах</w:t>
            </w:r>
            <w:r w:rsidRPr="00256862">
              <w:rPr>
                <w:rFonts w:ascii="Garamond" w:hAnsi="Garamond"/>
                <w:highlight w:val="yellow"/>
              </w:rPr>
              <w:t xml:space="preserve"> (форма № 2).</w:t>
            </w:r>
            <w:r w:rsidRPr="00256862">
              <w:rPr>
                <w:rFonts w:ascii="Garamond" w:hAnsi="Garamond"/>
              </w:rPr>
              <w:t xml:space="preserve"> Данные направляются в соответствии с формами приложений 103а и 103б к настоящему Регламенту, подписанные ЭП, с помощью ПО «АРМ участника» или личного кабинета «Формы ЦФР».</w:t>
            </w:r>
          </w:p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>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256862">
              <w:rPr>
                <w:rFonts w:ascii="Garamond" w:hAnsi="Garamond"/>
              </w:rPr>
              <w:t xml:space="preserve">           Участники оптового рынка – </w:t>
            </w:r>
            <w:proofErr w:type="spellStart"/>
            <w:r w:rsidRPr="00256862">
              <w:rPr>
                <w:rFonts w:ascii="Garamond" w:hAnsi="Garamond"/>
              </w:rPr>
              <w:t>энергосбытовые</w:t>
            </w:r>
            <w:proofErr w:type="spellEnd"/>
            <w:r w:rsidRPr="00256862">
              <w:rPr>
                <w:rFonts w:ascii="Garamond" w:hAnsi="Garamond"/>
              </w:rPr>
              <w:t xml:space="preserve"> компании, гарантирующие поставщики обязаны направлять в ЦФР документы бухгалтерской отчетности </w:t>
            </w:r>
            <w:r w:rsidRPr="00256862">
              <w:rPr>
                <w:rFonts w:ascii="Garamond" w:hAnsi="Garamond"/>
                <w:highlight w:val="yellow"/>
              </w:rPr>
              <w:t>(</w:t>
            </w:r>
            <w:r w:rsidR="00811558" w:rsidRPr="00811558">
              <w:rPr>
                <w:rFonts w:ascii="Garamond" w:hAnsi="Garamond"/>
                <w:highlight w:val="yellow"/>
              </w:rPr>
              <w:t>б</w:t>
            </w:r>
            <w:r w:rsidRPr="00256862">
              <w:rPr>
                <w:rFonts w:ascii="Garamond" w:hAnsi="Garamond"/>
              </w:rPr>
              <w:t xml:space="preserve">ухгалтерский баланс и </w:t>
            </w:r>
            <w:r w:rsidR="00811558" w:rsidRPr="00811558">
              <w:rPr>
                <w:rFonts w:ascii="Garamond" w:hAnsi="Garamond"/>
                <w:highlight w:val="yellow"/>
              </w:rPr>
              <w:t>о</w:t>
            </w:r>
            <w:r w:rsidRPr="00256862">
              <w:rPr>
                <w:rFonts w:ascii="Garamond" w:hAnsi="Garamond"/>
              </w:rPr>
              <w:t>тчет о финансовых результатах</w:t>
            </w:r>
            <w:r w:rsidRPr="00256862">
              <w:rPr>
                <w:rFonts w:ascii="Garamond" w:hAnsi="Garamond"/>
                <w:highlight w:val="yellow"/>
              </w:rPr>
              <w:t>) в следующие сроки:</w:t>
            </w:r>
          </w:p>
          <w:p w:rsidR="00A6045C" w:rsidRPr="00256862" w:rsidRDefault="00517081" w:rsidP="00811558">
            <w:pPr>
              <w:pStyle w:val="a6"/>
              <w:numPr>
                <w:ilvl w:val="0"/>
                <w:numId w:val="5"/>
              </w:numPr>
              <w:tabs>
                <w:tab w:val="left" w:pos="1071"/>
              </w:tabs>
              <w:spacing w:before="120" w:after="120" w:line="240" w:lineRule="auto"/>
              <w:ind w:left="0" w:firstLine="599"/>
              <w:jc w:val="both"/>
              <w:rPr>
                <w:rFonts w:ascii="Garamond" w:hAnsi="Garamond"/>
                <w:highlight w:val="yellow"/>
              </w:rPr>
            </w:pPr>
            <w:r w:rsidRPr="00256862">
              <w:rPr>
                <w:rFonts w:ascii="Garamond" w:hAnsi="Garamond"/>
                <w:highlight w:val="yellow"/>
              </w:rPr>
              <w:t>не позднее 30-го числа месяца, следующего после окончания соответствующего квартала отчетного года, либо не позднее следующего рабочего дня, если 30-е число месяца приходится на нерабочий день (по итогам 1</w:t>
            </w:r>
            <w:r w:rsidR="003810B0">
              <w:rPr>
                <w:rFonts w:ascii="Garamond" w:hAnsi="Garamond"/>
                <w:highlight w:val="yellow"/>
              </w:rPr>
              <w:t>-го</w:t>
            </w:r>
            <w:r w:rsidRPr="00256862">
              <w:rPr>
                <w:rFonts w:ascii="Garamond" w:hAnsi="Garamond"/>
                <w:highlight w:val="yellow"/>
              </w:rPr>
              <w:t xml:space="preserve"> квартала, 1</w:t>
            </w:r>
            <w:r w:rsidR="003810B0">
              <w:rPr>
                <w:rFonts w:ascii="Garamond" w:hAnsi="Garamond"/>
                <w:highlight w:val="yellow"/>
              </w:rPr>
              <w:t>-го</w:t>
            </w:r>
            <w:r w:rsidRPr="00256862">
              <w:rPr>
                <w:rFonts w:ascii="Garamond" w:hAnsi="Garamond"/>
                <w:highlight w:val="yellow"/>
              </w:rPr>
              <w:t xml:space="preserve"> полугодия, 9 месяцев отчетного года);</w:t>
            </w:r>
          </w:p>
          <w:p w:rsidR="00A6045C" w:rsidRPr="00256862" w:rsidRDefault="00517081" w:rsidP="00811558">
            <w:pPr>
              <w:pStyle w:val="a6"/>
              <w:numPr>
                <w:ilvl w:val="0"/>
                <w:numId w:val="5"/>
              </w:numPr>
              <w:tabs>
                <w:tab w:val="left" w:pos="1071"/>
              </w:tabs>
              <w:spacing w:before="120" w:after="120" w:line="240" w:lineRule="auto"/>
              <w:ind w:left="0" w:firstLine="599"/>
              <w:jc w:val="both"/>
              <w:rPr>
                <w:rFonts w:ascii="Garamond" w:hAnsi="Garamond"/>
                <w:highlight w:val="yellow"/>
              </w:rPr>
            </w:pPr>
            <w:r w:rsidRPr="00256862">
              <w:rPr>
                <w:rFonts w:ascii="Garamond" w:hAnsi="Garamond"/>
                <w:highlight w:val="yellow"/>
              </w:rPr>
              <w:t xml:space="preserve">не позднее 31-го числа 3-го месяца года, следующего после окончания отчетного года, либо не позднее следующего рабочего дня, если 31-е число месяца приходится на нерабочий день (по итогам года). </w:t>
            </w:r>
          </w:p>
          <w:p w:rsidR="00A6045C" w:rsidRPr="00256862" w:rsidRDefault="00517081" w:rsidP="00256862">
            <w:pPr>
              <w:spacing w:before="120" w:after="120" w:line="240" w:lineRule="auto"/>
              <w:ind w:firstLine="606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>Данные направляются в соответствии с формами приложений 103а и 103б к настоящему Регламенту, подписанные ЭП, с помощью ПО «АРМ участника» или личного кабинета «Формы ЦФР».</w:t>
            </w:r>
          </w:p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>…</w:t>
            </w:r>
          </w:p>
        </w:tc>
      </w:tr>
      <w:tr w:rsidR="00A6045C" w:rsidRPr="00256862" w:rsidTr="00256862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5C" w:rsidRPr="00256862" w:rsidRDefault="00517081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</w:rPr>
            </w:pPr>
            <w:r w:rsidRPr="00256862">
              <w:rPr>
                <w:rFonts w:ascii="Garamond" w:hAnsi="Garamond" w:cs="Garamond"/>
                <w:b/>
                <w:bCs/>
              </w:rPr>
              <w:t>16.1.2.1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 xml:space="preserve">             ЦФР в течение 5 (пяти) рабочих дней после </w:t>
            </w:r>
            <w:r w:rsidRPr="00256862">
              <w:rPr>
                <w:rFonts w:ascii="Garamond" w:hAnsi="Garamond"/>
                <w:highlight w:val="yellow"/>
              </w:rPr>
              <w:t>завершения</w:t>
            </w:r>
            <w:r w:rsidRPr="00256862">
              <w:rPr>
                <w:rFonts w:ascii="Garamond" w:hAnsi="Garamond"/>
              </w:rPr>
              <w:t xml:space="preserve"> </w:t>
            </w:r>
            <w:r w:rsidRPr="00256862">
              <w:rPr>
                <w:rFonts w:ascii="Garamond" w:hAnsi="Garamond"/>
                <w:highlight w:val="yellow"/>
              </w:rPr>
              <w:t>отчетного квартала /</w:t>
            </w:r>
            <w:r w:rsidRPr="00256862">
              <w:rPr>
                <w:rFonts w:ascii="Garamond" w:hAnsi="Garamond"/>
              </w:rPr>
              <w:t xml:space="preserve"> отчетного года на основании реестра участников </w:t>
            </w:r>
            <w:r w:rsidRPr="00256862">
              <w:rPr>
                <w:rFonts w:ascii="Garamond" w:hAnsi="Garamond"/>
              </w:rPr>
              <w:lastRenderedPageBreak/>
              <w:t xml:space="preserve">оптового рынка – гарантирующих поставщиков, </w:t>
            </w:r>
            <w:proofErr w:type="spellStart"/>
            <w:r w:rsidRPr="00256862">
              <w:rPr>
                <w:rFonts w:ascii="Garamond" w:hAnsi="Garamond"/>
              </w:rPr>
              <w:t>энергосбытовых</w:t>
            </w:r>
            <w:proofErr w:type="spellEnd"/>
            <w:r w:rsidRPr="00256862">
              <w:rPr>
                <w:rFonts w:ascii="Garamond" w:hAnsi="Garamond"/>
              </w:rPr>
              <w:t xml:space="preserve"> компаний, полученного от КО в соответствии с п. 16.5 настоящего Регламента в отношении последнего месяца отчетного квартала / отчетного года, осуществляет следующие действия: </w:t>
            </w:r>
          </w:p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 xml:space="preserve">            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lastRenderedPageBreak/>
              <w:t xml:space="preserve">              ЦФР в течение 5 (пяти) рабочих дней после </w:t>
            </w:r>
            <w:proofErr w:type="gramStart"/>
            <w:r w:rsidRPr="00256862">
              <w:rPr>
                <w:rFonts w:ascii="Garamond" w:hAnsi="Garamond"/>
                <w:highlight w:val="yellow"/>
              </w:rPr>
              <w:t>окончания  квартала</w:t>
            </w:r>
            <w:proofErr w:type="gramEnd"/>
            <w:r w:rsidRPr="00256862">
              <w:rPr>
                <w:rFonts w:ascii="Garamond" w:hAnsi="Garamond"/>
                <w:highlight w:val="yellow"/>
              </w:rPr>
              <w:t xml:space="preserve"> (в отношении 1</w:t>
            </w:r>
            <w:r w:rsidR="003810B0">
              <w:rPr>
                <w:rFonts w:ascii="Garamond" w:hAnsi="Garamond"/>
                <w:highlight w:val="yellow"/>
              </w:rPr>
              <w:t>-го</w:t>
            </w:r>
            <w:r w:rsidRPr="00256862">
              <w:rPr>
                <w:rFonts w:ascii="Garamond" w:hAnsi="Garamond"/>
                <w:highlight w:val="yellow"/>
              </w:rPr>
              <w:t xml:space="preserve"> квартала, 1</w:t>
            </w:r>
            <w:r w:rsidR="003810B0">
              <w:rPr>
                <w:rFonts w:ascii="Garamond" w:hAnsi="Garamond"/>
                <w:highlight w:val="yellow"/>
              </w:rPr>
              <w:t>-го</w:t>
            </w:r>
            <w:bookmarkStart w:id="0" w:name="_GoBack"/>
            <w:bookmarkEnd w:id="0"/>
            <w:r w:rsidRPr="00256862">
              <w:rPr>
                <w:rFonts w:ascii="Garamond" w:hAnsi="Garamond"/>
                <w:highlight w:val="yellow"/>
              </w:rPr>
              <w:t xml:space="preserve"> полугодия, 9 месяцев отчетного года) и в течение </w:t>
            </w:r>
            <w:r w:rsidRPr="00256862">
              <w:rPr>
                <w:rFonts w:ascii="Garamond" w:hAnsi="Garamond"/>
                <w:highlight w:val="yellow"/>
              </w:rPr>
              <w:lastRenderedPageBreak/>
              <w:t>15 (пятнадцати) рабочих дней после окончания</w:t>
            </w:r>
            <w:r w:rsidRPr="00256862">
              <w:rPr>
                <w:rFonts w:ascii="Garamond" w:hAnsi="Garamond"/>
              </w:rPr>
              <w:t xml:space="preserve"> отчетного года на основании реестра участников оптового рынка – гарантирующих поставщиков, </w:t>
            </w:r>
            <w:proofErr w:type="spellStart"/>
            <w:r w:rsidRPr="00256862">
              <w:rPr>
                <w:rFonts w:ascii="Garamond" w:hAnsi="Garamond"/>
              </w:rPr>
              <w:t>энергосбытовых</w:t>
            </w:r>
            <w:proofErr w:type="spellEnd"/>
            <w:r w:rsidRPr="00256862">
              <w:rPr>
                <w:rFonts w:ascii="Garamond" w:hAnsi="Garamond"/>
              </w:rPr>
              <w:t xml:space="preserve"> компаний, полученного от КО в соответствии с п. 16.5 настоящего Регламента в отношении последнего месяца отчетного квартала/ отчетного года,  осуществляет следующие действия: </w:t>
            </w:r>
          </w:p>
          <w:p w:rsidR="00A6045C" w:rsidRPr="00256862" w:rsidRDefault="00517081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256862">
              <w:rPr>
                <w:rFonts w:ascii="Garamond" w:hAnsi="Garamond"/>
              </w:rPr>
              <w:t>…</w:t>
            </w:r>
          </w:p>
        </w:tc>
      </w:tr>
    </w:tbl>
    <w:p w:rsidR="00A6045C" w:rsidRPr="00256862" w:rsidRDefault="00A6045C">
      <w:pPr>
        <w:rPr>
          <w:rFonts w:ascii="Garamond" w:hAnsi="Garamond"/>
        </w:rPr>
      </w:pPr>
    </w:p>
    <w:p w:rsidR="00A6045C" w:rsidRPr="00256862" w:rsidRDefault="00517081" w:rsidP="00256862">
      <w:pPr>
        <w:spacing w:after="0"/>
        <w:rPr>
          <w:rFonts w:ascii="Garamond" w:hAnsi="Garamond"/>
        </w:rPr>
      </w:pPr>
      <w:r w:rsidRPr="00256862">
        <w:rPr>
          <w:rFonts w:ascii="Garamond" w:hAnsi="Garamond"/>
          <w:b/>
        </w:rPr>
        <w:t>Действующая редакция</w:t>
      </w:r>
    </w:p>
    <w:p w:rsidR="00A6045C" w:rsidRPr="00256862" w:rsidRDefault="00517081" w:rsidP="00256862">
      <w:pPr>
        <w:pStyle w:val="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b/>
          <w:sz w:val="22"/>
          <w:szCs w:val="22"/>
        </w:rPr>
      </w:pPr>
      <w:r w:rsidRPr="00256862">
        <w:rPr>
          <w:b/>
          <w:sz w:val="22"/>
          <w:szCs w:val="22"/>
        </w:rPr>
        <w:t>Приложение 144</w:t>
      </w:r>
    </w:p>
    <w:p w:rsidR="00A6045C" w:rsidRPr="00256862" w:rsidRDefault="00A6045C" w:rsidP="00256862">
      <w:pPr>
        <w:spacing w:after="0"/>
        <w:rPr>
          <w:rFonts w:ascii="Garamond" w:hAnsi="Garamond"/>
        </w:rPr>
      </w:pPr>
    </w:p>
    <w:p w:rsidR="00A6045C" w:rsidRPr="00256862" w:rsidRDefault="00A6045C" w:rsidP="00256862">
      <w:pPr>
        <w:spacing w:after="0"/>
        <w:jc w:val="center"/>
        <w:rPr>
          <w:rFonts w:ascii="Garamond" w:hAnsi="Garamond"/>
          <w:b/>
        </w:rPr>
      </w:pPr>
    </w:p>
    <w:p w:rsidR="00A6045C" w:rsidRPr="00256862" w:rsidRDefault="00517081" w:rsidP="00256862">
      <w:pPr>
        <w:spacing w:after="0"/>
        <w:jc w:val="center"/>
        <w:rPr>
          <w:rFonts w:ascii="Garamond" w:hAnsi="Garamond"/>
          <w:b/>
        </w:rPr>
      </w:pPr>
      <w:r w:rsidRPr="00256862">
        <w:rPr>
          <w:rFonts w:ascii="Garamond" w:hAnsi="Garamond"/>
          <w:b/>
        </w:rPr>
        <w:t>Уведомление участника оптового рынка об обязанности предоставления информации в соответствии с п. 16.1.2 или с п. 16.1.4 Регламента финансовых расчетов на оптовом рынке электроэнергии</w:t>
      </w: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A6045C" w:rsidP="00256862">
      <w:pPr>
        <w:spacing w:after="0"/>
        <w:rPr>
          <w:rFonts w:ascii="Garamond" w:hAnsi="Garamond"/>
        </w:rPr>
      </w:pPr>
    </w:p>
    <w:p w:rsidR="00A6045C" w:rsidRPr="00256862" w:rsidRDefault="00517081" w:rsidP="00256862">
      <w:pPr>
        <w:spacing w:after="0"/>
        <w:rPr>
          <w:rFonts w:ascii="Garamond" w:hAnsi="Garamond"/>
        </w:rPr>
      </w:pPr>
      <w:r w:rsidRPr="00256862">
        <w:rPr>
          <w:rFonts w:ascii="Garamond" w:hAnsi="Garamond"/>
        </w:rPr>
        <w:t>Дата формирования уведомления:</w:t>
      </w:r>
    </w:p>
    <w:p w:rsidR="00A6045C" w:rsidRPr="00256862" w:rsidRDefault="00517081" w:rsidP="00256862">
      <w:pPr>
        <w:spacing w:after="0"/>
        <w:rPr>
          <w:rFonts w:ascii="Garamond" w:hAnsi="Garamond"/>
        </w:rPr>
      </w:pPr>
      <w:r w:rsidRPr="00256862">
        <w:rPr>
          <w:rFonts w:ascii="Garamond" w:hAnsi="Garamond"/>
          <w:lang w:val="en-US"/>
        </w:rPr>
        <w:t>DD</w:t>
      </w:r>
      <w:r w:rsidRPr="00256862">
        <w:rPr>
          <w:rFonts w:ascii="Garamond" w:hAnsi="Garamond"/>
        </w:rPr>
        <w:t>.</w:t>
      </w:r>
      <w:r w:rsidRPr="00256862">
        <w:rPr>
          <w:rFonts w:ascii="Garamond" w:hAnsi="Garamond"/>
          <w:lang w:val="en-US"/>
        </w:rPr>
        <w:t>MM</w:t>
      </w:r>
      <w:r w:rsidRPr="00256862">
        <w:rPr>
          <w:rFonts w:ascii="Garamond" w:hAnsi="Garamond"/>
        </w:rPr>
        <w:t>.</w:t>
      </w:r>
      <w:r w:rsidRPr="00256862">
        <w:rPr>
          <w:rFonts w:ascii="Garamond" w:hAnsi="Garamond"/>
          <w:lang w:val="en-US"/>
        </w:rPr>
        <w:t>YYYY</w:t>
      </w:r>
    </w:p>
    <w:p w:rsidR="00A6045C" w:rsidRPr="00256862" w:rsidRDefault="00517081" w:rsidP="00256862">
      <w:pPr>
        <w:spacing w:after="0"/>
        <w:jc w:val="right"/>
        <w:rPr>
          <w:rFonts w:ascii="Garamond" w:hAnsi="Garamond"/>
        </w:rPr>
      </w:pPr>
      <w:r w:rsidRPr="00256862">
        <w:rPr>
          <w:rFonts w:ascii="Garamond" w:hAnsi="Garamond"/>
        </w:rPr>
        <w:t>Руководителю</w:t>
      </w:r>
    </w:p>
    <w:p w:rsidR="00A6045C" w:rsidRPr="00256862" w:rsidRDefault="00517081" w:rsidP="00256862">
      <w:pPr>
        <w:spacing w:after="0"/>
        <w:jc w:val="right"/>
        <w:rPr>
          <w:rFonts w:ascii="Garamond" w:hAnsi="Garamond"/>
        </w:rPr>
      </w:pPr>
      <w:r w:rsidRPr="00256862">
        <w:rPr>
          <w:rFonts w:ascii="Garamond" w:hAnsi="Garamond"/>
        </w:rPr>
        <w:t>(</w:t>
      </w:r>
      <w:r w:rsidRPr="00256862">
        <w:rPr>
          <w:rFonts w:ascii="Garamond" w:hAnsi="Garamond"/>
          <w:i/>
        </w:rPr>
        <w:t>наименование участника</w:t>
      </w:r>
      <w:r w:rsidRPr="00256862">
        <w:rPr>
          <w:rFonts w:ascii="Garamond" w:hAnsi="Garamond"/>
        </w:rPr>
        <w:t>)</w:t>
      </w: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517081" w:rsidP="00256862">
      <w:pPr>
        <w:spacing w:after="0"/>
        <w:ind w:firstLine="142"/>
        <w:outlineLvl w:val="0"/>
        <w:rPr>
          <w:rFonts w:ascii="Garamond" w:hAnsi="Garamond"/>
          <w:i/>
        </w:rPr>
      </w:pPr>
      <w:bookmarkStart w:id="1" w:name="_Toc467487661"/>
      <w:r w:rsidRPr="00256862">
        <w:rPr>
          <w:rFonts w:ascii="Garamond" w:hAnsi="Garamond"/>
          <w:i/>
        </w:rPr>
        <w:t>Об обязанности предоставления информации</w:t>
      </w:r>
      <w:bookmarkEnd w:id="1"/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517081" w:rsidP="00256862">
      <w:pPr>
        <w:spacing w:after="0"/>
        <w:ind w:firstLine="550"/>
        <w:jc w:val="both"/>
        <w:rPr>
          <w:rFonts w:ascii="Garamond" w:hAnsi="Garamond"/>
        </w:rPr>
      </w:pPr>
      <w:r w:rsidRPr="00256862">
        <w:rPr>
          <w:rFonts w:ascii="Garamond" w:hAnsi="Garamond"/>
        </w:rPr>
        <w:t xml:space="preserve">Настоящим АО «ЦФР» уведомляет о том, что __________ </w:t>
      </w:r>
      <w:r w:rsidRPr="00256862">
        <w:rPr>
          <w:rFonts w:ascii="Garamond" w:hAnsi="Garamond"/>
          <w:i/>
        </w:rPr>
        <w:t>(наименование участника)</w:t>
      </w:r>
      <w:r w:rsidRPr="00256862">
        <w:rPr>
          <w:rFonts w:ascii="Garamond" w:hAnsi="Garamond"/>
        </w:rPr>
        <w:t xml:space="preserve"> в соответствии с п. 16.1.2 или п. 16.1.4 Регламента финансовых расчетов на оптовом рынке электроэнергии обязано представить в АО «ЦФР» отчетные данные по форме приложения </w:t>
      </w:r>
      <w:r w:rsidRPr="00256862">
        <w:rPr>
          <w:rFonts w:ascii="Garamond" w:hAnsi="Garamond"/>
          <w:lang w:val="en-US"/>
        </w:rPr>
        <w:t>XXX</w:t>
      </w:r>
      <w:r w:rsidRPr="00256862">
        <w:rPr>
          <w:rFonts w:ascii="Garamond" w:hAnsi="Garamond"/>
        </w:rPr>
        <w:t xml:space="preserve"> за № КВАРТАЛА/</w:t>
      </w:r>
      <w:r w:rsidRPr="00256862">
        <w:rPr>
          <w:rFonts w:ascii="Garamond" w:hAnsi="Garamond"/>
          <w:lang w:val="en-US"/>
        </w:rPr>
        <w:t>YYYY</w:t>
      </w:r>
      <w:r w:rsidRPr="00256862">
        <w:rPr>
          <w:rFonts w:ascii="Garamond" w:hAnsi="Garamond"/>
        </w:rPr>
        <w:t xml:space="preserve"> или за ММ/</w:t>
      </w:r>
      <w:r w:rsidRPr="00256862">
        <w:rPr>
          <w:rFonts w:ascii="Garamond" w:hAnsi="Garamond"/>
          <w:lang w:val="en-US"/>
        </w:rPr>
        <w:t>YYYY</w:t>
      </w:r>
      <w:r w:rsidRPr="00256862">
        <w:rPr>
          <w:rFonts w:ascii="Garamond" w:hAnsi="Garamond"/>
        </w:rPr>
        <w:t>.</w:t>
      </w:r>
    </w:p>
    <w:p w:rsidR="00A6045C" w:rsidRPr="00256862" w:rsidRDefault="00A6045C" w:rsidP="00256862">
      <w:pPr>
        <w:spacing w:after="0"/>
        <w:ind w:left="-284" w:firstLine="284"/>
        <w:rPr>
          <w:rFonts w:ascii="Garamond" w:hAnsi="Garamond"/>
          <w:b/>
        </w:rPr>
      </w:pPr>
    </w:p>
    <w:p w:rsidR="00256862" w:rsidRDefault="00256862">
      <w:pPr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A6045C" w:rsidRPr="00256862" w:rsidRDefault="00517081" w:rsidP="00256862">
      <w:pPr>
        <w:spacing w:after="0"/>
        <w:ind w:left="-284" w:firstLine="284"/>
        <w:rPr>
          <w:rFonts w:ascii="Garamond" w:hAnsi="Garamond"/>
          <w:b/>
        </w:rPr>
      </w:pPr>
      <w:r w:rsidRPr="00256862">
        <w:rPr>
          <w:rFonts w:ascii="Garamond" w:hAnsi="Garamond"/>
          <w:b/>
        </w:rPr>
        <w:lastRenderedPageBreak/>
        <w:t>Предлагаемая редакция</w:t>
      </w:r>
    </w:p>
    <w:p w:rsidR="00A6045C" w:rsidRPr="00256862" w:rsidRDefault="00A6045C" w:rsidP="00256862">
      <w:pPr>
        <w:spacing w:after="0"/>
        <w:rPr>
          <w:rFonts w:ascii="Garamond" w:hAnsi="Garamond"/>
        </w:rPr>
      </w:pPr>
    </w:p>
    <w:p w:rsidR="00A6045C" w:rsidRPr="00256862" w:rsidRDefault="00517081" w:rsidP="00256862">
      <w:pPr>
        <w:pStyle w:val="2"/>
        <w:keepNext w:val="0"/>
        <w:widowControl w:val="0"/>
        <w:numPr>
          <w:ilvl w:val="1"/>
          <w:numId w:val="0"/>
        </w:numPr>
        <w:tabs>
          <w:tab w:val="num" w:pos="756"/>
        </w:tabs>
        <w:spacing w:before="0" w:after="0"/>
        <w:jc w:val="right"/>
        <w:rPr>
          <w:b/>
          <w:sz w:val="22"/>
          <w:szCs w:val="22"/>
        </w:rPr>
      </w:pPr>
      <w:r w:rsidRPr="00256862">
        <w:rPr>
          <w:b/>
          <w:sz w:val="22"/>
          <w:szCs w:val="22"/>
        </w:rPr>
        <w:t>Приложение 144</w:t>
      </w:r>
    </w:p>
    <w:p w:rsidR="00A6045C" w:rsidRPr="00256862" w:rsidRDefault="00A6045C" w:rsidP="00256862">
      <w:pPr>
        <w:spacing w:after="0"/>
        <w:rPr>
          <w:rFonts w:ascii="Garamond" w:hAnsi="Garamond"/>
        </w:rPr>
      </w:pPr>
    </w:p>
    <w:p w:rsidR="00A6045C" w:rsidRPr="00256862" w:rsidRDefault="00A6045C" w:rsidP="00256862">
      <w:pPr>
        <w:spacing w:after="0"/>
        <w:jc w:val="center"/>
        <w:rPr>
          <w:rFonts w:ascii="Garamond" w:hAnsi="Garamond"/>
          <w:b/>
        </w:rPr>
      </w:pPr>
    </w:p>
    <w:p w:rsidR="00A6045C" w:rsidRPr="00256862" w:rsidRDefault="00517081" w:rsidP="00256862">
      <w:pPr>
        <w:spacing w:after="0"/>
        <w:jc w:val="center"/>
        <w:rPr>
          <w:rFonts w:ascii="Garamond" w:hAnsi="Garamond"/>
          <w:b/>
        </w:rPr>
      </w:pPr>
      <w:r w:rsidRPr="00256862">
        <w:rPr>
          <w:rFonts w:ascii="Garamond" w:hAnsi="Garamond"/>
          <w:b/>
        </w:rPr>
        <w:t>Уведомление участника оптового рынка об обязанности предоставления информации в соответствии с п. 16.1.2 или с п. 16.1.4 Регламента финансовых расчетов на оптовом рынке электроэнергии</w:t>
      </w: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A6045C" w:rsidP="00256862">
      <w:pPr>
        <w:spacing w:after="0"/>
        <w:rPr>
          <w:rFonts w:ascii="Garamond" w:hAnsi="Garamond"/>
        </w:rPr>
      </w:pPr>
    </w:p>
    <w:p w:rsidR="00A6045C" w:rsidRPr="00256862" w:rsidRDefault="00517081" w:rsidP="00256862">
      <w:pPr>
        <w:spacing w:after="0"/>
        <w:rPr>
          <w:rFonts w:ascii="Garamond" w:hAnsi="Garamond"/>
        </w:rPr>
      </w:pPr>
      <w:r w:rsidRPr="00256862">
        <w:rPr>
          <w:rFonts w:ascii="Garamond" w:hAnsi="Garamond"/>
        </w:rPr>
        <w:t>Дата формирования уведомления:</w:t>
      </w:r>
    </w:p>
    <w:p w:rsidR="00A6045C" w:rsidRPr="00256862" w:rsidRDefault="00517081" w:rsidP="00256862">
      <w:pPr>
        <w:spacing w:after="0"/>
        <w:rPr>
          <w:rFonts w:ascii="Garamond" w:hAnsi="Garamond"/>
        </w:rPr>
      </w:pPr>
      <w:r w:rsidRPr="00256862">
        <w:rPr>
          <w:rFonts w:ascii="Garamond" w:hAnsi="Garamond"/>
          <w:lang w:val="en-US"/>
        </w:rPr>
        <w:t>DD</w:t>
      </w:r>
      <w:r w:rsidRPr="00256862">
        <w:rPr>
          <w:rFonts w:ascii="Garamond" w:hAnsi="Garamond"/>
        </w:rPr>
        <w:t>.</w:t>
      </w:r>
      <w:r w:rsidRPr="00256862">
        <w:rPr>
          <w:rFonts w:ascii="Garamond" w:hAnsi="Garamond"/>
          <w:lang w:val="en-US"/>
        </w:rPr>
        <w:t>MM</w:t>
      </w:r>
      <w:r w:rsidRPr="00256862">
        <w:rPr>
          <w:rFonts w:ascii="Garamond" w:hAnsi="Garamond"/>
        </w:rPr>
        <w:t>.</w:t>
      </w:r>
      <w:r w:rsidRPr="00256862">
        <w:rPr>
          <w:rFonts w:ascii="Garamond" w:hAnsi="Garamond"/>
          <w:lang w:val="en-US"/>
        </w:rPr>
        <w:t>YYYY</w:t>
      </w:r>
    </w:p>
    <w:p w:rsidR="00A6045C" w:rsidRPr="00256862" w:rsidRDefault="00517081" w:rsidP="00256862">
      <w:pPr>
        <w:spacing w:after="0"/>
        <w:jc w:val="right"/>
        <w:rPr>
          <w:rFonts w:ascii="Garamond" w:hAnsi="Garamond"/>
        </w:rPr>
      </w:pPr>
      <w:r w:rsidRPr="00256862">
        <w:rPr>
          <w:rFonts w:ascii="Garamond" w:hAnsi="Garamond"/>
        </w:rPr>
        <w:t>Руководителю</w:t>
      </w:r>
    </w:p>
    <w:p w:rsidR="00A6045C" w:rsidRPr="00256862" w:rsidRDefault="00517081" w:rsidP="00256862">
      <w:pPr>
        <w:spacing w:after="0"/>
        <w:jc w:val="right"/>
        <w:rPr>
          <w:rFonts w:ascii="Garamond" w:hAnsi="Garamond"/>
        </w:rPr>
      </w:pPr>
      <w:r w:rsidRPr="00256862">
        <w:rPr>
          <w:rFonts w:ascii="Garamond" w:hAnsi="Garamond"/>
        </w:rPr>
        <w:t>(</w:t>
      </w:r>
      <w:r w:rsidRPr="00256862">
        <w:rPr>
          <w:rFonts w:ascii="Garamond" w:hAnsi="Garamond"/>
          <w:i/>
        </w:rPr>
        <w:t>наименование участника</w:t>
      </w:r>
      <w:r w:rsidRPr="00256862">
        <w:rPr>
          <w:rFonts w:ascii="Garamond" w:hAnsi="Garamond"/>
        </w:rPr>
        <w:t>)</w:t>
      </w: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517081" w:rsidP="00256862">
      <w:pPr>
        <w:spacing w:after="0"/>
        <w:ind w:firstLine="142"/>
        <w:outlineLvl w:val="0"/>
        <w:rPr>
          <w:rFonts w:ascii="Garamond" w:hAnsi="Garamond"/>
          <w:i/>
        </w:rPr>
      </w:pPr>
      <w:r w:rsidRPr="00256862">
        <w:rPr>
          <w:rFonts w:ascii="Garamond" w:hAnsi="Garamond"/>
          <w:i/>
        </w:rPr>
        <w:t>Об обязанности предоставления информации</w:t>
      </w: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A6045C" w:rsidP="00256862">
      <w:pPr>
        <w:spacing w:after="0"/>
        <w:jc w:val="right"/>
        <w:rPr>
          <w:rFonts w:ascii="Garamond" w:hAnsi="Garamond"/>
        </w:rPr>
      </w:pPr>
    </w:p>
    <w:p w:rsidR="00A6045C" w:rsidRPr="00256862" w:rsidRDefault="00517081" w:rsidP="00256862">
      <w:pPr>
        <w:spacing w:after="0"/>
        <w:ind w:firstLine="550"/>
        <w:jc w:val="both"/>
        <w:rPr>
          <w:rFonts w:ascii="Garamond" w:hAnsi="Garamond"/>
        </w:rPr>
      </w:pPr>
      <w:r w:rsidRPr="00256862">
        <w:rPr>
          <w:rFonts w:ascii="Garamond" w:hAnsi="Garamond"/>
        </w:rPr>
        <w:t xml:space="preserve">Настоящим АО «ЦФР» уведомляет о том, что __________ </w:t>
      </w:r>
      <w:r w:rsidRPr="00256862">
        <w:rPr>
          <w:rFonts w:ascii="Garamond" w:hAnsi="Garamond"/>
          <w:i/>
        </w:rPr>
        <w:t>(наименование участника)</w:t>
      </w:r>
      <w:r w:rsidRPr="00256862">
        <w:rPr>
          <w:rFonts w:ascii="Garamond" w:hAnsi="Garamond"/>
        </w:rPr>
        <w:t xml:space="preserve"> в соответствии с п. 16.1.2 или п. 16.1.4 Регламента финансовых расчетов на оптовом рынке электроэнергии обязано представить в АО «ЦФР» отчетные данные по форме приложения </w:t>
      </w:r>
      <w:r w:rsidRPr="00256862">
        <w:rPr>
          <w:rFonts w:ascii="Garamond" w:hAnsi="Garamond"/>
          <w:lang w:val="en-US"/>
        </w:rPr>
        <w:t>XXX</w:t>
      </w:r>
      <w:r w:rsidRPr="00256862">
        <w:rPr>
          <w:rFonts w:ascii="Garamond" w:hAnsi="Garamond"/>
        </w:rPr>
        <w:t xml:space="preserve"> за № КВАРТАЛА/</w:t>
      </w:r>
      <w:r w:rsidRPr="00256862">
        <w:rPr>
          <w:rFonts w:ascii="Garamond" w:hAnsi="Garamond"/>
          <w:lang w:val="en-US"/>
        </w:rPr>
        <w:t>YYYY</w:t>
      </w:r>
      <w:r w:rsidRPr="00256862">
        <w:rPr>
          <w:rFonts w:ascii="Garamond" w:hAnsi="Garamond"/>
        </w:rPr>
        <w:t xml:space="preserve">, </w:t>
      </w:r>
      <w:r w:rsidRPr="00256862">
        <w:rPr>
          <w:rFonts w:ascii="Garamond" w:hAnsi="Garamond"/>
          <w:highlight w:val="yellow"/>
        </w:rPr>
        <w:t xml:space="preserve">за </w:t>
      </w:r>
      <w:r w:rsidRPr="00256862">
        <w:rPr>
          <w:rFonts w:ascii="Garamond" w:hAnsi="Garamond"/>
          <w:highlight w:val="yellow"/>
          <w:lang w:val="en-US"/>
        </w:rPr>
        <w:t>YYYY</w:t>
      </w:r>
      <w:r w:rsidRPr="00256862">
        <w:rPr>
          <w:rFonts w:ascii="Garamond" w:hAnsi="Garamond"/>
        </w:rPr>
        <w:t xml:space="preserve"> или за ММ/</w:t>
      </w:r>
      <w:r w:rsidRPr="00256862">
        <w:rPr>
          <w:rFonts w:ascii="Garamond" w:hAnsi="Garamond"/>
          <w:lang w:val="en-US"/>
        </w:rPr>
        <w:t>YYYY</w:t>
      </w:r>
      <w:r w:rsidRPr="00256862">
        <w:rPr>
          <w:rFonts w:ascii="Garamond" w:hAnsi="Garamond"/>
        </w:rPr>
        <w:t>.</w:t>
      </w:r>
    </w:p>
    <w:sectPr w:rsidR="00A6045C" w:rsidRPr="00256862" w:rsidSect="0025686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0B41A00"/>
    <w:lvl w:ilvl="0">
      <w:start w:val="1"/>
      <w:numFmt w:val="none"/>
      <w:pStyle w:val="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pStyle w:val="4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7D47DCA"/>
    <w:multiLevelType w:val="hybridMultilevel"/>
    <w:tmpl w:val="06B46B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6BB1"/>
    <w:multiLevelType w:val="hybridMultilevel"/>
    <w:tmpl w:val="5BC86390"/>
    <w:lvl w:ilvl="0" w:tplc="2DD0D1B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5C"/>
    <w:rsid w:val="00256862"/>
    <w:rsid w:val="003810B0"/>
    <w:rsid w:val="00517081"/>
    <w:rsid w:val="00544983"/>
    <w:rsid w:val="00811558"/>
    <w:rsid w:val="00A6045C"/>
    <w:rsid w:val="00CD6E85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8A47"/>
  <w15:chartTrackingRefBased/>
  <w15:docId w15:val="{34900C6E-54DC-44F8-82C1-DC437D4C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"/>
    <w:basedOn w:val="a"/>
    <w:next w:val="a"/>
    <w:link w:val="10"/>
    <w:qFormat/>
    <w:pPr>
      <w:numPr>
        <w:numId w:val="1"/>
      </w:numPr>
      <w:tabs>
        <w:tab w:val="left" w:pos="1134"/>
      </w:tabs>
      <w:spacing w:before="240" w:after="120" w:line="270" w:lineRule="atLeast"/>
      <w:outlineLvl w:val="0"/>
    </w:pPr>
    <w:rPr>
      <w:rFonts w:ascii="Garamond" w:eastAsia="Times New Roman" w:hAnsi="Garamond"/>
      <w:b/>
      <w:sz w:val="20"/>
      <w:szCs w:val="20"/>
      <w:lang w:val="x-none" w:eastAsia="ru-RU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pPr>
      <w:keepNext/>
      <w:numPr>
        <w:ilvl w:val="1"/>
        <w:numId w:val="1"/>
      </w:numPr>
      <w:tabs>
        <w:tab w:val="left" w:pos="1134"/>
      </w:tabs>
      <w:spacing w:before="120" w:after="120" w:line="312" w:lineRule="exact"/>
      <w:outlineLvl w:val="1"/>
    </w:pPr>
    <w:rPr>
      <w:rFonts w:ascii="Garamond" w:eastAsia="Times New Roman" w:hAnsi="Garamond"/>
      <w:bCs/>
      <w:sz w:val="20"/>
      <w:szCs w:val="20"/>
      <w:lang w:val="x-none" w:eastAsia="ru-RU"/>
    </w:rPr>
  </w:style>
  <w:style w:type="paragraph" w:styleId="3">
    <w:name w:val="heading 3"/>
    <w:aliases w:val="Заголовок подпукта (1.1.1),Level 1 - 1,H3,o"/>
    <w:basedOn w:val="a"/>
    <w:next w:val="a"/>
    <w:link w:val="30"/>
    <w:qFormat/>
    <w:pPr>
      <w:numPr>
        <w:ilvl w:val="2"/>
        <w:numId w:val="1"/>
      </w:numPr>
      <w:tabs>
        <w:tab w:val="left" w:pos="1134"/>
      </w:tabs>
      <w:spacing w:before="120" w:line="270" w:lineRule="atLeast"/>
      <w:outlineLvl w:val="2"/>
    </w:pPr>
    <w:rPr>
      <w:rFonts w:ascii="NewsGoth BT" w:eastAsia="Times New Roman" w:hAnsi="NewsGoth BT"/>
      <w:b/>
      <w:sz w:val="20"/>
      <w:szCs w:val="20"/>
      <w:lang w:val="de-DE" w:eastAsia="x-none"/>
    </w:rPr>
  </w:style>
  <w:style w:type="paragraph" w:styleId="4">
    <w:name w:val="heading 4"/>
    <w:aliases w:val="H41,Sub-Minor,Level 2 - a"/>
    <w:basedOn w:val="a"/>
    <w:next w:val="a"/>
    <w:link w:val="40"/>
    <w:uiPriority w:val="9"/>
    <w:qFormat/>
    <w:pPr>
      <w:numPr>
        <w:ilvl w:val="3"/>
        <w:numId w:val="1"/>
      </w:numPr>
      <w:tabs>
        <w:tab w:val="left" w:pos="1134"/>
      </w:tabs>
      <w:spacing w:before="120" w:line="270" w:lineRule="atLeast"/>
      <w:outlineLvl w:val="3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5">
    <w:name w:val="heading 5"/>
    <w:aliases w:val="h5,h51,H5,H51,h52,test,Block Label,Level 3 - i"/>
    <w:basedOn w:val="a"/>
    <w:next w:val="a"/>
    <w:link w:val="50"/>
    <w:uiPriority w:val="99"/>
    <w:qFormat/>
    <w:pPr>
      <w:numPr>
        <w:ilvl w:val="4"/>
        <w:numId w:val="1"/>
      </w:numPr>
      <w:spacing w:before="240" w:after="60" w:line="270" w:lineRule="atLeast"/>
      <w:outlineLvl w:val="4"/>
    </w:pPr>
    <w:rPr>
      <w:rFonts w:ascii="Arial" w:eastAsia="Times New Roman" w:hAnsi="Arial"/>
      <w:sz w:val="20"/>
      <w:szCs w:val="20"/>
      <w:lang w:val="de-DE" w:eastAsia="ru-RU"/>
    </w:rPr>
  </w:style>
  <w:style w:type="paragraph" w:styleId="6">
    <w:name w:val="heading 6"/>
    <w:aliases w:val="Legal Level 1."/>
    <w:basedOn w:val="a"/>
    <w:next w:val="a"/>
    <w:link w:val="60"/>
    <w:uiPriority w:val="99"/>
    <w:qFormat/>
    <w:pPr>
      <w:numPr>
        <w:ilvl w:val="5"/>
        <w:numId w:val="1"/>
      </w:numPr>
      <w:spacing w:before="240" w:after="60" w:line="270" w:lineRule="atLeast"/>
      <w:outlineLvl w:val="5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pPr>
      <w:numPr>
        <w:ilvl w:val="6"/>
        <w:numId w:val="1"/>
      </w:numPr>
      <w:spacing w:before="240" w:after="60" w:line="270" w:lineRule="atLeast"/>
      <w:outlineLvl w:val="6"/>
    </w:pPr>
    <w:rPr>
      <w:rFonts w:ascii="Arial" w:eastAsia="Times New Roman" w:hAnsi="Arial"/>
      <w:sz w:val="20"/>
      <w:szCs w:val="20"/>
      <w:lang w:val="de-DE" w:eastAsia="ru-RU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pPr>
      <w:numPr>
        <w:ilvl w:val="7"/>
        <w:numId w:val="1"/>
      </w:numPr>
      <w:spacing w:before="240" w:after="60" w:line="270" w:lineRule="atLeast"/>
      <w:outlineLvl w:val="7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pPr>
      <w:numPr>
        <w:ilvl w:val="8"/>
        <w:numId w:val="1"/>
      </w:numPr>
      <w:spacing w:before="240" w:after="60" w:line="270" w:lineRule="atLeast"/>
      <w:outlineLvl w:val="8"/>
    </w:pPr>
    <w:rPr>
      <w:rFonts w:ascii="Arial" w:eastAsia="Times New Roman" w:hAnsi="Arial"/>
      <w:i/>
      <w:sz w:val="1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rPr>
      <w:rFonts w:ascii="Garamond" w:eastAsia="Times New Roman" w:hAnsi="Garamond" w:cs="Times New Roman"/>
      <w:bCs/>
      <w:sz w:val="20"/>
      <w:szCs w:val="20"/>
      <w:lang w:val="x-none" w:eastAsia="ru-RU"/>
    </w:rPr>
  </w:style>
  <w:style w:type="character" w:customStyle="1" w:styleId="30">
    <w:name w:val="Заголовок 3 Знак"/>
    <w:aliases w:val="Заголовок подпукта (1.1.1) Знак,Level 1 - 1 Знак,H3 Знак,o Знак"/>
    <w:basedOn w:val="a0"/>
    <w:link w:val="3"/>
    <w:rPr>
      <w:rFonts w:ascii="NewsGoth BT" w:eastAsia="Times New Roman" w:hAnsi="NewsGoth BT" w:cs="Times New Roman"/>
      <w:b/>
      <w:sz w:val="20"/>
      <w:szCs w:val="20"/>
      <w:lang w:val="de-DE" w:eastAsia="x-none"/>
    </w:rPr>
  </w:style>
  <w:style w:type="character" w:customStyle="1" w:styleId="40">
    <w:name w:val="Заголовок 4 Знак"/>
    <w:aliases w:val="H41 Знак,Sub-Minor Знак,Level 2 - a Знак"/>
    <w:basedOn w:val="a0"/>
    <w:link w:val="4"/>
    <w:uiPriority w:val="9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4">
    <w:name w:val="Body Text"/>
    <w:basedOn w:val="a"/>
    <w:link w:val="a5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AA448-47C1-4317-B72A-84E34974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ЦФР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Пряхина Ирина Игоревна</cp:lastModifiedBy>
  <cp:revision>14</cp:revision>
  <dcterms:created xsi:type="dcterms:W3CDTF">2022-08-24T14:02:00Z</dcterms:created>
  <dcterms:modified xsi:type="dcterms:W3CDTF">2022-09-15T13:42:00Z</dcterms:modified>
</cp:coreProperties>
</file>