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ED" w:rsidRPr="00891653" w:rsidRDefault="00C534EF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Вопрос 15.</w:t>
      </w:r>
      <w:r w:rsidR="00F66D98" w:rsidRPr="00891653">
        <w:rPr>
          <w:rFonts w:ascii="Garamond" w:hAnsi="Garamond"/>
          <w:b/>
          <w:sz w:val="28"/>
          <w:szCs w:val="28"/>
        </w:rPr>
        <w:t xml:space="preserve"> Изменения, связанные </w:t>
      </w:r>
      <w:r w:rsidR="00F66D98" w:rsidRPr="00891653">
        <w:rPr>
          <w:rFonts w:ascii="Garamond" w:hAnsi="Garamond"/>
          <w:b/>
          <w:sz w:val="28"/>
          <w:szCs w:val="28"/>
          <w:lang w:val="en-US"/>
        </w:rPr>
        <w:t>c</w:t>
      </w:r>
      <w:r w:rsidR="00F66D98" w:rsidRPr="00891653">
        <w:rPr>
          <w:rFonts w:ascii="Garamond" w:hAnsi="Garamond"/>
          <w:b/>
          <w:sz w:val="28"/>
          <w:szCs w:val="28"/>
        </w:rPr>
        <w:t xml:space="preserve"> </w:t>
      </w:r>
      <w:r w:rsidR="00643A15" w:rsidRPr="00891653">
        <w:rPr>
          <w:rFonts w:ascii="Garamond" w:hAnsi="Garamond"/>
          <w:b/>
          <w:sz w:val="28"/>
          <w:szCs w:val="28"/>
        </w:rPr>
        <w:t>особенностями расчетов на оптовом рынке электрической энергии и мощности</w:t>
      </w:r>
      <w:r w:rsidR="006E222F" w:rsidRPr="00891653">
        <w:rPr>
          <w:rFonts w:ascii="Garamond" w:hAnsi="Garamond"/>
          <w:b/>
          <w:sz w:val="28"/>
          <w:szCs w:val="28"/>
        </w:rPr>
        <w:t xml:space="preserve"> </w:t>
      </w:r>
    </w:p>
    <w:p w:rsidR="003E3A3D" w:rsidRPr="00891653" w:rsidRDefault="003E3A3D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746FED" w:rsidRPr="00891653" w:rsidRDefault="00F66D98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891653">
        <w:rPr>
          <w:rFonts w:ascii="Garamond" w:hAnsi="Garamond"/>
          <w:b/>
          <w:sz w:val="28"/>
          <w:szCs w:val="28"/>
        </w:rPr>
        <w:t>Приложение №</w:t>
      </w:r>
      <w:r w:rsidR="006E222F" w:rsidRPr="00891653">
        <w:rPr>
          <w:rFonts w:ascii="Garamond" w:hAnsi="Garamond"/>
          <w:b/>
          <w:sz w:val="28"/>
          <w:szCs w:val="28"/>
        </w:rPr>
        <w:t xml:space="preserve"> </w:t>
      </w:r>
      <w:r w:rsidR="00C534EF">
        <w:rPr>
          <w:rFonts w:ascii="Garamond" w:hAnsi="Garamond"/>
          <w:b/>
          <w:sz w:val="28"/>
          <w:szCs w:val="28"/>
        </w:rPr>
        <w:t>15</w:t>
      </w:r>
      <w:r w:rsidRPr="00891653">
        <w:rPr>
          <w:rFonts w:ascii="Garamond" w:hAnsi="Garamond"/>
          <w:b/>
          <w:sz w:val="28"/>
          <w:szCs w:val="28"/>
        </w:rPr>
        <w:t xml:space="preserve">  </w:t>
      </w:r>
    </w:p>
    <w:p w:rsidR="00746FED" w:rsidRPr="00891653" w:rsidRDefault="00746FED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746FED" w:rsidRPr="00891653" w:rsidTr="00004C2B">
        <w:trPr>
          <w:trHeight w:val="1013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D" w:rsidRPr="00891653" w:rsidRDefault="00F66D98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91653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891653">
              <w:rPr>
                <w:rFonts w:ascii="Garamond" w:hAnsi="Garamond"/>
                <w:sz w:val="24"/>
                <w:szCs w:val="24"/>
              </w:rPr>
              <w:t>член Наблюдательного совета Ассоциации «НП Совет рынка» А.В. Мольский</w:t>
            </w:r>
            <w:r w:rsidR="00516201" w:rsidRPr="00891653">
              <w:rPr>
                <w:rFonts w:ascii="Garamond" w:hAnsi="Garamond"/>
                <w:sz w:val="24"/>
                <w:szCs w:val="24"/>
              </w:rPr>
              <w:t>.</w:t>
            </w:r>
          </w:p>
          <w:p w:rsidR="00F52EE3" w:rsidRPr="00891653" w:rsidRDefault="00F66D98" w:rsidP="00F52E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891653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="003538E1" w:rsidRPr="0089165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E7F70" w:rsidRPr="008E7F70">
              <w:rPr>
                <w:rFonts w:ascii="Garamond" w:hAnsi="Garamond"/>
                <w:sz w:val="24"/>
                <w:szCs w:val="24"/>
              </w:rPr>
              <w:t>изменения выносятся</w:t>
            </w:r>
            <w:r w:rsidR="008E7F70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75A42">
              <w:rPr>
                <w:rFonts w:ascii="Garamond" w:hAnsi="Garamond"/>
                <w:sz w:val="24"/>
                <w:szCs w:val="24"/>
              </w:rPr>
              <w:t>в</w:t>
            </w:r>
            <w:r w:rsidR="003538E1" w:rsidRPr="00891653">
              <w:rPr>
                <w:rFonts w:ascii="Garamond" w:hAnsi="Garamond"/>
                <w:sz w:val="24"/>
                <w:szCs w:val="24"/>
              </w:rPr>
              <w:t xml:space="preserve"> целях урегулирования задолженности на ОРЭМ,</w:t>
            </w:r>
            <w:r w:rsidRPr="0089165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538E1" w:rsidRPr="00891653">
              <w:rPr>
                <w:rFonts w:ascii="Garamond" w:hAnsi="Garamond"/>
                <w:sz w:val="24"/>
                <w:szCs w:val="24"/>
              </w:rPr>
              <w:t xml:space="preserve">руководствуясь </w:t>
            </w:r>
            <w:r w:rsidR="00D75A42">
              <w:rPr>
                <w:rFonts w:ascii="Garamond" w:hAnsi="Garamond"/>
                <w:sz w:val="24"/>
                <w:szCs w:val="24"/>
              </w:rPr>
              <w:t>п</w:t>
            </w:r>
            <w:r w:rsidR="003538E1" w:rsidRPr="00891653">
              <w:rPr>
                <w:rFonts w:ascii="Garamond" w:hAnsi="Garamond"/>
                <w:sz w:val="24"/>
                <w:szCs w:val="24"/>
              </w:rPr>
              <w:t>остановление</w:t>
            </w:r>
            <w:r w:rsidR="003B34E6">
              <w:rPr>
                <w:rFonts w:ascii="Garamond" w:hAnsi="Garamond"/>
                <w:sz w:val="24"/>
                <w:szCs w:val="24"/>
              </w:rPr>
              <w:t>м</w:t>
            </w:r>
            <w:r w:rsidR="003538E1" w:rsidRPr="00891653">
              <w:rPr>
                <w:rFonts w:ascii="Garamond" w:hAnsi="Garamond"/>
                <w:sz w:val="24"/>
                <w:szCs w:val="24"/>
              </w:rPr>
              <w:t xml:space="preserve"> Правительства РФ от 27.12.2010 №</w:t>
            </w:r>
            <w:r w:rsidR="003B34E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538E1" w:rsidRPr="00891653">
              <w:rPr>
                <w:rFonts w:ascii="Garamond" w:hAnsi="Garamond"/>
                <w:sz w:val="24"/>
                <w:szCs w:val="24"/>
              </w:rPr>
              <w:t>1172 «О</w:t>
            </w:r>
            <w:r w:rsidR="003B34E6">
              <w:rPr>
                <w:rFonts w:ascii="Garamond" w:hAnsi="Garamond"/>
                <w:sz w:val="24"/>
                <w:szCs w:val="24"/>
              </w:rPr>
              <w:t> </w:t>
            </w:r>
            <w:r w:rsidR="003538E1" w:rsidRPr="00891653">
              <w:rPr>
                <w:rFonts w:ascii="Garamond" w:hAnsi="Garamond"/>
                <w:sz w:val="24"/>
                <w:szCs w:val="24"/>
              </w:rPr>
              <w:t>правилах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</w:t>
            </w:r>
            <w:r w:rsidR="008E7F70">
              <w:rPr>
                <w:rFonts w:ascii="Garamond" w:hAnsi="Garamond"/>
                <w:sz w:val="24"/>
                <w:szCs w:val="24"/>
              </w:rPr>
              <w:t>ектрической энергии и мощности» и</w:t>
            </w:r>
            <w:bookmarkStart w:id="0" w:name="_GoBack"/>
            <w:bookmarkEnd w:id="0"/>
            <w:r w:rsidR="003538E1" w:rsidRPr="00891653">
              <w:rPr>
                <w:rFonts w:ascii="Garamond" w:hAnsi="Garamond"/>
                <w:sz w:val="24"/>
                <w:szCs w:val="24"/>
              </w:rPr>
              <w:t xml:space="preserve"> п. 8.2 Положения о Наблюдательном совете Ассоциации «НП Совет рынка»</w:t>
            </w:r>
            <w:r w:rsidR="00D75A42">
              <w:rPr>
                <w:rFonts w:ascii="Garamond" w:hAnsi="Garamond"/>
                <w:sz w:val="24"/>
                <w:szCs w:val="24"/>
              </w:rPr>
              <w:t>.</w:t>
            </w:r>
          </w:p>
          <w:p w:rsidR="00746FED" w:rsidRPr="00891653" w:rsidRDefault="00F66D98" w:rsidP="00C53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 w:rsidRPr="00891653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89165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34EF">
              <w:rPr>
                <w:rFonts w:ascii="Garamond" w:hAnsi="Garamond"/>
                <w:bCs/>
                <w:sz w:val="24"/>
                <w:szCs w:val="24"/>
              </w:rPr>
              <w:t>24 января 2020 года</w:t>
            </w:r>
            <w:r w:rsidR="00516201" w:rsidRPr="00891653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</w:tbl>
    <w:p w:rsidR="00891653" w:rsidRPr="00891653" w:rsidRDefault="00891653">
      <w:pPr>
        <w:spacing w:after="0" w:line="240" w:lineRule="auto"/>
        <w:rPr>
          <w:rFonts w:ascii="Garamond" w:hAnsi="Garamond"/>
        </w:rPr>
      </w:pPr>
    </w:p>
    <w:p w:rsidR="00746FED" w:rsidRPr="00891653" w:rsidRDefault="00F66D98">
      <w:pPr>
        <w:spacing w:after="0" w:line="240" w:lineRule="auto"/>
        <w:rPr>
          <w:rFonts w:ascii="Garamond" w:hAnsi="Garamond"/>
        </w:rPr>
      </w:pPr>
      <w:r w:rsidRPr="00891653"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746FED" w:rsidRPr="00891653" w:rsidRDefault="00746FED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6143"/>
        <w:gridCol w:w="7904"/>
      </w:tblGrid>
      <w:tr w:rsidR="00746FED" w:rsidRPr="00891653" w:rsidTr="00891653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6FED" w:rsidRPr="00891653" w:rsidRDefault="00F66D9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91653">
              <w:rPr>
                <w:rFonts w:ascii="Garamond" w:hAnsi="Garamond" w:cs="Garamond"/>
                <w:b/>
                <w:bCs/>
              </w:rPr>
              <w:t>№</w:t>
            </w:r>
          </w:p>
          <w:p w:rsidR="00746FED" w:rsidRPr="00891653" w:rsidRDefault="00F66D9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 w:rsidRPr="00891653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ED" w:rsidRPr="00891653" w:rsidRDefault="00F66D98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891653"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746FED" w:rsidRPr="00891653" w:rsidRDefault="00F66D98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891653"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ED" w:rsidRPr="00891653" w:rsidRDefault="00F66D98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891653"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746FED" w:rsidRPr="00891653" w:rsidRDefault="00F66D98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891653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746FED" w:rsidRPr="00891653" w:rsidTr="00D75A42">
        <w:trPr>
          <w:trHeight w:val="13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0588" w:rsidRPr="00891653" w:rsidRDefault="00C70588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</w:p>
          <w:p w:rsidR="00746FED" w:rsidRPr="00891653" w:rsidRDefault="00F66D98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 w:rsidRPr="00891653">
              <w:rPr>
                <w:rFonts w:ascii="Garamond" w:hAnsi="Garamond" w:cs="Garamond"/>
                <w:b/>
                <w:bCs/>
              </w:rPr>
              <w:t>2.5</w:t>
            </w:r>
            <w:r w:rsidR="00C70588" w:rsidRPr="00891653">
              <w:rPr>
                <w:rFonts w:ascii="Garamond" w:hAnsi="Garamond" w:cs="Garamond"/>
                <w:b/>
                <w:bCs/>
                <w:lang w:val="en-US"/>
              </w:rPr>
              <w:t>.5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88" w:rsidRPr="00891653" w:rsidRDefault="00C70588" w:rsidP="00C70588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</w:rPr>
            </w:pPr>
            <w:r w:rsidRPr="00891653">
              <w:rPr>
                <w:rFonts w:ascii="Garamond" w:hAnsi="Garamond"/>
                <w:b/>
              </w:rPr>
              <w:t>Добавить пункт</w:t>
            </w:r>
          </w:p>
          <w:p w:rsidR="00746FED" w:rsidRPr="00891653" w:rsidRDefault="00746FED">
            <w:pPr>
              <w:spacing w:after="120"/>
              <w:ind w:firstLine="567"/>
              <w:rPr>
                <w:rFonts w:ascii="Garamond" w:hAnsi="Garamond" w:cs="Garamond"/>
                <w:b/>
              </w:rPr>
            </w:pP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5D" w:rsidRPr="00891653" w:rsidRDefault="00F04C08" w:rsidP="001E315D">
            <w:pPr>
              <w:pStyle w:val="a4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случае </w:t>
            </w:r>
            <w:r w:rsidR="001E315D" w:rsidRPr="00891653">
              <w:rPr>
                <w:rFonts w:ascii="Garamond" w:hAnsi="Garamond"/>
                <w:szCs w:val="22"/>
                <w:highlight w:val="yellow"/>
                <w:lang w:val="ru-RU"/>
              </w:rPr>
              <w:t>приняти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="001E315D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Наблюдательным советом Совета рынка решения о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6E04BB" w:rsidRPr="00891653">
              <w:rPr>
                <w:rFonts w:ascii="Garamond" w:hAnsi="Garamond"/>
                <w:szCs w:val="22"/>
                <w:highlight w:val="yellow"/>
                <w:lang w:val="ru-RU"/>
              </w:rPr>
              <w:t>рекомендации реализовывать</w:t>
            </w:r>
            <w:r w:rsidR="004C5406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6E04BB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мероприятия 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>по урегулированию задолженности участников оптового рынка,</w:t>
            </w:r>
            <w:r w:rsidR="001E315D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 котор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>ых</w:t>
            </w:r>
            <w:r w:rsidR="001E315D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выполняется одно из следующих условий:</w:t>
            </w:r>
          </w:p>
          <w:p w:rsidR="001E315D" w:rsidRPr="00891653" w:rsidRDefault="001E315D" w:rsidP="001E315D">
            <w:pPr>
              <w:pStyle w:val="a4"/>
              <w:numPr>
                <w:ilvl w:val="0"/>
                <w:numId w:val="47"/>
              </w:numPr>
              <w:tabs>
                <w:tab w:val="left" w:pos="943"/>
              </w:tabs>
              <w:spacing w:before="0"/>
              <w:ind w:left="0" w:firstLine="629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функционирует на территории ценовых зон оптового рынка, для которых устанавливаются особенности функционирования оптового и розничных рынков; </w:t>
            </w:r>
          </w:p>
          <w:p w:rsidR="00F04C08" w:rsidRPr="00891653" w:rsidRDefault="001E315D" w:rsidP="00C70588">
            <w:pPr>
              <w:pStyle w:val="a4"/>
              <w:numPr>
                <w:ilvl w:val="0"/>
                <w:numId w:val="47"/>
              </w:numPr>
              <w:tabs>
                <w:tab w:val="left" w:pos="943"/>
              </w:tabs>
              <w:spacing w:before="0"/>
              <w:ind w:left="0" w:firstLine="629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>является участником оптового рынка, указанным в п.</w:t>
            </w:r>
            <w:r w:rsidR="00D75A42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6 </w:t>
            </w:r>
            <w:r w:rsidR="00D75A42">
              <w:rPr>
                <w:rFonts w:ascii="Garamond" w:hAnsi="Garamond"/>
                <w:szCs w:val="22"/>
                <w:highlight w:val="yellow"/>
                <w:lang w:val="ru-RU"/>
              </w:rPr>
              <w:t>п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риложения 3 к </w:t>
            </w:r>
            <w:r w:rsidRPr="00D7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Регламенту регистрации регулируемых договоров купли-продажи электроэнергии и мощности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6.2 к </w:t>
            </w:r>
            <w:r w:rsidRPr="00D75A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D75A42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="00EB4E48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="00D75A42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</w:p>
          <w:p w:rsidR="00F04C08" w:rsidRPr="00891653" w:rsidRDefault="00F04C08" w:rsidP="00C70588">
            <w:pPr>
              <w:pStyle w:val="a4"/>
              <w:tabs>
                <w:tab w:val="left" w:pos="943"/>
              </w:tabs>
              <w:spacing w:befor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>ЦФР начиная со дня, следующего за днем получения от Совета рынка уведомления</w:t>
            </w:r>
            <w:r w:rsidR="00D73BAA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 списком участников, в отношении которых Наблюдательным советом Совета рынка принято соответствующее решение, </w:t>
            </w:r>
            <w:r w:rsidR="00F66D98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включает в </w:t>
            </w:r>
            <w:r w:rsidR="00EB4E48" w:rsidRPr="00891653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="00F66D98" w:rsidRPr="00891653">
              <w:rPr>
                <w:rFonts w:ascii="Garamond" w:hAnsi="Garamond"/>
                <w:szCs w:val="22"/>
                <w:highlight w:val="yellow"/>
                <w:lang w:val="ru-RU"/>
              </w:rPr>
              <w:t>водный реестр платежей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передаваемый в уполномоченную кредитную организацию, </w:t>
            </w:r>
            <w:r w:rsidR="00F66D98" w:rsidRPr="00891653">
              <w:rPr>
                <w:rFonts w:ascii="Garamond" w:hAnsi="Garamond"/>
                <w:szCs w:val="22"/>
                <w:highlight w:val="yellow"/>
                <w:lang w:val="ru-RU"/>
              </w:rPr>
              <w:t>обязательства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оплате электрической энергии и (или) мощности</w:t>
            </w:r>
            <w:r w:rsidR="0089603A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таких участников</w:t>
            </w:r>
            <w:r w:rsidR="004F4A29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="006E04BB" w:rsidRPr="00891653">
              <w:rPr>
                <w:rFonts w:ascii="Garamond" w:hAnsi="Garamond"/>
                <w:szCs w:val="22"/>
                <w:highlight w:val="yellow"/>
                <w:lang w:val="ru-RU"/>
              </w:rPr>
              <w:t>срок исполнения</w:t>
            </w:r>
            <w:r w:rsidR="007F723A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которых наступил </w:t>
            </w:r>
            <w:r w:rsidR="004F4A29" w:rsidRPr="00891653">
              <w:rPr>
                <w:rFonts w:ascii="Garamond" w:hAnsi="Garamond"/>
                <w:szCs w:val="22"/>
                <w:highlight w:val="yellow"/>
                <w:lang w:val="ru-RU"/>
              </w:rPr>
              <w:t>до</w:t>
            </w:r>
            <w:r w:rsidR="00F66D98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01.01.2020</w:t>
            </w:r>
            <w:r w:rsidR="00C70588" w:rsidRPr="00891653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1E315D" w:rsidRPr="00891653" w:rsidRDefault="004C5406" w:rsidP="00C70588">
            <w:pPr>
              <w:pStyle w:val="a4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>С 01.05.2020</w:t>
            </w:r>
            <w:r w:rsidR="001E315D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ЦФР включает в Сводный реестр </w:t>
            </w:r>
            <w:r w:rsidR="00BB46D5" w:rsidRPr="00891653">
              <w:rPr>
                <w:rFonts w:ascii="Garamond" w:hAnsi="Garamond"/>
                <w:szCs w:val="22"/>
                <w:highlight w:val="yellow"/>
                <w:lang w:val="ru-RU"/>
              </w:rPr>
              <w:t>платежей участников оптового рынка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указанные</w:t>
            </w:r>
            <w:r w:rsidR="00BB46D5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обязательства, </w:t>
            </w:r>
            <w:r w:rsidR="006E04BB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срок исполнения </w:t>
            </w:r>
            <w:r w:rsidR="00D73BAA" w:rsidRPr="00891653">
              <w:rPr>
                <w:rFonts w:ascii="Garamond" w:hAnsi="Garamond"/>
                <w:szCs w:val="22"/>
                <w:highlight w:val="yellow"/>
                <w:lang w:val="ru-RU"/>
              </w:rPr>
              <w:t>которых наступил до 01.01.2020.</w:t>
            </w:r>
          </w:p>
          <w:p w:rsidR="00EB4E48" w:rsidRPr="00891653" w:rsidRDefault="001E315D">
            <w:pPr>
              <w:pStyle w:val="a4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>Уведомлени</w:t>
            </w:r>
            <w:r w:rsidR="00E55A13" w:rsidRPr="00891653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ЦФР, предусмотренн</w:t>
            </w:r>
            <w:r w:rsidR="00E55A13" w:rsidRPr="00891653">
              <w:rPr>
                <w:rFonts w:ascii="Garamond" w:hAnsi="Garamond"/>
                <w:szCs w:val="22"/>
                <w:highlight w:val="yellow"/>
                <w:lang w:val="ru-RU"/>
              </w:rPr>
              <w:t>ое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настоящим пунктом, </w:t>
            </w:r>
            <w:r w:rsidR="00EB4E48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Совет рынка </w:t>
            </w:r>
            <w:r w:rsidR="0001088C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течение 3 рабочих дней </w:t>
            </w:r>
            <w:r w:rsidR="00BB46D5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направляет в ЦФР </w:t>
            </w:r>
            <w:r w:rsidR="0001088C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с даты принятия Наблюдательным </w:t>
            </w:r>
            <w:r w:rsidR="0001088C" w:rsidRPr="00891653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советом Совет</w:t>
            </w:r>
            <w:r w:rsidR="00BB46D5" w:rsidRPr="00891653">
              <w:rPr>
                <w:rFonts w:ascii="Garamond" w:hAnsi="Garamond"/>
                <w:szCs w:val="22"/>
                <w:highlight w:val="yellow"/>
                <w:lang w:val="ru-RU"/>
              </w:rPr>
              <w:t>а рынка соответствующ</w:t>
            </w:r>
            <w:r w:rsidR="00E55A13" w:rsidRPr="00891653">
              <w:rPr>
                <w:rFonts w:ascii="Garamond" w:hAnsi="Garamond"/>
                <w:szCs w:val="22"/>
                <w:highlight w:val="yellow"/>
                <w:lang w:val="ru-RU"/>
              </w:rPr>
              <w:t>его</w:t>
            </w:r>
            <w:r w:rsidR="00BB46D5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решени</w:t>
            </w:r>
            <w:r w:rsidR="00E55A13" w:rsidRPr="00891653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="00BB46D5" w:rsidRPr="00891653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r w:rsidR="0001088C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</w:p>
        </w:tc>
      </w:tr>
      <w:tr w:rsidR="00746FED" w:rsidRPr="00891653" w:rsidTr="00891653">
        <w:trPr>
          <w:trHeight w:val="41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6FED" w:rsidRPr="00891653" w:rsidRDefault="00F66D98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891653">
              <w:rPr>
                <w:rFonts w:ascii="Garamond" w:hAnsi="Garamond" w:cs="Garamond"/>
                <w:b/>
                <w:bCs/>
              </w:rPr>
              <w:lastRenderedPageBreak/>
              <w:t>12.5.</w:t>
            </w:r>
            <w:r w:rsidR="00F52EE3" w:rsidRPr="00891653">
              <w:rPr>
                <w:rFonts w:ascii="Garamond" w:hAnsi="Garamond" w:cs="Garamond"/>
                <w:b/>
                <w:bCs/>
              </w:rPr>
              <w:t>3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88" w:rsidRPr="00891653" w:rsidRDefault="00C70588" w:rsidP="00C70588">
            <w:pPr>
              <w:pStyle w:val="a4"/>
              <w:ind w:firstLine="567"/>
              <w:rPr>
                <w:rFonts w:ascii="Garamond" w:hAnsi="Garamond"/>
                <w:bCs/>
                <w:highlight w:val="yellow"/>
                <w:lang w:val="ru-RU"/>
              </w:rPr>
            </w:pPr>
            <w:r w:rsidRPr="00891653">
              <w:rPr>
                <w:rFonts w:ascii="Garamond" w:hAnsi="Garamond"/>
                <w:bCs/>
                <w:highlight w:val="yellow"/>
                <w:lang w:val="ru-RU"/>
              </w:rPr>
              <w:t>В отношении участника оптового рынка, у которого одновременно выполняются следующие условия:</w:t>
            </w:r>
          </w:p>
          <w:p w:rsidR="00C70588" w:rsidRPr="00891653" w:rsidRDefault="00C70588" w:rsidP="00C70588">
            <w:pPr>
              <w:pStyle w:val="a4"/>
              <w:numPr>
                <w:ilvl w:val="0"/>
                <w:numId w:val="47"/>
              </w:numPr>
              <w:tabs>
                <w:tab w:val="left" w:pos="943"/>
              </w:tabs>
              <w:spacing w:before="0"/>
              <w:ind w:left="0" w:firstLine="629"/>
              <w:rPr>
                <w:rFonts w:ascii="Garamond" w:hAnsi="Garamond"/>
                <w:bCs/>
                <w:highlight w:val="yellow"/>
                <w:lang w:val="ru-RU"/>
              </w:rPr>
            </w:pPr>
            <w:r w:rsidRPr="00891653">
              <w:rPr>
                <w:rFonts w:ascii="Garamond" w:hAnsi="Garamond"/>
                <w:bCs/>
                <w:highlight w:val="yellow"/>
                <w:lang w:val="ru-RU"/>
              </w:rPr>
              <w:t xml:space="preserve">функционирует на территории ценовых зон оптового рынка, для которых устанавливаются особенности функционирования оптового и розничных рынков; </w:t>
            </w:r>
          </w:p>
          <w:p w:rsidR="00C70588" w:rsidRPr="00891653" w:rsidRDefault="00C70588" w:rsidP="00C70588">
            <w:pPr>
              <w:pStyle w:val="a4"/>
              <w:numPr>
                <w:ilvl w:val="0"/>
                <w:numId w:val="47"/>
              </w:numPr>
              <w:tabs>
                <w:tab w:val="left" w:pos="943"/>
              </w:tabs>
              <w:spacing w:before="0"/>
              <w:ind w:left="0" w:firstLine="629"/>
              <w:rPr>
                <w:rFonts w:ascii="Garamond" w:hAnsi="Garamond"/>
                <w:bCs/>
                <w:highlight w:val="yellow"/>
                <w:lang w:val="ru-RU"/>
              </w:rPr>
            </w:pPr>
            <w:r w:rsidRPr="00891653">
              <w:rPr>
                <w:rFonts w:ascii="Garamond" w:hAnsi="Garamond"/>
                <w:bCs/>
                <w:highlight w:val="yellow"/>
                <w:lang w:val="ru-RU"/>
              </w:rPr>
              <w:t xml:space="preserve">является территориальной сетевой организацией, которой присвоен в предусмотренном Основными положениями функционирования розничных рынков порядке статус гарантирующего поставщика; </w:t>
            </w:r>
          </w:p>
          <w:p w:rsidR="00C70588" w:rsidRPr="00891653" w:rsidRDefault="00C70588" w:rsidP="00C70588">
            <w:pPr>
              <w:pStyle w:val="a4"/>
              <w:numPr>
                <w:ilvl w:val="0"/>
                <w:numId w:val="47"/>
              </w:numPr>
              <w:tabs>
                <w:tab w:val="left" w:pos="943"/>
              </w:tabs>
              <w:spacing w:before="0"/>
              <w:ind w:left="0" w:firstLine="629"/>
              <w:rPr>
                <w:rFonts w:ascii="Garamond" w:hAnsi="Garamond"/>
                <w:bCs/>
                <w:highlight w:val="yellow"/>
                <w:lang w:val="ru-RU"/>
              </w:rPr>
            </w:pPr>
            <w:r w:rsidRPr="00891653">
              <w:rPr>
                <w:rFonts w:ascii="Garamond" w:hAnsi="Garamond"/>
                <w:bCs/>
                <w:highlight w:val="yellow"/>
                <w:lang w:val="ru-RU"/>
              </w:rPr>
              <w:t>Наблюдательным советом Совета рынка принято решение об утверждении графика оплаты покупаемой на оптовом рынке электрической энергии и мощности, –</w:t>
            </w:r>
          </w:p>
          <w:p w:rsidR="00C70588" w:rsidRPr="00891653" w:rsidRDefault="00C70588" w:rsidP="00C70588">
            <w:pPr>
              <w:pStyle w:val="a4"/>
              <w:rPr>
                <w:rFonts w:ascii="Garamond" w:hAnsi="Garamond"/>
                <w:bCs/>
                <w:highlight w:val="yellow"/>
                <w:lang w:val="ru-RU"/>
              </w:rPr>
            </w:pPr>
            <w:r w:rsidRPr="00891653">
              <w:rPr>
                <w:rFonts w:ascii="Garamond" w:hAnsi="Garamond"/>
                <w:bCs/>
                <w:highlight w:val="yellow"/>
                <w:lang w:val="ru-RU"/>
              </w:rPr>
              <w:t xml:space="preserve">начиная со дня, следующего за днем получения ЦФР от Совета рынка уведомления об одновременном выполнении участником оптового рынка условий, указанных в настоящем пункте (далее – дата начала действия периода), и до 31.12.2020 (включительно) (далее – дата окончания действия периода) ЦФР не включает в Сводный реестр платежей, передаваемый в уполномоченную кредитную организацию, обязательства по оплате неустойки (пени), рассчитанные как до начала действия периода, так и в течение периода в случае неисполнения или ненадлежащего исполнения таким участником оптового рынка обязательств по оплате электрической энергии и (или) мощности, а также услуг инфраструктурных организаций. </w:t>
            </w:r>
          </w:p>
          <w:p w:rsidR="00C70588" w:rsidRPr="00891653" w:rsidRDefault="00C70588" w:rsidP="00C70588">
            <w:pPr>
              <w:pStyle w:val="a4"/>
              <w:ind w:firstLine="597"/>
              <w:rPr>
                <w:rFonts w:ascii="Garamond" w:hAnsi="Garamond"/>
                <w:bCs/>
                <w:highlight w:val="yellow"/>
                <w:lang w:val="ru-RU"/>
              </w:rPr>
            </w:pPr>
            <w:r w:rsidRPr="00891653">
              <w:rPr>
                <w:rFonts w:ascii="Garamond" w:hAnsi="Garamond"/>
                <w:bCs/>
                <w:highlight w:val="yellow"/>
                <w:lang w:val="ru-RU"/>
              </w:rPr>
              <w:t>Начиная со следующего дня после даты окончания действия периода ЦФР включает в Сводный реестр платежей, передаваемый в уполномоченную кредитную организацию, все рассчитанные и не исполненные до даты окончания действия периода (включительно) обязательства такого участника по оплате неустойки (пени).</w:t>
            </w:r>
          </w:p>
          <w:p w:rsidR="00746FED" w:rsidRPr="00891653" w:rsidRDefault="00C70588" w:rsidP="00C70588">
            <w:pPr>
              <w:pStyle w:val="a4"/>
              <w:ind w:firstLine="597"/>
              <w:rPr>
                <w:rFonts w:ascii="Garamond" w:hAnsi="Garamond"/>
                <w:b/>
                <w:sz w:val="36"/>
                <w:szCs w:val="36"/>
                <w:lang w:val="ru-RU"/>
              </w:rPr>
            </w:pPr>
            <w:r w:rsidRPr="00891653">
              <w:rPr>
                <w:rFonts w:ascii="Garamond" w:hAnsi="Garamond"/>
                <w:bCs/>
                <w:highlight w:val="yellow"/>
                <w:lang w:val="ru-RU"/>
              </w:rPr>
              <w:t>Об участнике оптового рынка, у которого одновременно выполняются условия, указанные в настоящем пункте, Совет рынка уведомляет ЦФР в течение 3 рабочих дней с даты их одновременного выполнения.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88" w:rsidRPr="00891653" w:rsidRDefault="00C70588" w:rsidP="00C70588">
            <w:pPr>
              <w:pStyle w:val="a4"/>
              <w:ind w:firstLine="598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>ЦФР начиная со дня, следующего за днем получения от Совета рынка уведомления</w:t>
            </w:r>
            <w:r w:rsidR="006E222F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 списком участников, </w:t>
            </w:r>
            <w:r w:rsidR="00D73BAA" w:rsidRPr="00891653">
              <w:rPr>
                <w:rFonts w:ascii="Garamond" w:hAnsi="Garamond"/>
                <w:szCs w:val="22"/>
                <w:highlight w:val="yellow"/>
                <w:lang w:val="ru-RU"/>
              </w:rPr>
              <w:t>указанного в п. 2.5.5 настоящего Регламента</w:t>
            </w:r>
            <w:r w:rsidR="00EE18E9" w:rsidRPr="00891653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="006E04BB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910045" w:rsidRPr="00891653">
              <w:rPr>
                <w:rFonts w:ascii="Garamond" w:hAnsi="Garamond"/>
                <w:szCs w:val="22"/>
                <w:highlight w:val="yellow"/>
                <w:lang w:val="ru-RU"/>
              </w:rPr>
              <w:t>и до</w:t>
            </w:r>
            <w:r w:rsidR="006E04BB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DD3193" w:rsidRPr="00891653">
              <w:rPr>
                <w:rFonts w:ascii="Garamond" w:hAnsi="Garamond"/>
                <w:szCs w:val="22"/>
                <w:highlight w:val="yellow"/>
                <w:lang w:val="ru-RU"/>
              </w:rPr>
              <w:t>31</w:t>
            </w:r>
            <w:r w:rsidR="006E04BB" w:rsidRPr="00891653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r w:rsidR="00DD3193" w:rsidRPr="00891653">
              <w:rPr>
                <w:rFonts w:ascii="Garamond" w:hAnsi="Garamond"/>
                <w:szCs w:val="22"/>
                <w:highlight w:val="yellow"/>
                <w:lang w:val="ru-RU"/>
              </w:rPr>
              <w:t>01</w:t>
            </w:r>
            <w:r w:rsidR="006E04BB" w:rsidRPr="00891653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r w:rsidR="00910045" w:rsidRPr="00891653">
              <w:rPr>
                <w:rFonts w:ascii="Garamond" w:hAnsi="Garamond"/>
                <w:szCs w:val="22"/>
                <w:highlight w:val="yellow"/>
                <w:lang w:val="ru-RU"/>
              </w:rPr>
              <w:t>202</w:t>
            </w:r>
            <w:r w:rsidR="00DD3193" w:rsidRPr="00891653">
              <w:rPr>
                <w:rFonts w:ascii="Garamond" w:hAnsi="Garamond"/>
                <w:szCs w:val="22"/>
                <w:highlight w:val="yellow"/>
                <w:lang w:val="ru-RU"/>
              </w:rPr>
              <w:t>1</w:t>
            </w:r>
            <w:r w:rsidR="00004C2B" w:rsidRPr="00891653"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:rsidR="00C70588" w:rsidRPr="00891653" w:rsidRDefault="00C70588" w:rsidP="003B34E6">
            <w:pPr>
              <w:pStyle w:val="a4"/>
              <w:numPr>
                <w:ilvl w:val="0"/>
                <w:numId w:val="50"/>
              </w:numPr>
              <w:tabs>
                <w:tab w:val="left" w:pos="982"/>
              </w:tabs>
              <w:ind w:left="34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включает в Сводный реестр платежей, передаваемый в уполномоченную кредитную организацию, неустойку (пени) по обязательствам по оплате электрической энергии и (или) мощности, а также услуг инфраструктурных организаций, </w:t>
            </w:r>
            <w:r w:rsidR="006E04BB" w:rsidRPr="00891653">
              <w:rPr>
                <w:rFonts w:ascii="Garamond" w:hAnsi="Garamond"/>
                <w:szCs w:val="22"/>
                <w:highlight w:val="yellow"/>
                <w:lang w:val="ru-RU"/>
              </w:rPr>
              <w:t>срок исполнения</w:t>
            </w:r>
            <w:r w:rsidR="00D73BAA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которых наступил </w:t>
            </w: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с 01.01.2020 по 30.06.2020; </w:t>
            </w:r>
          </w:p>
          <w:p w:rsidR="00C70588" w:rsidRPr="00891653" w:rsidRDefault="00C70588" w:rsidP="003B34E6">
            <w:pPr>
              <w:pStyle w:val="a4"/>
              <w:numPr>
                <w:ilvl w:val="0"/>
                <w:numId w:val="50"/>
              </w:numPr>
              <w:tabs>
                <w:tab w:val="left" w:pos="982"/>
              </w:tabs>
              <w:ind w:left="34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рассчитывает и не включает в Сводный реестр платежей, передаваемый в уполномоченную кредитную организацию, неустойку (пени) по обязательствам по оплате электрической энергии и (или) мощности, а также услуг инфраструктурных организаций, </w:t>
            </w:r>
            <w:r w:rsidR="006E04BB" w:rsidRPr="00891653">
              <w:rPr>
                <w:rFonts w:ascii="Garamond" w:hAnsi="Garamond"/>
                <w:szCs w:val="22"/>
                <w:highlight w:val="yellow"/>
                <w:lang w:val="ru-RU"/>
              </w:rPr>
              <w:t>срок исполнения</w:t>
            </w:r>
            <w:r w:rsidR="00D73BAA" w:rsidRPr="008916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которых наступил до 01.01.2020.</w:t>
            </w:r>
          </w:p>
          <w:p w:rsidR="00746FED" w:rsidRPr="00891653" w:rsidRDefault="00746FED" w:rsidP="00004C2B">
            <w:pPr>
              <w:widowControl w:val="0"/>
              <w:spacing w:after="0"/>
              <w:ind w:firstLine="601"/>
              <w:jc w:val="both"/>
              <w:rPr>
                <w:rFonts w:ascii="Garamond" w:hAnsi="Garamond"/>
                <w:bCs/>
                <w:color w:val="000000"/>
                <w:spacing w:val="4"/>
                <w:highlight w:val="yellow"/>
              </w:rPr>
            </w:pPr>
          </w:p>
        </w:tc>
      </w:tr>
    </w:tbl>
    <w:p w:rsidR="00746FED" w:rsidRPr="00891653" w:rsidRDefault="00F66D98" w:rsidP="00004C2B">
      <w:pPr>
        <w:spacing w:after="120" w:line="240" w:lineRule="auto"/>
        <w:rPr>
          <w:rFonts w:ascii="Garamond" w:hAnsi="Garamond"/>
        </w:rPr>
      </w:pPr>
      <w:r w:rsidRPr="00891653">
        <w:rPr>
          <w:rFonts w:ascii="Garamond" w:hAnsi="Garamond"/>
          <w:b/>
          <w:sz w:val="26"/>
        </w:rPr>
        <w:lastRenderedPageBreak/>
        <w:t>Предложения по изменениям и дополнениям в РЕГЛАМЕНТ РЕГИСТРАЦИИ РЕГУЛИРУЕМЫХ ДОГОВОРОВ КУПЛИ-ПРОДАЖИ ЭЛЕКТРОЭНЕРГИИ И МОЩНОСТИ (Приложение № 6.2 к Договору о присоединении к торговой системе оптового рынка)</w:t>
      </w:r>
    </w:p>
    <w:p w:rsidR="00746FED" w:rsidRPr="00891653" w:rsidRDefault="00F66D98">
      <w:pPr>
        <w:widowControl w:val="0"/>
        <w:rPr>
          <w:rFonts w:ascii="Garamond" w:hAnsi="Garamond"/>
          <w:b/>
          <w:bCs/>
        </w:rPr>
      </w:pPr>
      <w:r w:rsidRPr="00891653">
        <w:rPr>
          <w:rFonts w:ascii="Garamond" w:hAnsi="Garamond"/>
          <w:b/>
          <w:bCs/>
          <w:sz w:val="24"/>
          <w:szCs w:val="26"/>
        </w:rPr>
        <w:t>Действующая редакция</w:t>
      </w:r>
    </w:p>
    <w:p w:rsidR="00746FED" w:rsidRPr="00891653" w:rsidRDefault="00F66D98">
      <w:pPr>
        <w:spacing w:after="0"/>
        <w:jc w:val="right"/>
        <w:rPr>
          <w:rFonts w:ascii="Garamond" w:hAnsi="Garamond"/>
          <w:b/>
        </w:rPr>
      </w:pPr>
      <w:r w:rsidRPr="00891653">
        <w:rPr>
          <w:rFonts w:ascii="Garamond" w:hAnsi="Garamond"/>
          <w:b/>
        </w:rPr>
        <w:t>Приложение 3</w:t>
      </w:r>
    </w:p>
    <w:p w:rsidR="00746FED" w:rsidRPr="00891653" w:rsidRDefault="00F66D98">
      <w:pPr>
        <w:spacing w:after="0"/>
        <w:jc w:val="right"/>
        <w:rPr>
          <w:rFonts w:ascii="Garamond" w:hAnsi="Garamond"/>
          <w:i/>
        </w:rPr>
      </w:pPr>
      <w:r w:rsidRPr="00891653">
        <w:rPr>
          <w:rFonts w:ascii="Garamond" w:hAnsi="Garamond"/>
          <w:i/>
        </w:rPr>
        <w:t xml:space="preserve">к Регламенту регистрации регулируемых договоров </w:t>
      </w:r>
    </w:p>
    <w:p w:rsidR="00746FED" w:rsidRPr="00891653" w:rsidRDefault="00F66D98">
      <w:pPr>
        <w:spacing w:after="0"/>
        <w:jc w:val="right"/>
        <w:rPr>
          <w:rFonts w:ascii="Garamond" w:hAnsi="Garamond"/>
          <w:i/>
        </w:rPr>
      </w:pPr>
      <w:r w:rsidRPr="00891653">
        <w:rPr>
          <w:rFonts w:ascii="Garamond" w:hAnsi="Garamond"/>
          <w:i/>
        </w:rPr>
        <w:t>купли-продажи электроэнергии и мощности</w:t>
      </w:r>
    </w:p>
    <w:p w:rsidR="00746FED" w:rsidRPr="00891653" w:rsidRDefault="00746FED">
      <w:pPr>
        <w:spacing w:after="0"/>
        <w:jc w:val="right"/>
        <w:rPr>
          <w:rFonts w:ascii="Garamond" w:hAnsi="Garamond"/>
        </w:rPr>
      </w:pPr>
    </w:p>
    <w:p w:rsidR="00746FED" w:rsidRPr="00891653" w:rsidRDefault="00F66D98">
      <w:pPr>
        <w:spacing w:after="0"/>
        <w:jc w:val="both"/>
        <w:rPr>
          <w:rFonts w:ascii="Garamond" w:hAnsi="Garamond"/>
        </w:rPr>
      </w:pPr>
      <w:r w:rsidRPr="00891653">
        <w:rPr>
          <w:rFonts w:ascii="Garamond" w:hAnsi="Garamond"/>
        </w:rPr>
        <w:t>…</w:t>
      </w:r>
    </w:p>
    <w:p w:rsidR="00746FED" w:rsidRPr="00891653" w:rsidRDefault="00F66D98">
      <w:pPr>
        <w:pStyle w:val="2"/>
        <w:spacing w:before="120" w:after="120"/>
        <w:rPr>
          <w:rFonts w:ascii="Garamond" w:hAnsi="Garamond"/>
          <w:b/>
          <w:color w:val="auto"/>
          <w:sz w:val="22"/>
          <w:szCs w:val="22"/>
        </w:rPr>
      </w:pPr>
      <w:r w:rsidRPr="00891653">
        <w:rPr>
          <w:rFonts w:ascii="Garamond" w:hAnsi="Garamond"/>
          <w:b/>
          <w:color w:val="auto"/>
          <w:sz w:val="22"/>
          <w:szCs w:val="22"/>
        </w:rPr>
        <w:t xml:space="preserve">6.1. Потребители с низкой платежной дисциплиной, в отношении которых применяются особенности подписания и регистрации дополнительных соглашений к регулируемым договорам, предусмотренные п. 4.6.8 настоящего Регламента: </w:t>
      </w:r>
    </w:p>
    <w:p w:rsidR="00746FED" w:rsidRPr="00891653" w:rsidRDefault="00F66D98">
      <w:pPr>
        <w:pStyle w:val="a4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before="0" w:after="0"/>
        <w:ind w:left="1208" w:hanging="357"/>
        <w:textAlignment w:val="baseline"/>
        <w:rPr>
          <w:rFonts w:ascii="Garamond" w:hAnsi="Garamond"/>
          <w:szCs w:val="22"/>
        </w:rPr>
      </w:pPr>
      <w:r w:rsidRPr="00891653">
        <w:rPr>
          <w:rFonts w:ascii="Garamond" w:hAnsi="Garamond"/>
          <w:szCs w:val="22"/>
        </w:rPr>
        <w:t>АО «Каббалкэнерго»;</w:t>
      </w:r>
    </w:p>
    <w:p w:rsidR="00746FED" w:rsidRPr="00891653" w:rsidRDefault="00F66D98">
      <w:pPr>
        <w:pStyle w:val="a4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before="0" w:after="0"/>
        <w:ind w:left="1208" w:hanging="357"/>
        <w:textAlignment w:val="baseline"/>
        <w:rPr>
          <w:rFonts w:ascii="Garamond" w:hAnsi="Garamond"/>
          <w:szCs w:val="22"/>
        </w:rPr>
      </w:pPr>
      <w:r w:rsidRPr="00891653">
        <w:rPr>
          <w:rFonts w:ascii="Garamond" w:hAnsi="Garamond"/>
          <w:szCs w:val="22"/>
        </w:rPr>
        <w:t>АО «Калмэнергосбыт»;</w:t>
      </w:r>
    </w:p>
    <w:p w:rsidR="00746FED" w:rsidRPr="00891653" w:rsidRDefault="00F66D98">
      <w:pPr>
        <w:pStyle w:val="a4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before="0" w:after="0"/>
        <w:ind w:left="1208" w:hanging="357"/>
        <w:textAlignment w:val="baseline"/>
        <w:rPr>
          <w:rFonts w:ascii="Garamond" w:hAnsi="Garamond"/>
          <w:szCs w:val="22"/>
        </w:rPr>
      </w:pPr>
      <w:r w:rsidRPr="00891653">
        <w:rPr>
          <w:rFonts w:ascii="Garamond" w:hAnsi="Garamond"/>
          <w:szCs w:val="22"/>
        </w:rPr>
        <w:t>АО «Карачаево-Черкесскэнерго»</w:t>
      </w:r>
      <w:r w:rsidRPr="00D75A42">
        <w:rPr>
          <w:rFonts w:ascii="Garamond" w:hAnsi="Garamond"/>
          <w:szCs w:val="22"/>
          <w:highlight w:val="yellow"/>
        </w:rPr>
        <w:t>.</w:t>
      </w:r>
    </w:p>
    <w:p w:rsidR="00746FED" w:rsidRPr="00891653" w:rsidRDefault="00F66D98">
      <w:pPr>
        <w:spacing w:after="0"/>
        <w:jc w:val="both"/>
        <w:rPr>
          <w:rFonts w:ascii="Garamond" w:hAnsi="Garamond"/>
        </w:rPr>
      </w:pPr>
      <w:r w:rsidRPr="00891653">
        <w:rPr>
          <w:rFonts w:ascii="Garamond" w:hAnsi="Garamond"/>
        </w:rPr>
        <w:t>…</w:t>
      </w:r>
    </w:p>
    <w:p w:rsidR="00746FED" w:rsidRPr="00891653" w:rsidRDefault="00746FED">
      <w:pPr>
        <w:spacing w:after="0"/>
        <w:rPr>
          <w:rFonts w:ascii="Garamond" w:hAnsi="Garamond"/>
        </w:rPr>
      </w:pPr>
    </w:p>
    <w:p w:rsidR="00746FED" w:rsidRPr="00891653" w:rsidRDefault="00F66D98">
      <w:pPr>
        <w:widowControl w:val="0"/>
        <w:rPr>
          <w:rFonts w:ascii="Garamond" w:hAnsi="Garamond"/>
          <w:b/>
          <w:bCs/>
        </w:rPr>
      </w:pPr>
      <w:r w:rsidRPr="00891653">
        <w:rPr>
          <w:rFonts w:ascii="Garamond" w:hAnsi="Garamond"/>
          <w:b/>
          <w:bCs/>
        </w:rPr>
        <w:t>Предлагаемая редакция</w:t>
      </w:r>
    </w:p>
    <w:p w:rsidR="00746FED" w:rsidRPr="00891653" w:rsidRDefault="00F66D98">
      <w:pPr>
        <w:spacing w:after="0"/>
        <w:jc w:val="right"/>
        <w:rPr>
          <w:rFonts w:ascii="Garamond" w:hAnsi="Garamond"/>
          <w:b/>
        </w:rPr>
      </w:pPr>
      <w:r w:rsidRPr="00891653">
        <w:rPr>
          <w:rFonts w:ascii="Garamond" w:hAnsi="Garamond"/>
          <w:b/>
        </w:rPr>
        <w:t>Приложение 3</w:t>
      </w:r>
    </w:p>
    <w:p w:rsidR="00746FED" w:rsidRPr="00891653" w:rsidRDefault="00F66D98">
      <w:pPr>
        <w:spacing w:after="0"/>
        <w:jc w:val="right"/>
        <w:rPr>
          <w:rFonts w:ascii="Garamond" w:hAnsi="Garamond"/>
          <w:i/>
        </w:rPr>
      </w:pPr>
      <w:r w:rsidRPr="00891653">
        <w:rPr>
          <w:rFonts w:ascii="Garamond" w:hAnsi="Garamond"/>
          <w:i/>
        </w:rPr>
        <w:t xml:space="preserve">к Регламенту регистрации регулируемых договоров </w:t>
      </w:r>
    </w:p>
    <w:p w:rsidR="00746FED" w:rsidRPr="00891653" w:rsidRDefault="00F66D98">
      <w:pPr>
        <w:spacing w:after="0"/>
        <w:jc w:val="right"/>
        <w:rPr>
          <w:rFonts w:ascii="Garamond" w:hAnsi="Garamond"/>
          <w:i/>
        </w:rPr>
      </w:pPr>
      <w:r w:rsidRPr="00891653">
        <w:rPr>
          <w:rFonts w:ascii="Garamond" w:hAnsi="Garamond"/>
          <w:i/>
        </w:rPr>
        <w:t xml:space="preserve">купли-продажи электроэнергии и мощности </w:t>
      </w:r>
    </w:p>
    <w:p w:rsidR="00746FED" w:rsidRPr="00891653" w:rsidRDefault="00746FED">
      <w:pPr>
        <w:spacing w:after="0"/>
        <w:jc w:val="both"/>
        <w:rPr>
          <w:rFonts w:ascii="Garamond" w:hAnsi="Garamond"/>
          <w:i/>
        </w:rPr>
      </w:pPr>
    </w:p>
    <w:p w:rsidR="00746FED" w:rsidRPr="00891653" w:rsidRDefault="00F66D98">
      <w:pPr>
        <w:spacing w:after="0"/>
        <w:jc w:val="both"/>
        <w:rPr>
          <w:rFonts w:ascii="Garamond" w:hAnsi="Garamond"/>
        </w:rPr>
      </w:pPr>
      <w:r w:rsidRPr="00891653">
        <w:rPr>
          <w:rFonts w:ascii="Garamond" w:hAnsi="Garamond"/>
        </w:rPr>
        <w:t>…</w:t>
      </w:r>
    </w:p>
    <w:p w:rsidR="00746FED" w:rsidRPr="00891653" w:rsidRDefault="00F66D98">
      <w:pPr>
        <w:pStyle w:val="2"/>
        <w:spacing w:before="120" w:after="120"/>
        <w:rPr>
          <w:rFonts w:ascii="Garamond" w:hAnsi="Garamond"/>
          <w:b/>
          <w:color w:val="auto"/>
          <w:sz w:val="22"/>
          <w:szCs w:val="22"/>
        </w:rPr>
      </w:pPr>
      <w:r w:rsidRPr="00891653">
        <w:rPr>
          <w:rFonts w:ascii="Garamond" w:hAnsi="Garamond"/>
          <w:b/>
          <w:color w:val="auto"/>
          <w:sz w:val="22"/>
          <w:szCs w:val="22"/>
        </w:rPr>
        <w:t xml:space="preserve">6.1. Потребители с низкой платежной дисциплиной, в отношении которых применяются особенности подписания и регистрации дополнительных соглашений к регулируемым договорам, предусмотренные п. 4.6.8 настоящего Регламента: </w:t>
      </w:r>
    </w:p>
    <w:p w:rsidR="00746FED" w:rsidRPr="00891653" w:rsidRDefault="00F66D98">
      <w:pPr>
        <w:pStyle w:val="a4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before="0" w:after="0"/>
        <w:ind w:left="1208" w:hanging="357"/>
        <w:textAlignment w:val="baseline"/>
        <w:rPr>
          <w:rFonts w:ascii="Garamond" w:hAnsi="Garamond"/>
          <w:szCs w:val="22"/>
        </w:rPr>
      </w:pPr>
      <w:r w:rsidRPr="00891653">
        <w:rPr>
          <w:rFonts w:ascii="Garamond" w:hAnsi="Garamond"/>
          <w:szCs w:val="22"/>
        </w:rPr>
        <w:t>АО «Каббалкэнерго»;</w:t>
      </w:r>
    </w:p>
    <w:p w:rsidR="00746FED" w:rsidRPr="00891653" w:rsidRDefault="00F66D98">
      <w:pPr>
        <w:pStyle w:val="a4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before="0" w:after="0"/>
        <w:ind w:left="1208" w:hanging="357"/>
        <w:textAlignment w:val="baseline"/>
        <w:rPr>
          <w:rFonts w:ascii="Garamond" w:hAnsi="Garamond"/>
          <w:szCs w:val="22"/>
        </w:rPr>
      </w:pPr>
      <w:r w:rsidRPr="00891653">
        <w:rPr>
          <w:rFonts w:ascii="Garamond" w:hAnsi="Garamond"/>
          <w:szCs w:val="22"/>
        </w:rPr>
        <w:t>АО «Калмэнергосбыт»;</w:t>
      </w:r>
    </w:p>
    <w:p w:rsidR="00746FED" w:rsidRPr="00891653" w:rsidRDefault="00F66D98">
      <w:pPr>
        <w:pStyle w:val="a4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before="0" w:after="0"/>
        <w:ind w:left="1208" w:hanging="357"/>
        <w:textAlignment w:val="baseline"/>
        <w:rPr>
          <w:rFonts w:ascii="Garamond" w:hAnsi="Garamond"/>
          <w:szCs w:val="22"/>
        </w:rPr>
      </w:pPr>
      <w:r w:rsidRPr="00891653">
        <w:rPr>
          <w:rFonts w:ascii="Garamond" w:hAnsi="Garamond"/>
          <w:szCs w:val="22"/>
        </w:rPr>
        <w:t>АО «Карачаево-Черкесскэнерго»</w:t>
      </w:r>
      <w:r w:rsidRPr="00D75A42">
        <w:rPr>
          <w:rFonts w:ascii="Garamond" w:hAnsi="Garamond"/>
          <w:szCs w:val="22"/>
          <w:highlight w:val="yellow"/>
          <w:lang w:val="ru-RU"/>
        </w:rPr>
        <w:t>;</w:t>
      </w:r>
    </w:p>
    <w:p w:rsidR="00EE18E9" w:rsidRPr="00891653" w:rsidRDefault="00F66D98">
      <w:pPr>
        <w:pStyle w:val="a4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before="0" w:after="0"/>
        <w:ind w:left="1208" w:hanging="357"/>
        <w:textAlignment w:val="baseline"/>
        <w:rPr>
          <w:rFonts w:ascii="Garamond" w:hAnsi="Garamond"/>
          <w:szCs w:val="22"/>
          <w:highlight w:val="yellow"/>
        </w:rPr>
      </w:pPr>
      <w:r w:rsidRPr="00891653">
        <w:rPr>
          <w:rFonts w:ascii="Garamond" w:hAnsi="Garamond"/>
          <w:szCs w:val="22"/>
          <w:highlight w:val="yellow"/>
          <w:lang w:val="ru-RU"/>
        </w:rPr>
        <w:t>АО «Тываэнергосбыт»</w:t>
      </w:r>
      <w:r w:rsidR="00EE18E9" w:rsidRPr="00891653">
        <w:rPr>
          <w:rFonts w:ascii="Garamond" w:hAnsi="Garamond"/>
          <w:szCs w:val="22"/>
          <w:highlight w:val="yellow"/>
          <w:lang w:val="ru-RU"/>
        </w:rPr>
        <w:t>;</w:t>
      </w:r>
    </w:p>
    <w:p w:rsidR="00EE18E9" w:rsidRPr="00891653" w:rsidRDefault="00EE18E9">
      <w:pPr>
        <w:pStyle w:val="a4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before="0" w:after="0"/>
        <w:ind w:left="1208" w:hanging="357"/>
        <w:textAlignment w:val="baseline"/>
        <w:rPr>
          <w:rFonts w:ascii="Garamond" w:hAnsi="Garamond"/>
          <w:szCs w:val="22"/>
          <w:highlight w:val="yellow"/>
        </w:rPr>
      </w:pPr>
      <w:r w:rsidRPr="00891653">
        <w:rPr>
          <w:rFonts w:ascii="Garamond" w:hAnsi="Garamond"/>
          <w:szCs w:val="22"/>
          <w:highlight w:val="yellow"/>
          <w:lang w:val="ru-RU"/>
        </w:rPr>
        <w:t>АО «Севкавказэнерго»;</w:t>
      </w:r>
    </w:p>
    <w:p w:rsidR="00746FED" w:rsidRPr="00891653" w:rsidRDefault="00EE18E9">
      <w:pPr>
        <w:pStyle w:val="a4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before="0" w:after="0"/>
        <w:ind w:left="1208" w:hanging="357"/>
        <w:textAlignment w:val="baseline"/>
        <w:rPr>
          <w:rFonts w:ascii="Garamond" w:hAnsi="Garamond"/>
          <w:szCs w:val="22"/>
          <w:highlight w:val="yellow"/>
        </w:rPr>
      </w:pPr>
      <w:r w:rsidRPr="00891653">
        <w:rPr>
          <w:rFonts w:ascii="Garamond" w:hAnsi="Garamond"/>
          <w:szCs w:val="22"/>
          <w:highlight w:val="yellow"/>
          <w:lang w:val="ru-RU"/>
        </w:rPr>
        <w:t>ПАО «Дагестанская энергосбытовая компания».</w:t>
      </w:r>
    </w:p>
    <w:p w:rsidR="00746FED" w:rsidRPr="00891653" w:rsidRDefault="00F66D98">
      <w:pPr>
        <w:spacing w:after="0"/>
        <w:jc w:val="both"/>
        <w:rPr>
          <w:rFonts w:ascii="Garamond" w:hAnsi="Garamond"/>
          <w:b/>
          <w:bCs/>
          <w:sz w:val="26"/>
          <w:szCs w:val="26"/>
        </w:rPr>
      </w:pPr>
      <w:r w:rsidRPr="00891653">
        <w:rPr>
          <w:rFonts w:ascii="Garamond" w:hAnsi="Garamond"/>
        </w:rPr>
        <w:t>…</w:t>
      </w:r>
    </w:p>
    <w:sectPr w:rsidR="00746FED" w:rsidRPr="00891653" w:rsidSect="00891653">
      <w:pgSz w:w="16838" w:h="11906" w:orient="landscape"/>
      <w:pgMar w:top="1134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C80" w:rsidRDefault="007B3C80">
      <w:pPr>
        <w:spacing w:after="0" w:line="240" w:lineRule="auto"/>
      </w:pPr>
      <w:r>
        <w:separator/>
      </w:r>
    </w:p>
  </w:endnote>
  <w:endnote w:type="continuationSeparator" w:id="0">
    <w:p w:rsidR="007B3C80" w:rsidRDefault="007B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C80" w:rsidRDefault="007B3C80">
      <w:pPr>
        <w:spacing w:after="0" w:line="240" w:lineRule="auto"/>
      </w:pPr>
      <w:r>
        <w:separator/>
      </w:r>
    </w:p>
  </w:footnote>
  <w:footnote w:type="continuationSeparator" w:id="0">
    <w:p w:rsidR="007B3C80" w:rsidRDefault="007B3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52D"/>
    <w:multiLevelType w:val="hybridMultilevel"/>
    <w:tmpl w:val="09B6CFE2"/>
    <w:lvl w:ilvl="0" w:tplc="4E905A00">
      <w:start w:val="1"/>
      <w:numFmt w:val="bullet"/>
      <w:lvlText w:val=""/>
      <w:lvlJc w:val="left"/>
      <w:pPr>
        <w:tabs>
          <w:tab w:val="num" w:pos="1113"/>
        </w:tabs>
        <w:ind w:left="1113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abstractNum w:abstractNumId="1">
    <w:nsid w:val="05055159"/>
    <w:multiLevelType w:val="multilevel"/>
    <w:tmpl w:val="387C4B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2">
    <w:nsid w:val="0A297B6D"/>
    <w:multiLevelType w:val="hybridMultilevel"/>
    <w:tmpl w:val="96FA6262"/>
    <w:lvl w:ilvl="0" w:tplc="4BF09996">
      <w:start w:val="1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E7305"/>
    <w:multiLevelType w:val="hybridMultilevel"/>
    <w:tmpl w:val="99666460"/>
    <w:lvl w:ilvl="0" w:tplc="49581C2C">
      <w:start w:val="1"/>
      <w:numFmt w:val="bullet"/>
      <w:lvlText w:val="−"/>
      <w:lvlJc w:val="left"/>
      <w:pPr>
        <w:tabs>
          <w:tab w:val="num" w:pos="399"/>
        </w:tabs>
        <w:ind w:left="1209" w:hanging="360"/>
      </w:pPr>
      <w:rPr>
        <w:rFonts w:ascii="Garamond" w:hAnsi="Garamond" w:cs="Lucida Console" w:hint="default"/>
        <w:b w:val="0"/>
        <w:i w:val="0"/>
        <w:sz w:val="28"/>
        <w:szCs w:val="28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654143"/>
    <w:multiLevelType w:val="hybridMultilevel"/>
    <w:tmpl w:val="627824FE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914FBD"/>
    <w:multiLevelType w:val="hybridMultilevel"/>
    <w:tmpl w:val="97287820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E32CA"/>
    <w:multiLevelType w:val="hybridMultilevel"/>
    <w:tmpl w:val="65B8C6F4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0460E"/>
    <w:multiLevelType w:val="hybridMultilevel"/>
    <w:tmpl w:val="A104BE44"/>
    <w:lvl w:ilvl="0" w:tplc="FFFFFFFF">
      <w:start w:val="1"/>
      <w:numFmt w:val="bullet"/>
      <w:lvlText w:val="−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10222770"/>
    <w:multiLevelType w:val="hybridMultilevel"/>
    <w:tmpl w:val="682CD942"/>
    <w:lvl w:ilvl="0" w:tplc="11B4820E">
      <w:start w:val="10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A1C4E"/>
    <w:multiLevelType w:val="multilevel"/>
    <w:tmpl w:val="F9689512"/>
    <w:lvl w:ilvl="0">
      <w:start w:val="14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24E354A8"/>
    <w:multiLevelType w:val="hybridMultilevel"/>
    <w:tmpl w:val="CF963B92"/>
    <w:lvl w:ilvl="0" w:tplc="96DAB0A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D2646"/>
    <w:multiLevelType w:val="hybridMultilevel"/>
    <w:tmpl w:val="C28AC1AA"/>
    <w:lvl w:ilvl="0" w:tplc="03B8F0F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2A510D77"/>
    <w:multiLevelType w:val="multilevel"/>
    <w:tmpl w:val="E22E7E78"/>
    <w:lvl w:ilvl="0">
      <w:start w:val="19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2D7F2D38"/>
    <w:multiLevelType w:val="hybridMultilevel"/>
    <w:tmpl w:val="DCBA82A4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92DC2"/>
    <w:multiLevelType w:val="hybridMultilevel"/>
    <w:tmpl w:val="4B14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77513"/>
    <w:multiLevelType w:val="hybridMultilevel"/>
    <w:tmpl w:val="9E64E742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413F9A"/>
    <w:multiLevelType w:val="hybridMultilevel"/>
    <w:tmpl w:val="67025894"/>
    <w:lvl w:ilvl="0" w:tplc="80C0C31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C4F5B05"/>
    <w:multiLevelType w:val="multilevel"/>
    <w:tmpl w:val="1846A0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CC92E04"/>
    <w:multiLevelType w:val="hybridMultilevel"/>
    <w:tmpl w:val="51E672EE"/>
    <w:lvl w:ilvl="0" w:tplc="3E0A56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3833471"/>
    <w:multiLevelType w:val="hybridMultilevel"/>
    <w:tmpl w:val="136EE100"/>
    <w:lvl w:ilvl="0" w:tplc="D6D41A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11515E"/>
    <w:multiLevelType w:val="hybridMultilevel"/>
    <w:tmpl w:val="4BFECEF6"/>
    <w:lvl w:ilvl="0" w:tplc="3222B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81894"/>
    <w:multiLevelType w:val="multilevel"/>
    <w:tmpl w:val="4E769A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6762A"/>
    <w:multiLevelType w:val="multilevel"/>
    <w:tmpl w:val="F12CA87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533B333C"/>
    <w:multiLevelType w:val="hybridMultilevel"/>
    <w:tmpl w:val="867493B8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964206"/>
    <w:multiLevelType w:val="multilevel"/>
    <w:tmpl w:val="C52A6A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8">
    <w:nsid w:val="58AF7CAB"/>
    <w:multiLevelType w:val="hybridMultilevel"/>
    <w:tmpl w:val="1292C3DC"/>
    <w:lvl w:ilvl="0" w:tplc="F8BE3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F6090E"/>
    <w:multiLevelType w:val="hybridMultilevel"/>
    <w:tmpl w:val="A8CE5C32"/>
    <w:lvl w:ilvl="0" w:tplc="3B64B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D17967"/>
    <w:multiLevelType w:val="hybridMultilevel"/>
    <w:tmpl w:val="7BA4A47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DE6B39"/>
    <w:multiLevelType w:val="hybridMultilevel"/>
    <w:tmpl w:val="5540D78C"/>
    <w:lvl w:ilvl="0" w:tplc="04190005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0C5090"/>
    <w:multiLevelType w:val="hybridMultilevel"/>
    <w:tmpl w:val="E64449DA"/>
    <w:lvl w:ilvl="0" w:tplc="5EB013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2B68F5"/>
    <w:multiLevelType w:val="hybridMultilevel"/>
    <w:tmpl w:val="78222CE2"/>
    <w:lvl w:ilvl="0" w:tplc="4BF09996">
      <w:start w:val="1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683A509F"/>
    <w:multiLevelType w:val="multilevel"/>
    <w:tmpl w:val="73DE742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35">
    <w:nsid w:val="6C182FDA"/>
    <w:multiLevelType w:val="hybridMultilevel"/>
    <w:tmpl w:val="D65E720A"/>
    <w:lvl w:ilvl="0" w:tplc="ED20A2B8">
      <w:start w:val="1"/>
      <w:numFmt w:val="bullet"/>
      <w:lvlText w:val="-"/>
      <w:lvlJc w:val="left"/>
      <w:pPr>
        <w:ind w:left="1069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D034BCD"/>
    <w:multiLevelType w:val="hybridMultilevel"/>
    <w:tmpl w:val="5B0AE5E8"/>
    <w:lvl w:ilvl="0" w:tplc="04190005">
      <w:start w:val="10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7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E046E83"/>
    <w:multiLevelType w:val="multilevel"/>
    <w:tmpl w:val="E6EEFA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39">
    <w:nsid w:val="6FA60679"/>
    <w:multiLevelType w:val="hybridMultilevel"/>
    <w:tmpl w:val="82464748"/>
    <w:lvl w:ilvl="0" w:tplc="F182C5F8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67700"/>
    <w:multiLevelType w:val="hybridMultilevel"/>
    <w:tmpl w:val="1704392A"/>
    <w:lvl w:ilvl="0" w:tplc="BA5CD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u w:val="none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770E27"/>
    <w:multiLevelType w:val="multilevel"/>
    <w:tmpl w:val="ECDC5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2B13CD8"/>
    <w:multiLevelType w:val="hybridMultilevel"/>
    <w:tmpl w:val="C9AA38AE"/>
    <w:lvl w:ilvl="0" w:tplc="6D969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3123DFE"/>
    <w:multiLevelType w:val="hybridMultilevel"/>
    <w:tmpl w:val="F312B51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59C4344"/>
    <w:multiLevelType w:val="hybridMultilevel"/>
    <w:tmpl w:val="EA1CB2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D8E0E92"/>
    <w:multiLevelType w:val="multilevel"/>
    <w:tmpl w:val="47DAE6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7">
    <w:nsid w:val="7DC42480"/>
    <w:multiLevelType w:val="hybridMultilevel"/>
    <w:tmpl w:val="11380AA8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7"/>
  </w:num>
  <w:num w:numId="6">
    <w:abstractNumId w:val="4"/>
  </w:num>
  <w:num w:numId="7">
    <w:abstractNumId w:val="31"/>
  </w:num>
  <w:num w:numId="8">
    <w:abstractNumId w:val="45"/>
  </w:num>
  <w:num w:numId="9">
    <w:abstractNumId w:val="11"/>
  </w:num>
  <w:num w:numId="10">
    <w:abstractNumId w:val="42"/>
  </w:num>
  <w:num w:numId="11">
    <w:abstractNumId w:val="2"/>
  </w:num>
  <w:num w:numId="12">
    <w:abstractNumId w:val="33"/>
  </w:num>
  <w:num w:numId="13">
    <w:abstractNumId w:val="46"/>
  </w:num>
  <w:num w:numId="14">
    <w:abstractNumId w:val="40"/>
  </w:num>
  <w:num w:numId="15">
    <w:abstractNumId w:val="9"/>
  </w:num>
  <w:num w:numId="16">
    <w:abstractNumId w:val="21"/>
  </w:num>
  <w:num w:numId="17">
    <w:abstractNumId w:val="37"/>
  </w:num>
  <w:num w:numId="18">
    <w:abstractNumId w:val="28"/>
  </w:num>
  <w:num w:numId="19">
    <w:abstractNumId w:val="15"/>
  </w:num>
  <w:num w:numId="20">
    <w:abstractNumId w:val="24"/>
  </w:num>
  <w:num w:numId="21">
    <w:abstractNumId w:val="38"/>
  </w:num>
  <w:num w:numId="22">
    <w:abstractNumId w:val="34"/>
  </w:num>
  <w:num w:numId="23">
    <w:abstractNumId w:val="1"/>
  </w:num>
  <w:num w:numId="24">
    <w:abstractNumId w:val="12"/>
  </w:num>
  <w:num w:numId="25">
    <w:abstractNumId w:val="14"/>
  </w:num>
  <w:num w:numId="26">
    <w:abstractNumId w:val="29"/>
  </w:num>
  <w:num w:numId="27">
    <w:abstractNumId w:val="22"/>
  </w:num>
  <w:num w:numId="28">
    <w:abstractNumId w:val="41"/>
  </w:num>
  <w:num w:numId="29">
    <w:abstractNumId w:val="20"/>
  </w:num>
  <w:num w:numId="30">
    <w:abstractNumId w:val="16"/>
  </w:num>
  <w:num w:numId="31">
    <w:abstractNumId w:val="6"/>
  </w:num>
  <w:num w:numId="32">
    <w:abstractNumId w:val="0"/>
  </w:num>
  <w:num w:numId="33">
    <w:abstractNumId w:val="30"/>
  </w:num>
  <w:num w:numId="34">
    <w:abstractNumId w:val="13"/>
  </w:num>
  <w:num w:numId="35">
    <w:abstractNumId w:val="36"/>
  </w:num>
  <w:num w:numId="36">
    <w:abstractNumId w:val="47"/>
  </w:num>
  <w:num w:numId="37">
    <w:abstractNumId w:val="5"/>
  </w:num>
  <w:num w:numId="38">
    <w:abstractNumId w:val="25"/>
  </w:num>
  <w:num w:numId="39">
    <w:abstractNumId w:val="8"/>
  </w:num>
  <w:num w:numId="40">
    <w:abstractNumId w:val="19"/>
  </w:num>
  <w:num w:numId="41">
    <w:abstractNumId w:val="7"/>
  </w:num>
  <w:num w:numId="42">
    <w:abstractNumId w:val="17"/>
  </w:num>
  <w:num w:numId="43">
    <w:abstractNumId w:val="10"/>
  </w:num>
  <w:num w:numId="44">
    <w:abstractNumId w:val="39"/>
  </w:num>
  <w:num w:numId="45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35"/>
  </w:num>
  <w:num w:numId="48">
    <w:abstractNumId w:val="3"/>
  </w:num>
  <w:num w:numId="49">
    <w:abstractNumId w:val="32"/>
  </w:num>
  <w:num w:numId="50">
    <w:abstractNumId w:val="23"/>
  </w:num>
  <w:num w:numId="51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D"/>
    <w:rsid w:val="00004C2B"/>
    <w:rsid w:val="0001088C"/>
    <w:rsid w:val="000210EA"/>
    <w:rsid w:val="000D419D"/>
    <w:rsid w:val="00187792"/>
    <w:rsid w:val="001A5DEB"/>
    <w:rsid w:val="001E315D"/>
    <w:rsid w:val="00237519"/>
    <w:rsid w:val="00322B20"/>
    <w:rsid w:val="00337F94"/>
    <w:rsid w:val="003538E1"/>
    <w:rsid w:val="00371268"/>
    <w:rsid w:val="003B34E6"/>
    <w:rsid w:val="003C29E4"/>
    <w:rsid w:val="003E3A3D"/>
    <w:rsid w:val="00481FEB"/>
    <w:rsid w:val="004964F8"/>
    <w:rsid w:val="004C5203"/>
    <w:rsid w:val="004C5406"/>
    <w:rsid w:val="004F4A29"/>
    <w:rsid w:val="00511A48"/>
    <w:rsid w:val="00516201"/>
    <w:rsid w:val="00532C06"/>
    <w:rsid w:val="005B244C"/>
    <w:rsid w:val="005D4A06"/>
    <w:rsid w:val="00643A15"/>
    <w:rsid w:val="006A0426"/>
    <w:rsid w:val="006C50A0"/>
    <w:rsid w:val="006E04BB"/>
    <w:rsid w:val="006E222F"/>
    <w:rsid w:val="00725D27"/>
    <w:rsid w:val="00746FED"/>
    <w:rsid w:val="007504C6"/>
    <w:rsid w:val="007B3C80"/>
    <w:rsid w:val="007F723A"/>
    <w:rsid w:val="008239B9"/>
    <w:rsid w:val="0084772A"/>
    <w:rsid w:val="008643E6"/>
    <w:rsid w:val="00875224"/>
    <w:rsid w:val="00891653"/>
    <w:rsid w:val="0089603A"/>
    <w:rsid w:val="008E7F70"/>
    <w:rsid w:val="00910045"/>
    <w:rsid w:val="009B2520"/>
    <w:rsid w:val="00A3067F"/>
    <w:rsid w:val="00BB46D5"/>
    <w:rsid w:val="00BC026B"/>
    <w:rsid w:val="00C534EF"/>
    <w:rsid w:val="00C70588"/>
    <w:rsid w:val="00C76FD9"/>
    <w:rsid w:val="00CB6C1D"/>
    <w:rsid w:val="00CD5D41"/>
    <w:rsid w:val="00CE5E28"/>
    <w:rsid w:val="00D73BAA"/>
    <w:rsid w:val="00D75A42"/>
    <w:rsid w:val="00DD3193"/>
    <w:rsid w:val="00DF76B0"/>
    <w:rsid w:val="00E55A13"/>
    <w:rsid w:val="00EB4E48"/>
    <w:rsid w:val="00EE18E9"/>
    <w:rsid w:val="00F03B03"/>
    <w:rsid w:val="00F04C08"/>
    <w:rsid w:val="00F52EE3"/>
    <w:rsid w:val="00F6074C"/>
    <w:rsid w:val="00F66D98"/>
    <w:rsid w:val="00F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5F753-8AA9-4BC9-BE3B-7C5F6D13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2A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qFormat/>
    <w:rsid w:val="00FA12A8"/>
    <w:pPr>
      <w:keepNext/>
      <w:numPr>
        <w:numId w:val="43"/>
      </w:numPr>
      <w:tabs>
        <w:tab w:val="left" w:pos="1058"/>
      </w:tabs>
      <w:spacing w:before="240" w:after="120" w:line="240" w:lineRule="auto"/>
      <w:jc w:val="both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2A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next w:val="a"/>
    <w:link w:val="30"/>
    <w:unhideWhenUsed/>
    <w:qFormat/>
    <w:rsid w:val="00FA12A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aliases w:val="H4,H41,Sub-Minor,Level 2 - a"/>
    <w:basedOn w:val="a"/>
    <w:next w:val="a"/>
    <w:link w:val="40"/>
    <w:unhideWhenUsed/>
    <w:qFormat/>
    <w:rsid w:val="00FA12A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link w:val="1"/>
    <w:rsid w:val="00FA12A8"/>
    <w:rPr>
      <w:rFonts w:ascii="Garamond" w:eastAsia="Times New Roman" w:hAnsi="Garamond" w:cs="Garamond"/>
      <w:b/>
      <w:caps/>
      <w:color w:val="000000"/>
      <w:kern w:val="28"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FA1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aliases w:val="body text"/>
    <w:basedOn w:val="a"/>
    <w:link w:val="11"/>
    <w:rsid w:val="00FA12A8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5">
    <w:name w:val="Основной текст Знак"/>
    <w:basedOn w:val="a0"/>
    <w:uiPriority w:val="99"/>
    <w:semiHidden/>
    <w:rsid w:val="00FA12A8"/>
  </w:style>
  <w:style w:type="character" w:customStyle="1" w:styleId="11">
    <w:name w:val="Основной текст Знак1"/>
    <w:aliases w:val="body text Знак"/>
    <w:link w:val="a4"/>
    <w:rsid w:val="00FA12A8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a6">
    <w:name w:val="Обычный текст"/>
    <w:basedOn w:val="a"/>
    <w:link w:val="a7"/>
    <w:rsid w:val="00FA12A8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7">
    <w:name w:val="Обычный текст Знак"/>
    <w:link w:val="a6"/>
    <w:rsid w:val="00FA12A8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styleId="a8">
    <w:name w:val="annotation reference"/>
    <w:uiPriority w:val="99"/>
    <w:semiHidden/>
    <w:unhideWhenUsed/>
    <w:rsid w:val="00FA12A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A12A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FA12A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A12A8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FA12A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A1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FA12A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uiPriority w:val="99"/>
    <w:rsid w:val="00FA12A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21">
    <w:name w:val="Основной текст Знак2"/>
    <w:aliases w:val="body text Знак2,Основной текст Знак3,body text Знак1"/>
    <w:rsid w:val="00FA12A8"/>
    <w:rPr>
      <w:sz w:val="22"/>
      <w:lang w:val="en-GB" w:eastAsia="en-US" w:bidi="ar-SA"/>
    </w:rPr>
  </w:style>
  <w:style w:type="paragraph" w:customStyle="1" w:styleId="31">
    <w:name w:val="Основной текст с отступом 31"/>
    <w:basedOn w:val="a"/>
    <w:uiPriority w:val="99"/>
    <w:rsid w:val="00FA12A8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aliases w:val="H4 Знак,H41 Знак,Sub-Minor Знак,Level 2 - a Знак"/>
    <w:link w:val="4"/>
    <w:rsid w:val="00FA12A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">
    <w:name w:val="Revision"/>
    <w:hidden/>
    <w:uiPriority w:val="99"/>
    <w:semiHidden/>
    <w:rsid w:val="00FA12A8"/>
    <w:rPr>
      <w:sz w:val="22"/>
      <w:szCs w:val="22"/>
      <w:lang w:eastAsia="en-US"/>
    </w:rPr>
  </w:style>
  <w:style w:type="paragraph" w:customStyle="1" w:styleId="Iauiue">
    <w:name w:val="Iau?iue"/>
    <w:rsid w:val="00FA12A8"/>
    <w:pPr>
      <w:widowControl w:val="0"/>
    </w:pPr>
    <w:rPr>
      <w:rFonts w:ascii="Times New Roman" w:eastAsia="Times New Roman" w:hAnsi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FA12A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FA12A8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FA12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FA12A8"/>
    <w:rPr>
      <w:sz w:val="22"/>
      <w:szCs w:val="22"/>
      <w:lang w:eastAsia="en-US"/>
    </w:rPr>
  </w:style>
  <w:style w:type="paragraph" w:styleId="af4">
    <w:name w:val="footnote text"/>
    <w:basedOn w:val="a"/>
    <w:link w:val="af5"/>
    <w:semiHidden/>
    <w:unhideWhenUsed/>
    <w:rsid w:val="00FA12A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FA12A8"/>
    <w:rPr>
      <w:lang w:eastAsia="en-US"/>
    </w:rPr>
  </w:style>
  <w:style w:type="character" w:styleId="af6">
    <w:name w:val="footnote reference"/>
    <w:semiHidden/>
    <w:unhideWhenUsed/>
    <w:rsid w:val="00FA12A8"/>
    <w:rPr>
      <w:vertAlign w:val="superscript"/>
    </w:rPr>
  </w:style>
  <w:style w:type="paragraph" w:styleId="af7">
    <w:name w:val="Body Text Indent"/>
    <w:basedOn w:val="a"/>
    <w:link w:val="af8"/>
    <w:unhideWhenUsed/>
    <w:rsid w:val="00FA12A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FA12A8"/>
    <w:rPr>
      <w:sz w:val="22"/>
      <w:szCs w:val="22"/>
      <w:lang w:eastAsia="en-US"/>
    </w:rPr>
  </w:style>
  <w:style w:type="character" w:styleId="af9">
    <w:name w:val="Hyperlink"/>
    <w:uiPriority w:val="99"/>
    <w:rsid w:val="00FA12A8"/>
    <w:rPr>
      <w:color w:val="0000FF"/>
      <w:u w:val="single"/>
    </w:rPr>
  </w:style>
  <w:style w:type="paragraph" w:styleId="afa">
    <w:name w:val="Plain Text"/>
    <w:basedOn w:val="a"/>
    <w:link w:val="afb"/>
    <w:rsid w:val="00FA12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FA12A8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A12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FA12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E342-9638-4D8F-94F3-A610B7FA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Маргарита Вячеславовна</dc:creator>
  <cp:lastModifiedBy>Пряхина Ирина Игоревна</cp:lastModifiedBy>
  <cp:revision>8</cp:revision>
  <cp:lastPrinted>2020-01-23T08:20:00Z</cp:lastPrinted>
  <dcterms:created xsi:type="dcterms:W3CDTF">2020-01-23T07:04:00Z</dcterms:created>
  <dcterms:modified xsi:type="dcterms:W3CDTF">2020-01-23T13:52:00Z</dcterms:modified>
</cp:coreProperties>
</file>