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86" w:rsidRDefault="00767595" w:rsidP="00837623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 w:rsidRPr="00767595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>7.</w:t>
      </w:r>
      <w:r w:rsidR="00837623">
        <w:rPr>
          <w:rFonts w:ascii="Garamond" w:hAnsi="Garamond"/>
          <w:b/>
          <w:bCs/>
          <w:sz w:val="28"/>
          <w:szCs w:val="28"/>
        </w:rPr>
        <w:t xml:space="preserve"> </w:t>
      </w:r>
      <w:r w:rsidR="0025050C">
        <w:rPr>
          <w:rFonts w:ascii="Garamond" w:hAnsi="Garamond"/>
          <w:b/>
          <w:bCs/>
          <w:sz w:val="28"/>
          <w:szCs w:val="28"/>
        </w:rPr>
        <w:t>Изменения, связанные c реструктуризацией задолженности на оптово</w:t>
      </w:r>
      <w:r w:rsidR="001F074D">
        <w:rPr>
          <w:rFonts w:ascii="Garamond" w:hAnsi="Garamond"/>
          <w:b/>
          <w:bCs/>
          <w:sz w:val="28"/>
          <w:szCs w:val="28"/>
        </w:rPr>
        <w:t>м рынке электрической энергии и </w:t>
      </w:r>
      <w:r w:rsidR="0025050C">
        <w:rPr>
          <w:rFonts w:ascii="Garamond" w:hAnsi="Garamond"/>
          <w:b/>
          <w:bCs/>
          <w:sz w:val="28"/>
          <w:szCs w:val="28"/>
        </w:rPr>
        <w:t>мощности</w:t>
      </w:r>
    </w:p>
    <w:p w:rsidR="00950586" w:rsidRDefault="00950586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950586" w:rsidRDefault="0025050C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</w:t>
      </w:r>
      <w:r w:rsidR="008A3D3A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767595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5.7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50586" w:rsidRDefault="00950586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950586">
        <w:tc>
          <w:tcPr>
            <w:tcW w:w="14879" w:type="dxa"/>
          </w:tcPr>
          <w:p w:rsidR="00950586" w:rsidRDefault="0025050C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="00EC4A9C" w:rsidRPr="009412DF">
              <w:rPr>
                <w:rFonts w:ascii="Garamond" w:eastAsia="Times New Roman" w:hAnsi="Garamond" w:cs="Garamond"/>
                <w:bCs/>
                <w:sz w:val="24"/>
                <w:szCs w:val="24"/>
                <w:lang w:eastAsia="ru-RU"/>
              </w:rPr>
              <w:t>Ассоциация «</w:t>
            </w:r>
            <w:r w:rsidR="00EC4A9C" w:rsidRPr="009412DF">
              <w:rPr>
                <w:rFonts w:ascii="Garamond" w:hAnsi="Garamond"/>
                <w:sz w:val="24"/>
                <w:szCs w:val="24"/>
              </w:rPr>
              <w:t>НП Совет рынка».</w:t>
            </w:r>
          </w:p>
          <w:p w:rsidR="00950586" w:rsidRDefault="0025050C" w:rsidP="006835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 w:rsidR="007714B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8353A">
              <w:rPr>
                <w:rFonts w:ascii="Garamond" w:hAnsi="Garamond"/>
                <w:sz w:val="24"/>
                <w:szCs w:val="24"/>
              </w:rPr>
              <w:t>разделом 18</w:t>
            </w:r>
            <w:r w:rsidR="0068353A" w:rsidRPr="0068353A">
              <w:rPr>
                <w:rFonts w:ascii="Garamond" w:hAnsi="Garamond"/>
                <w:sz w:val="24"/>
                <w:szCs w:val="24"/>
              </w:rPr>
              <w:t>’ Регламент</w:t>
            </w:r>
            <w:r w:rsidR="0068353A">
              <w:rPr>
                <w:rFonts w:ascii="Garamond" w:hAnsi="Garamond"/>
                <w:sz w:val="24"/>
                <w:szCs w:val="24"/>
              </w:rPr>
              <w:t>а</w:t>
            </w:r>
            <w:r w:rsidR="0068353A" w:rsidRPr="0068353A">
              <w:rPr>
                <w:rFonts w:ascii="Garamond" w:hAnsi="Garamond"/>
                <w:sz w:val="24"/>
                <w:szCs w:val="24"/>
              </w:rPr>
              <w:t xml:space="preserve"> финансовых расчетов на оптовом рынке электроэнергии (Приложение № 16 к </w:t>
            </w:r>
            <w:r w:rsidR="003939C7" w:rsidRPr="003939C7">
              <w:rPr>
                <w:rFonts w:ascii="Garamond" w:hAnsi="Garamond"/>
                <w:sz w:val="24"/>
                <w:szCs w:val="24"/>
              </w:rPr>
              <w:t>Договору о присоединении к торговой системе оптового рынка</w:t>
            </w:r>
            <w:r w:rsidR="0068353A" w:rsidRPr="0068353A">
              <w:rPr>
                <w:rFonts w:ascii="Garamond" w:hAnsi="Garamond"/>
                <w:sz w:val="24"/>
                <w:szCs w:val="24"/>
              </w:rPr>
              <w:t>) предусмотрен порядок формирования ЦФР графиков исполнения обязательств по оплате электрической энергии и (или) мощности в отношении договоров, по которым осуществляется реструктуризация задолженности.</w:t>
            </w:r>
            <w:r w:rsidR="0068353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8353A" w:rsidRPr="0068353A">
              <w:rPr>
                <w:rFonts w:ascii="Garamond" w:hAnsi="Garamond"/>
                <w:sz w:val="24"/>
                <w:szCs w:val="24"/>
              </w:rPr>
              <w:t xml:space="preserve">Указанный порядок требует уточнений в части возобновления ЦФР учета прекращения обязательств по оплате или прекращения учета обязательств участников оптового рынка – покупателей перед продавцами, не заключившими </w:t>
            </w:r>
            <w:r w:rsidR="002125C1">
              <w:rPr>
                <w:rFonts w:ascii="Garamond" w:hAnsi="Garamond"/>
                <w:sz w:val="24"/>
                <w:szCs w:val="24"/>
              </w:rPr>
              <w:t>с</w:t>
            </w:r>
            <w:r w:rsidR="0068353A" w:rsidRPr="0068353A">
              <w:rPr>
                <w:rFonts w:ascii="Garamond" w:hAnsi="Garamond"/>
                <w:sz w:val="24"/>
                <w:szCs w:val="24"/>
              </w:rPr>
              <w:t>оглашения о</w:t>
            </w:r>
            <w:r w:rsidR="003939C7">
              <w:rPr>
                <w:rFonts w:ascii="Garamond" w:hAnsi="Garamond"/>
                <w:sz w:val="24"/>
                <w:szCs w:val="24"/>
              </w:rPr>
              <w:t xml:space="preserve"> реструктуризации задолженности</w:t>
            </w:r>
            <w:r w:rsidR="0068353A" w:rsidRPr="0068353A">
              <w:rPr>
                <w:rFonts w:ascii="Garamond" w:hAnsi="Garamond"/>
                <w:sz w:val="24"/>
                <w:szCs w:val="24"/>
              </w:rPr>
              <w:t xml:space="preserve"> либо заключившими </w:t>
            </w:r>
            <w:r w:rsidR="002125C1">
              <w:rPr>
                <w:rFonts w:ascii="Garamond" w:hAnsi="Garamond"/>
                <w:sz w:val="24"/>
                <w:szCs w:val="24"/>
              </w:rPr>
              <w:t>с</w:t>
            </w:r>
            <w:r w:rsidR="0068353A" w:rsidRPr="0068353A">
              <w:rPr>
                <w:rFonts w:ascii="Garamond" w:hAnsi="Garamond"/>
                <w:sz w:val="24"/>
                <w:szCs w:val="24"/>
              </w:rPr>
              <w:t>оглашения о реструктуризации задолженности, которые не были приняты ЦФР к учету</w:t>
            </w:r>
            <w:r w:rsidR="00662ECE">
              <w:rPr>
                <w:rFonts w:ascii="Garamond" w:hAnsi="Garamond"/>
                <w:sz w:val="24"/>
                <w:szCs w:val="24"/>
              </w:rPr>
              <w:t>.</w:t>
            </w:r>
          </w:p>
          <w:p w:rsidR="00950586" w:rsidRDefault="00250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силу:</w:t>
            </w:r>
            <w:r w:rsidR="00813404">
              <w:rPr>
                <w:rFonts w:ascii="Garamond" w:hAnsi="Garamond"/>
                <w:bCs/>
                <w:sz w:val="24"/>
                <w:szCs w:val="24"/>
              </w:rPr>
              <w:t xml:space="preserve"> 24</w:t>
            </w:r>
            <w:bookmarkStart w:id="0" w:name="_GoBack"/>
            <w:bookmarkEnd w:id="0"/>
            <w:r w:rsidR="00EC4A9C" w:rsidRPr="00EC4A9C">
              <w:rPr>
                <w:rFonts w:ascii="Garamond" w:hAnsi="Garamond"/>
                <w:bCs/>
                <w:sz w:val="24"/>
                <w:szCs w:val="24"/>
              </w:rPr>
              <w:t xml:space="preserve"> марта 2020</w:t>
            </w:r>
            <w:r w:rsidR="00EC4A9C">
              <w:rPr>
                <w:rFonts w:ascii="Garamond" w:hAnsi="Garamond"/>
                <w:bCs/>
                <w:sz w:val="24"/>
                <w:szCs w:val="24"/>
              </w:rPr>
              <w:t xml:space="preserve"> года.</w:t>
            </w:r>
          </w:p>
        </w:tc>
      </w:tr>
    </w:tbl>
    <w:p w:rsidR="00950586" w:rsidRDefault="00950586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950586" w:rsidRDefault="0025050C" w:rsidP="001F074D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950586" w:rsidRDefault="00950586">
      <w:pPr>
        <w:spacing w:after="0" w:line="240" w:lineRule="auto"/>
        <w:ind w:left="142" w:right="-312"/>
        <w:rPr>
          <w:rFonts w:ascii="Garamond" w:hAnsi="Garamond"/>
          <w:b/>
          <w:bCs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65"/>
        <w:gridCol w:w="7513"/>
      </w:tblGrid>
      <w:tr w:rsidR="00950586" w:rsidTr="00837623">
        <w:tc>
          <w:tcPr>
            <w:tcW w:w="993" w:type="dxa"/>
            <w:vAlign w:val="center"/>
          </w:tcPr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950586" w:rsidRDefault="0025050C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950586" w:rsidTr="00837623">
        <w:trPr>
          <w:trHeight w:val="561"/>
        </w:trPr>
        <w:tc>
          <w:tcPr>
            <w:tcW w:w="993" w:type="dxa"/>
          </w:tcPr>
          <w:p w:rsidR="00950586" w:rsidRPr="00967D14" w:rsidRDefault="0025050C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967D14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967D14">
              <w:rPr>
                <w:rFonts w:ascii="Garamond" w:hAnsi="Garamond"/>
                <w:b/>
              </w:rPr>
              <w:t>´</w:t>
            </w:r>
            <w:r w:rsidR="00837623" w:rsidRPr="00967D14">
              <w:rPr>
                <w:rFonts w:ascii="Garamond" w:eastAsia="Times New Roman" w:hAnsi="Garamond" w:cs="Times New Roman"/>
                <w:b/>
                <w:color w:val="000000"/>
              </w:rPr>
              <w:t>.4</w:t>
            </w:r>
          </w:p>
        </w:tc>
        <w:tc>
          <w:tcPr>
            <w:tcW w:w="6265" w:type="dxa"/>
            <w:shd w:val="clear" w:color="auto" w:fill="auto"/>
          </w:tcPr>
          <w:p w:rsidR="00950586" w:rsidRDefault="0025050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</w:rPr>
              <w:t xml:space="preserve">ЦФР </w:t>
            </w:r>
            <w:r>
              <w:rPr>
                <w:rFonts w:ascii="Garamond" w:eastAsia="Times New Roman" w:hAnsi="Garamond" w:cs="Times New Roman"/>
                <w:bCs/>
              </w:rPr>
              <w:t xml:space="preserve">формирует графики исполнения обязательств по оплате электрической энергии и (или) </w:t>
            </w:r>
            <w:r>
              <w:rPr>
                <w:rFonts w:ascii="Garamond" w:eastAsia="Times New Roman" w:hAnsi="Garamond" w:cs="Times New Roman"/>
              </w:rPr>
              <w:t>мощности</w:t>
            </w:r>
            <w:r>
              <w:rPr>
                <w:rFonts w:ascii="Garamond" w:eastAsia="Times New Roman" w:hAnsi="Garamond" w:cs="Times New Roman"/>
                <w:bCs/>
              </w:rPr>
              <w:t xml:space="preserve"> в отношении всех договоров, по которым в соответствии с настоящим порядком осуществляется реструктуризация задолженности. При этом:</w:t>
            </w:r>
          </w:p>
          <w:p w:rsidR="00E74216" w:rsidRDefault="000C01A3" w:rsidP="000C01A3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  <w:bCs/>
              </w:rPr>
              <w:t>…</w:t>
            </w:r>
          </w:p>
          <w:p w:rsidR="00BE16A2" w:rsidRPr="00BE16A2" w:rsidRDefault="00BE16A2" w:rsidP="00BE16A2">
            <w:pPr>
              <w:pStyle w:val="ac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="Garamond" w:eastAsia="Times New Roman" w:hAnsi="Garamond"/>
                <w:bCs/>
              </w:rPr>
            </w:pPr>
            <w:r>
              <w:rPr>
                <w:rFonts w:ascii="Garamond" w:eastAsia="Times New Roman" w:hAnsi="Garamond"/>
              </w:rPr>
              <w:t xml:space="preserve">размер неисполненных обязательств </w:t>
            </w:r>
            <w:r>
              <w:rPr>
                <w:rFonts w:ascii="Garamond" w:eastAsia="Times New Roman" w:hAnsi="Garamond"/>
                <w:bCs/>
              </w:rPr>
              <w:t>по оплате</w:t>
            </w:r>
            <w:r>
              <w:rPr>
                <w:rFonts w:ascii="Garamond" w:eastAsia="Times New Roman" w:hAnsi="Garamond"/>
              </w:rPr>
              <w:t xml:space="preserve">, подлежащих исполнению в соответствии с Соглашением о реструктуризации задолженности, должен соответствовать опубликованному в Отчете о состоянии обязательств в соответствии с </w:t>
            </w:r>
            <w:r w:rsidRPr="00941C40">
              <w:rPr>
                <w:rFonts w:ascii="Garamond" w:hAnsi="Garamond"/>
                <w:spacing w:val="1"/>
              </w:rPr>
              <w:t xml:space="preserve">разделом 9 настоящего </w:t>
            </w:r>
            <w:r w:rsidRPr="00BE16A2">
              <w:rPr>
                <w:rFonts w:ascii="Garamond" w:hAnsi="Garamond"/>
                <w:spacing w:val="1"/>
              </w:rPr>
              <w:t>Регламента</w:t>
            </w:r>
            <w:r w:rsidRPr="00BE16A2">
              <w:rPr>
                <w:rFonts w:ascii="Garamond" w:eastAsia="Times New Roman" w:hAnsi="Garamond"/>
              </w:rPr>
              <w:t xml:space="preserve"> за 04.03.2020 размеру неисполненных обязательств по соответствующему договору. </w:t>
            </w:r>
          </w:p>
          <w:p w:rsidR="00BE16A2" w:rsidRDefault="00BE16A2" w:rsidP="00BE16A2">
            <w:pPr>
              <w:spacing w:before="120" w:after="120" w:line="240" w:lineRule="auto"/>
              <w:ind w:left="1338"/>
              <w:jc w:val="both"/>
              <w:rPr>
                <w:rFonts w:ascii="Garamond" w:eastAsia="Times New Roman" w:hAnsi="Garamond" w:cs="Times New Roman"/>
                <w:bCs/>
              </w:rPr>
            </w:pPr>
            <w:r w:rsidRPr="00BE16A2">
              <w:rPr>
                <w:rFonts w:ascii="Garamond" w:hAnsi="Garamond"/>
                <w:color w:val="000000"/>
              </w:rPr>
              <w:lastRenderedPageBreak/>
              <w:t xml:space="preserve">ЦФР учитывает прекращение обязательств по оплате или прекращает учет обязательств </w:t>
            </w:r>
            <w:r w:rsidRPr="00BE16A2">
              <w:rPr>
                <w:rFonts w:ascii="Garamond" w:eastAsia="Times New Roman" w:hAnsi="Garamond"/>
                <w:color w:val="000000"/>
              </w:rPr>
              <w:t xml:space="preserve">участников оптового рынка – покупателей, указанных в перечне, полученном от </w:t>
            </w:r>
            <w:r w:rsidRPr="00BE16A2">
              <w:rPr>
                <w:rFonts w:ascii="Garamond" w:eastAsia="Times New Roman" w:hAnsi="Garamond"/>
              </w:rPr>
              <w:t xml:space="preserve">Совета рынка </w:t>
            </w:r>
            <w:r w:rsidRPr="00BE16A2">
              <w:rPr>
                <w:rFonts w:ascii="Garamond" w:eastAsia="Times New Roman" w:hAnsi="Garamond"/>
                <w:color w:val="000000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до 28.02.2020 (включительно). В</w:t>
            </w:r>
            <w:r w:rsidRPr="00BE16A2">
              <w:rPr>
                <w:rFonts w:ascii="Garamond" w:eastAsia="Times New Roman" w:hAnsi="Garamond"/>
              </w:rPr>
              <w:t xml:space="preserve"> случае поступления документов об исполнении указанных</w:t>
            </w:r>
            <w:r>
              <w:rPr>
                <w:rFonts w:ascii="Garamond" w:eastAsia="Times New Roman" w:hAnsi="Garamond"/>
              </w:rPr>
              <w:t xml:space="preserve"> обязательств после 28.02.2020 графики исполнения обязательств не корректируются;</w:t>
            </w:r>
          </w:p>
          <w:p w:rsidR="00950586" w:rsidRPr="000C01A3" w:rsidRDefault="00E74216" w:rsidP="000C01A3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C01A3">
              <w:rPr>
                <w:rFonts w:ascii="Garamond" w:hAnsi="Garamond"/>
              </w:rPr>
              <w:t>…</w:t>
            </w:r>
          </w:p>
        </w:tc>
        <w:tc>
          <w:tcPr>
            <w:tcW w:w="7513" w:type="dxa"/>
            <w:shd w:val="clear" w:color="auto" w:fill="auto"/>
          </w:tcPr>
          <w:p w:rsidR="00950586" w:rsidRDefault="0025050C">
            <w:pPr>
              <w:spacing w:before="120" w:after="120" w:line="240" w:lineRule="auto"/>
              <w:ind w:left="34" w:firstLine="533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 xml:space="preserve">ЦФР </w:t>
            </w:r>
            <w:r>
              <w:rPr>
                <w:rFonts w:ascii="Garamond" w:eastAsia="Times New Roman" w:hAnsi="Garamond" w:cs="Times New Roman"/>
                <w:bCs/>
              </w:rPr>
              <w:t xml:space="preserve">формирует графики исполнения обязательств по оплате электрической энергии и (или) </w:t>
            </w:r>
            <w:r>
              <w:rPr>
                <w:rFonts w:ascii="Garamond" w:eastAsia="Times New Roman" w:hAnsi="Garamond" w:cs="Times New Roman"/>
              </w:rPr>
              <w:t>мощности</w:t>
            </w:r>
            <w:r>
              <w:rPr>
                <w:rFonts w:ascii="Garamond" w:eastAsia="Times New Roman" w:hAnsi="Garamond" w:cs="Times New Roman"/>
                <w:bCs/>
              </w:rPr>
              <w:t xml:space="preserve"> в отношении всех договоров, по которым в соответствии с настоящим порядком осуществляется реструктуризация задолженности. При этом:</w:t>
            </w:r>
          </w:p>
          <w:p w:rsidR="00E74216" w:rsidRDefault="00E74216" w:rsidP="000C01A3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  <w:bCs/>
              </w:rPr>
              <w:t>…</w:t>
            </w:r>
          </w:p>
          <w:p w:rsidR="00BE16A2" w:rsidRPr="00BE16A2" w:rsidRDefault="00BE16A2" w:rsidP="00BE16A2">
            <w:pPr>
              <w:pStyle w:val="ac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="Garamond" w:eastAsia="Times New Roman" w:hAnsi="Garamond"/>
                <w:bCs/>
              </w:rPr>
            </w:pPr>
            <w:r>
              <w:rPr>
                <w:rFonts w:ascii="Garamond" w:eastAsia="Times New Roman" w:hAnsi="Garamond"/>
              </w:rPr>
              <w:t xml:space="preserve">размер неисполненных обязательств </w:t>
            </w:r>
            <w:r>
              <w:rPr>
                <w:rFonts w:ascii="Garamond" w:eastAsia="Times New Roman" w:hAnsi="Garamond"/>
                <w:bCs/>
              </w:rPr>
              <w:t>по оплате</w:t>
            </w:r>
            <w:r>
              <w:rPr>
                <w:rFonts w:ascii="Garamond" w:eastAsia="Times New Roman" w:hAnsi="Garamond"/>
              </w:rPr>
              <w:t xml:space="preserve">, подлежащих исполнению в соответствии с Соглашением о реструктуризации задолженности, должен соответствовать опубликованному в Отчете о состоянии обязательств в соответствии с </w:t>
            </w:r>
            <w:r w:rsidRPr="00941C40">
              <w:rPr>
                <w:rFonts w:ascii="Garamond" w:hAnsi="Garamond"/>
                <w:spacing w:val="1"/>
              </w:rPr>
              <w:t xml:space="preserve">разделом 9 настоящего </w:t>
            </w:r>
            <w:r w:rsidRPr="00BE16A2">
              <w:rPr>
                <w:rFonts w:ascii="Garamond" w:hAnsi="Garamond"/>
                <w:spacing w:val="1"/>
              </w:rPr>
              <w:t>Регламента</w:t>
            </w:r>
            <w:r w:rsidRPr="00BE16A2">
              <w:rPr>
                <w:rFonts w:ascii="Garamond" w:eastAsia="Times New Roman" w:hAnsi="Garamond"/>
              </w:rPr>
              <w:t xml:space="preserve"> за 04.03.2020 размеру неисполненных обязательств по соответствующему договору. </w:t>
            </w:r>
          </w:p>
          <w:p w:rsidR="00BE16A2" w:rsidRDefault="00BE16A2" w:rsidP="00BE16A2">
            <w:pPr>
              <w:spacing w:before="120" w:after="120" w:line="240" w:lineRule="auto"/>
              <w:ind w:left="1310"/>
              <w:jc w:val="both"/>
              <w:rPr>
                <w:rFonts w:ascii="Garamond" w:eastAsia="Times New Roman" w:hAnsi="Garamond" w:cs="Times New Roman"/>
                <w:bCs/>
              </w:rPr>
            </w:pPr>
            <w:r w:rsidRPr="00BE16A2">
              <w:rPr>
                <w:rFonts w:ascii="Garamond" w:hAnsi="Garamond"/>
                <w:color w:val="000000"/>
              </w:rPr>
              <w:t xml:space="preserve">ЦФР учитывает прекращение обязательств по оплате или прекращает учет обязательств </w:t>
            </w:r>
            <w:r w:rsidRPr="00BE16A2">
              <w:rPr>
                <w:rFonts w:ascii="Garamond" w:eastAsia="Times New Roman" w:hAnsi="Garamond"/>
                <w:color w:val="000000"/>
              </w:rPr>
              <w:t xml:space="preserve">участников оптового рынка – покупателей, указанных в перечне, полученном от </w:t>
            </w:r>
            <w:r w:rsidRPr="00BE16A2">
              <w:rPr>
                <w:rFonts w:ascii="Garamond" w:eastAsia="Times New Roman" w:hAnsi="Garamond"/>
              </w:rPr>
              <w:t xml:space="preserve">Совета рынка </w:t>
            </w:r>
            <w:r w:rsidRPr="00BE16A2">
              <w:rPr>
                <w:rFonts w:ascii="Garamond" w:eastAsia="Times New Roman" w:hAnsi="Garamond"/>
                <w:color w:val="000000"/>
              </w:rPr>
              <w:t xml:space="preserve">в </w:t>
            </w:r>
            <w:r w:rsidRPr="00BE16A2">
              <w:rPr>
                <w:rFonts w:ascii="Garamond" w:eastAsia="Times New Roman" w:hAnsi="Garamond"/>
                <w:color w:val="000000"/>
              </w:rPr>
              <w:lastRenderedPageBreak/>
              <w:t>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Регламента, до 28.02.2020 (включительно). В</w:t>
            </w:r>
            <w:r w:rsidRPr="00BE16A2">
              <w:rPr>
                <w:rFonts w:ascii="Garamond" w:eastAsia="Times New Roman" w:hAnsi="Garamond"/>
              </w:rPr>
              <w:t xml:space="preserve"> случае поступления документов об исполнении указанных</w:t>
            </w:r>
            <w:r>
              <w:rPr>
                <w:rFonts w:ascii="Garamond" w:eastAsia="Times New Roman" w:hAnsi="Garamond"/>
              </w:rPr>
              <w:t xml:space="preserve"> обязательств после 28.02.2020 графики исполнения обязательств не корректируются</w:t>
            </w:r>
            <w:r w:rsidRPr="000C01A3">
              <w:rPr>
                <w:rFonts w:ascii="Garamond" w:eastAsia="Times New Roman" w:hAnsi="Garamond" w:cs="Times New Roman"/>
                <w:highlight w:val="yellow"/>
              </w:rPr>
              <w:t xml:space="preserve">. </w:t>
            </w:r>
            <w:r w:rsidRPr="000C01A3">
              <w:rPr>
                <w:rFonts w:ascii="Garamond" w:hAnsi="Garamond"/>
                <w:color w:val="000000"/>
                <w:highlight w:val="yellow"/>
              </w:rPr>
              <w:t xml:space="preserve">ЦФР </w:t>
            </w:r>
            <w:r w:rsidRPr="000C01A3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с 01.04.2020 </w:t>
            </w:r>
            <w:r w:rsidRPr="000C01A3">
              <w:rPr>
                <w:rFonts w:ascii="Garamond" w:hAnsi="Garamond"/>
                <w:color w:val="000000"/>
                <w:highlight w:val="yellow"/>
              </w:rPr>
              <w:t xml:space="preserve">возобновляет учет прекращения обязательств по оплате или прекращение учета обязательств </w:t>
            </w:r>
            <w:r w:rsidRPr="000C01A3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участников оптового рынка – покупателей, указанных в перечне, полученном от </w:t>
            </w:r>
            <w:r w:rsidRPr="000C01A3">
              <w:rPr>
                <w:rFonts w:ascii="Garamond" w:eastAsia="Times New Roman" w:hAnsi="Garamond" w:cs="Times New Roman"/>
                <w:highlight w:val="yellow"/>
              </w:rPr>
              <w:t xml:space="preserve">Совета рынка </w:t>
            </w:r>
            <w:r w:rsidRPr="000C01A3">
              <w:rPr>
                <w:rFonts w:ascii="Garamond" w:eastAsia="Times New Roman" w:hAnsi="Garamond" w:cs="Times New Roman"/>
                <w:color w:val="000000"/>
                <w:highlight w:val="yellow"/>
              </w:rPr>
              <w:t>в соответствии с п. 18´.3 настоящего Регламента, с датой исполнения до 01.01.2020 на основании документов, полученных в соответствии с разделом 19 настоящего Регламента</w:t>
            </w:r>
            <w:r>
              <w:rPr>
                <w:rFonts w:ascii="Garamond" w:eastAsia="Times New Roman" w:hAnsi="Garamond" w:cs="Times New Roman"/>
                <w:color w:val="000000"/>
                <w:highlight w:val="yellow"/>
              </w:rPr>
              <w:t>,</w:t>
            </w:r>
            <w:r w:rsidRPr="000C01A3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 в отношении обязательств указанных покупателей перед продавцами, не заключившими Соглашения о реструктуризации задолженности либо заключившими Соглашения о реструктуризации задолженности, которые не были приняты ЦФР к учету</w:t>
            </w:r>
            <w:r w:rsidRPr="000C01A3">
              <w:rPr>
                <w:rFonts w:ascii="Garamond" w:hAnsi="Garamond"/>
                <w:color w:val="000000"/>
              </w:rPr>
              <w:t>;</w:t>
            </w:r>
          </w:p>
          <w:p w:rsidR="00950586" w:rsidRDefault="00E74216">
            <w:pPr>
              <w:pStyle w:val="a3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</w:tc>
      </w:tr>
    </w:tbl>
    <w:p w:rsidR="00950586" w:rsidRDefault="00950586">
      <w:pPr>
        <w:rPr>
          <w:rFonts w:ascii="Garamond" w:hAnsi="Garamond"/>
          <w:b/>
        </w:rPr>
      </w:pPr>
    </w:p>
    <w:p w:rsidR="00950586" w:rsidRDefault="00950586">
      <w:pPr>
        <w:rPr>
          <w:rFonts w:ascii="Garamond" w:hAnsi="Garamond"/>
          <w:b/>
        </w:rPr>
      </w:pPr>
    </w:p>
    <w:sectPr w:rsidR="00950586" w:rsidSect="004F4F9B">
      <w:footerReference w:type="default" r:id="rId8"/>
      <w:footerReference w:type="first" r:id="rId9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95" w:rsidRDefault="00276295">
      <w:pPr>
        <w:spacing w:after="0" w:line="240" w:lineRule="auto"/>
      </w:pPr>
      <w:r>
        <w:separator/>
      </w:r>
    </w:p>
  </w:endnote>
  <w:endnote w:type="continuationSeparator" w:id="0">
    <w:p w:rsidR="00276295" w:rsidRDefault="00276295">
      <w:pPr>
        <w:spacing w:after="0" w:line="240" w:lineRule="auto"/>
      </w:pPr>
      <w:r>
        <w:continuationSeparator/>
      </w:r>
    </w:p>
  </w:endnote>
  <w:endnote w:type="continuationNotice" w:id="1">
    <w:p w:rsidR="00276295" w:rsidRDefault="00276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395276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950586" w:rsidRDefault="0025050C">
        <w:pPr>
          <w:pStyle w:val="af0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813404">
          <w:rPr>
            <w:rFonts w:ascii="Garamond" w:hAnsi="Garamond"/>
            <w:noProof/>
          </w:rPr>
          <w:t>2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38338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950586" w:rsidRDefault="0025050C">
        <w:pPr>
          <w:pStyle w:val="af0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813404">
          <w:rPr>
            <w:rFonts w:ascii="Garamond" w:hAnsi="Garamond"/>
            <w:noProof/>
          </w:rPr>
          <w:t>1</w:t>
        </w:r>
        <w:r>
          <w:rPr>
            <w:rFonts w:ascii="Garamond" w:hAnsi="Garamond"/>
          </w:rPr>
          <w:fldChar w:fldCharType="end"/>
        </w:r>
      </w:p>
    </w:sdtContent>
  </w:sdt>
  <w:p w:rsidR="00950586" w:rsidRDefault="0095058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95" w:rsidRDefault="00276295">
      <w:pPr>
        <w:spacing w:after="0" w:line="240" w:lineRule="auto"/>
      </w:pPr>
      <w:r>
        <w:separator/>
      </w:r>
    </w:p>
  </w:footnote>
  <w:footnote w:type="continuationSeparator" w:id="0">
    <w:p w:rsidR="00276295" w:rsidRDefault="00276295">
      <w:pPr>
        <w:spacing w:after="0" w:line="240" w:lineRule="auto"/>
      </w:pPr>
      <w:r>
        <w:continuationSeparator/>
      </w:r>
    </w:p>
  </w:footnote>
  <w:footnote w:type="continuationNotice" w:id="1">
    <w:p w:rsidR="00276295" w:rsidRDefault="002762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31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9" w15:restartNumberingAfterBreak="0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5"/>
  </w:num>
  <w:num w:numId="5">
    <w:abstractNumId w:val="21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16"/>
  </w:num>
  <w:num w:numId="13">
    <w:abstractNumId w:val="20"/>
  </w:num>
  <w:num w:numId="14">
    <w:abstractNumId w:val="9"/>
  </w:num>
  <w:num w:numId="15">
    <w:abstractNumId w:val="19"/>
  </w:num>
  <w:num w:numId="16">
    <w:abstractNumId w:val="17"/>
  </w:num>
  <w:num w:numId="17">
    <w:abstractNumId w:val="11"/>
  </w:num>
  <w:num w:numId="18">
    <w:abstractNumId w:val="7"/>
  </w:num>
  <w:num w:numId="19">
    <w:abstractNumId w:val="1"/>
  </w:num>
  <w:num w:numId="20">
    <w:abstractNumId w:val="8"/>
  </w:num>
  <w:num w:numId="21">
    <w:abstractNumId w:val="13"/>
  </w:num>
  <w:num w:numId="22">
    <w:abstractNumId w:val="2"/>
  </w:num>
  <w:num w:numId="23">
    <w:abstractNumId w:val="23"/>
  </w:num>
  <w:num w:numId="24">
    <w:abstractNumId w:val="24"/>
  </w:num>
  <w:num w:numId="25">
    <w:abstractNumId w:val="1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86"/>
    <w:rsid w:val="00093EB8"/>
    <w:rsid w:val="000B5072"/>
    <w:rsid w:val="000C01A3"/>
    <w:rsid w:val="000E20A9"/>
    <w:rsid w:val="00165586"/>
    <w:rsid w:val="001C548F"/>
    <w:rsid w:val="001F074D"/>
    <w:rsid w:val="002125C1"/>
    <w:rsid w:val="0025050C"/>
    <w:rsid w:val="00276295"/>
    <w:rsid w:val="00291ED9"/>
    <w:rsid w:val="00300098"/>
    <w:rsid w:val="003901E3"/>
    <w:rsid w:val="003939C7"/>
    <w:rsid w:val="004954B7"/>
    <w:rsid w:val="004F4F9B"/>
    <w:rsid w:val="005D6DD8"/>
    <w:rsid w:val="00662ECE"/>
    <w:rsid w:val="0068353A"/>
    <w:rsid w:val="006976BB"/>
    <w:rsid w:val="007375A9"/>
    <w:rsid w:val="00767595"/>
    <w:rsid w:val="007714BA"/>
    <w:rsid w:val="007856BD"/>
    <w:rsid w:val="007B2E1F"/>
    <w:rsid w:val="007D04AF"/>
    <w:rsid w:val="00813404"/>
    <w:rsid w:val="00836930"/>
    <w:rsid w:val="00837623"/>
    <w:rsid w:val="008A3D3A"/>
    <w:rsid w:val="00912C17"/>
    <w:rsid w:val="00931E64"/>
    <w:rsid w:val="00950586"/>
    <w:rsid w:val="00967D14"/>
    <w:rsid w:val="00B81067"/>
    <w:rsid w:val="00BE16A2"/>
    <w:rsid w:val="00C1724F"/>
    <w:rsid w:val="00C9396D"/>
    <w:rsid w:val="00CB0EFE"/>
    <w:rsid w:val="00CC3B73"/>
    <w:rsid w:val="00CD07DE"/>
    <w:rsid w:val="00CF0DBE"/>
    <w:rsid w:val="00E74216"/>
    <w:rsid w:val="00E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466BE-EEDA-4102-BD10-BBC4EDD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spacing w:before="120" w:after="120" w:line="240" w:lineRule="auto"/>
      <w:ind w:left="-79"/>
      <w:jc w:val="both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D680-0A10-4CDA-92C7-C81F6B5E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Константинова Евгения Александровна</cp:lastModifiedBy>
  <cp:revision>12</cp:revision>
  <cp:lastPrinted>2020-03-12T09:34:00Z</cp:lastPrinted>
  <dcterms:created xsi:type="dcterms:W3CDTF">2020-03-10T14:24:00Z</dcterms:created>
  <dcterms:modified xsi:type="dcterms:W3CDTF">2020-03-23T14:41:00Z</dcterms:modified>
</cp:coreProperties>
</file>