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2B" w:rsidRDefault="0025012B" w:rsidP="0025012B">
      <w:pPr>
        <w:rPr>
          <w:rFonts w:ascii="Garamond" w:hAnsi="Garamond"/>
          <w:b/>
          <w:sz w:val="28"/>
          <w:szCs w:val="28"/>
        </w:rPr>
      </w:pPr>
      <w:r>
        <w:rPr>
          <w:rFonts w:ascii="Garamond" w:hAnsi="Garamond"/>
          <w:b/>
          <w:sz w:val="28"/>
          <w:szCs w:val="28"/>
        </w:rPr>
        <w:t xml:space="preserve">X.1 Изменения, связанные с предоставлением документов для участия в ОПТГО </w:t>
      </w:r>
    </w:p>
    <w:p w:rsidR="00695592" w:rsidRPr="0025012B" w:rsidRDefault="00957211" w:rsidP="00957211">
      <w:pPr>
        <w:jc w:val="right"/>
        <w:rPr>
          <w:rFonts w:ascii="Garamond" w:hAnsi="Garamond"/>
          <w:b/>
          <w:sz w:val="28"/>
          <w:szCs w:val="28"/>
          <w:lang w:val="en-US"/>
        </w:rPr>
      </w:pPr>
      <w:r w:rsidRPr="00181BDD">
        <w:rPr>
          <w:rFonts w:ascii="Garamond" w:hAnsi="Garamond"/>
          <w:b/>
          <w:sz w:val="28"/>
          <w:szCs w:val="28"/>
        </w:rPr>
        <w:t xml:space="preserve">Приложение № </w:t>
      </w:r>
      <w:r w:rsidR="0025012B">
        <w:rPr>
          <w:rFonts w:ascii="Garamond" w:hAnsi="Garamond"/>
          <w:b/>
          <w:sz w:val="28"/>
          <w:szCs w:val="28"/>
          <w:lang w:val="en-US"/>
        </w:rPr>
        <w:t>10.1</w:t>
      </w:r>
    </w:p>
    <w:p w:rsidR="00957211" w:rsidRPr="00AE7F1C" w:rsidRDefault="00957211" w:rsidP="00957211">
      <w:pPr>
        <w:jc w:val="right"/>
        <w:rPr>
          <w:rFonts w:ascii="Garamond" w:hAnsi="Garamond"/>
          <w:sz w:val="28"/>
          <w:szCs w:val="28"/>
        </w:rPr>
      </w:pPr>
    </w:p>
    <w:tbl>
      <w:tblPr>
        <w:tblW w:w="14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6"/>
      </w:tblGrid>
      <w:tr w:rsidR="00695592" w:rsidRPr="001423C9" w:rsidTr="00160022">
        <w:trPr>
          <w:trHeight w:val="1278"/>
        </w:trPr>
        <w:tc>
          <w:tcPr>
            <w:tcW w:w="14406" w:type="dxa"/>
            <w:shd w:val="clear" w:color="auto" w:fill="auto"/>
          </w:tcPr>
          <w:p w:rsidR="00160022" w:rsidRPr="00160022" w:rsidRDefault="00160022" w:rsidP="000F0855">
            <w:pPr>
              <w:pStyle w:val="ConsPlusNormal"/>
              <w:ind w:firstLine="0"/>
              <w:jc w:val="both"/>
              <w:rPr>
                <w:rFonts w:ascii="Garamond" w:hAnsi="Garamond"/>
                <w:sz w:val="24"/>
                <w:szCs w:val="24"/>
              </w:rPr>
            </w:pPr>
            <w:r>
              <w:rPr>
                <w:rFonts w:ascii="Garamond" w:hAnsi="Garamond"/>
                <w:b/>
                <w:sz w:val="24"/>
                <w:szCs w:val="24"/>
              </w:rPr>
              <w:t xml:space="preserve">Инициатор: </w:t>
            </w:r>
            <w:r w:rsidRPr="00160022">
              <w:rPr>
                <w:rFonts w:ascii="Garamond" w:hAnsi="Garamond"/>
                <w:sz w:val="24"/>
                <w:szCs w:val="24"/>
              </w:rPr>
              <w:t>ООО «Альтернативная генерирующая компания-1»</w:t>
            </w:r>
          </w:p>
          <w:p w:rsidR="0017733A" w:rsidRDefault="00695592" w:rsidP="000F0855">
            <w:pPr>
              <w:pStyle w:val="ConsPlusNormal"/>
              <w:ind w:firstLine="0"/>
              <w:jc w:val="both"/>
              <w:rPr>
                <w:rFonts w:ascii="Garamond" w:hAnsi="Garamond"/>
                <w:sz w:val="24"/>
                <w:szCs w:val="24"/>
              </w:rPr>
            </w:pPr>
            <w:r w:rsidRPr="006F58EF">
              <w:rPr>
                <w:rFonts w:ascii="Garamond" w:hAnsi="Garamond"/>
                <w:b/>
                <w:sz w:val="24"/>
                <w:szCs w:val="24"/>
              </w:rPr>
              <w:t>Обоснование:</w:t>
            </w:r>
            <w:r>
              <w:rPr>
                <w:rFonts w:ascii="Garamond" w:hAnsi="Garamond"/>
                <w:sz w:val="24"/>
                <w:szCs w:val="24"/>
              </w:rPr>
              <w:t xml:space="preserve"> </w:t>
            </w:r>
            <w:r w:rsidR="00160022">
              <w:rPr>
                <w:rFonts w:ascii="Garamond" w:hAnsi="Garamond"/>
                <w:sz w:val="24"/>
                <w:szCs w:val="24"/>
              </w:rPr>
              <w:t xml:space="preserve">Предлагается внести уточняющие изменения в </w:t>
            </w:r>
            <w:r w:rsidR="00160022" w:rsidRPr="00160022">
              <w:rPr>
                <w:rFonts w:ascii="Garamond" w:hAnsi="Garamond"/>
                <w:sz w:val="24"/>
                <w:szCs w:val="24"/>
              </w:rPr>
              <w:t>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00160022">
              <w:rPr>
                <w:rFonts w:ascii="Garamond" w:hAnsi="Garamond"/>
                <w:sz w:val="24"/>
                <w:szCs w:val="24"/>
              </w:rPr>
              <w:t xml:space="preserve"> </w:t>
            </w:r>
            <w:r w:rsidR="00160022" w:rsidRPr="00160022">
              <w:rPr>
                <w:rFonts w:ascii="Garamond" w:hAnsi="Garamond"/>
                <w:sz w:val="24"/>
                <w:szCs w:val="24"/>
              </w:rPr>
              <w:t>(Приложение № 27.1 к Договору о присоединении к торговой системе оптового рынка)</w:t>
            </w:r>
            <w:r w:rsidR="00160022">
              <w:rPr>
                <w:rFonts w:ascii="Garamond" w:hAnsi="Garamond"/>
                <w:sz w:val="24"/>
                <w:szCs w:val="24"/>
              </w:rPr>
              <w:t>.</w:t>
            </w:r>
          </w:p>
          <w:p w:rsidR="00695592" w:rsidRPr="001423C9" w:rsidRDefault="00695592" w:rsidP="00160022">
            <w:pPr>
              <w:pStyle w:val="ConsPlusNormal"/>
              <w:ind w:firstLine="0"/>
              <w:jc w:val="both"/>
              <w:rPr>
                <w:rFonts w:ascii="Garamond" w:hAnsi="Garamond"/>
                <w:sz w:val="24"/>
                <w:szCs w:val="24"/>
              </w:rPr>
            </w:pPr>
            <w:r>
              <w:rPr>
                <w:rFonts w:ascii="Garamond" w:hAnsi="Garamond"/>
                <w:b/>
                <w:sz w:val="24"/>
                <w:szCs w:val="24"/>
              </w:rPr>
              <w:t>Д</w:t>
            </w:r>
            <w:r w:rsidRPr="00C31503">
              <w:rPr>
                <w:rFonts w:ascii="Garamond" w:hAnsi="Garamond"/>
                <w:b/>
                <w:sz w:val="24"/>
                <w:szCs w:val="24"/>
              </w:rPr>
              <w:t>ата вступления в силу:</w:t>
            </w:r>
            <w:r>
              <w:rPr>
                <w:rFonts w:ascii="Garamond" w:hAnsi="Garamond"/>
                <w:b/>
                <w:sz w:val="24"/>
                <w:szCs w:val="24"/>
              </w:rPr>
              <w:t xml:space="preserve"> </w:t>
            </w:r>
            <w:r w:rsidR="00160022">
              <w:rPr>
                <w:rFonts w:ascii="Garamond" w:hAnsi="Garamond"/>
                <w:sz w:val="24"/>
                <w:szCs w:val="24"/>
              </w:rPr>
              <w:t>17 мая 2017 года</w:t>
            </w:r>
            <w:r w:rsidR="00D26583">
              <w:rPr>
                <w:rFonts w:ascii="Garamond" w:hAnsi="Garamond"/>
                <w:sz w:val="24"/>
                <w:szCs w:val="24"/>
              </w:rPr>
              <w:t>.</w:t>
            </w:r>
          </w:p>
        </w:tc>
      </w:tr>
    </w:tbl>
    <w:p w:rsidR="00695592" w:rsidRDefault="00695592" w:rsidP="00695592">
      <w:pPr>
        <w:pStyle w:val="a3"/>
        <w:spacing w:after="0"/>
        <w:jc w:val="both"/>
        <w:rPr>
          <w:rFonts w:ascii="Garamond" w:hAnsi="Garamond"/>
          <w:b/>
          <w:sz w:val="26"/>
          <w:szCs w:val="26"/>
        </w:rPr>
      </w:pPr>
    </w:p>
    <w:p w:rsidR="009119A6" w:rsidRDefault="009119A6" w:rsidP="000F0855">
      <w:pPr>
        <w:jc w:val="both"/>
        <w:rPr>
          <w:rFonts w:ascii="Garamond" w:hAnsi="Garamond"/>
          <w:b/>
          <w:sz w:val="26"/>
          <w:szCs w:val="26"/>
        </w:rPr>
      </w:pPr>
      <w:r w:rsidRPr="00E20570">
        <w:rPr>
          <w:rFonts w:ascii="Garamond" w:hAnsi="Garamond"/>
          <w:b/>
          <w:sz w:val="26"/>
          <w:szCs w:val="26"/>
        </w:rPr>
        <w:t>Предложения по изменени</w:t>
      </w:r>
      <w:r>
        <w:rPr>
          <w:rFonts w:ascii="Garamond" w:hAnsi="Garamond"/>
          <w:b/>
          <w:sz w:val="26"/>
          <w:szCs w:val="26"/>
        </w:rPr>
        <w:t>ям и дополнениям в</w:t>
      </w:r>
      <w:r w:rsidRPr="00E20570">
        <w:rPr>
          <w:rFonts w:ascii="Garamond" w:hAnsi="Garamond"/>
          <w:b/>
          <w:sz w:val="26"/>
          <w:szCs w:val="26"/>
        </w:rPr>
        <w:t xml:space="preserve"> </w:t>
      </w:r>
      <w:r w:rsidR="000F0855" w:rsidRPr="000F0855">
        <w:rPr>
          <w:rFonts w:ascii="Garamond" w:hAnsi="Garamond"/>
          <w:b/>
          <w:sz w:val="26"/>
          <w:szCs w:val="26"/>
        </w:rPr>
        <w:t>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E20570">
        <w:rPr>
          <w:rFonts w:ascii="Garamond" w:hAnsi="Garamond"/>
          <w:b/>
          <w:sz w:val="26"/>
          <w:szCs w:val="26"/>
        </w:rPr>
        <w:t xml:space="preserve"> (Приложение </w:t>
      </w:r>
      <w:r>
        <w:rPr>
          <w:rFonts w:ascii="Garamond" w:hAnsi="Garamond"/>
          <w:b/>
          <w:sz w:val="26"/>
          <w:szCs w:val="26"/>
        </w:rPr>
        <w:t xml:space="preserve">№ </w:t>
      </w:r>
      <w:r w:rsidR="000F0855">
        <w:rPr>
          <w:rFonts w:ascii="Garamond" w:hAnsi="Garamond"/>
          <w:b/>
          <w:sz w:val="26"/>
          <w:szCs w:val="26"/>
        </w:rPr>
        <w:t>27.</w:t>
      </w:r>
      <w:r w:rsidRPr="00E20570">
        <w:rPr>
          <w:rFonts w:ascii="Garamond" w:hAnsi="Garamond"/>
          <w:b/>
          <w:sz w:val="26"/>
          <w:szCs w:val="26"/>
        </w:rPr>
        <w:t>1 к Договору о присоединении к торговой системе оптового рынка)</w:t>
      </w:r>
    </w:p>
    <w:p w:rsidR="0028389E" w:rsidRDefault="0028389E" w:rsidP="009119A6">
      <w:pPr>
        <w:pStyle w:val="a3"/>
        <w:spacing w:after="0"/>
        <w:ind w:left="0"/>
        <w:jc w:val="both"/>
        <w:rPr>
          <w:rFonts w:ascii="Garamond" w:hAnsi="Garamond"/>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388"/>
        <w:gridCol w:w="6751"/>
      </w:tblGrid>
      <w:tr w:rsidR="007B2674" w:rsidRPr="00B26D28" w:rsidTr="00C24D1F">
        <w:trPr>
          <w:trHeight w:val="435"/>
        </w:trPr>
        <w:tc>
          <w:tcPr>
            <w:tcW w:w="306" w:type="pct"/>
          </w:tcPr>
          <w:p w:rsidR="00001637" w:rsidRPr="00B26D28" w:rsidRDefault="00001637" w:rsidP="004D0E9A">
            <w:pPr>
              <w:jc w:val="center"/>
              <w:rPr>
                <w:rFonts w:ascii="Garamond" w:hAnsi="Garamond"/>
                <w:b/>
                <w:bCs/>
                <w:sz w:val="22"/>
                <w:szCs w:val="22"/>
              </w:rPr>
            </w:pPr>
            <w:r w:rsidRPr="00B26D28">
              <w:rPr>
                <w:rFonts w:ascii="Garamond" w:hAnsi="Garamond"/>
                <w:b/>
                <w:bCs/>
                <w:sz w:val="22"/>
                <w:szCs w:val="22"/>
              </w:rPr>
              <w:t>№ пункта</w:t>
            </w:r>
          </w:p>
        </w:tc>
        <w:tc>
          <w:tcPr>
            <w:tcW w:w="2285" w:type="pct"/>
          </w:tcPr>
          <w:p w:rsidR="00001637" w:rsidRPr="00B26D28" w:rsidRDefault="00001637" w:rsidP="004D0E9A">
            <w:pPr>
              <w:jc w:val="center"/>
              <w:rPr>
                <w:rFonts w:ascii="Garamond" w:hAnsi="Garamond"/>
                <w:b/>
                <w:sz w:val="22"/>
                <w:szCs w:val="22"/>
              </w:rPr>
            </w:pPr>
            <w:r w:rsidRPr="00B26D28">
              <w:rPr>
                <w:rFonts w:ascii="Garamond" w:hAnsi="Garamond"/>
                <w:b/>
                <w:sz w:val="22"/>
                <w:szCs w:val="22"/>
              </w:rPr>
              <w:t>Редакция, действующая на момент</w:t>
            </w:r>
          </w:p>
          <w:p w:rsidR="00001637" w:rsidRPr="00B26D28" w:rsidRDefault="00001637" w:rsidP="004D0E9A">
            <w:pPr>
              <w:jc w:val="center"/>
              <w:rPr>
                <w:rFonts w:ascii="Garamond" w:hAnsi="Garamond"/>
                <w:b/>
                <w:bCs/>
                <w:sz w:val="22"/>
                <w:szCs w:val="22"/>
              </w:rPr>
            </w:pPr>
            <w:r w:rsidRPr="00B26D28">
              <w:rPr>
                <w:rFonts w:ascii="Garamond" w:hAnsi="Garamond"/>
                <w:b/>
                <w:sz w:val="22"/>
                <w:szCs w:val="22"/>
              </w:rPr>
              <w:t xml:space="preserve"> вступления в силу изменений</w:t>
            </w:r>
          </w:p>
        </w:tc>
        <w:tc>
          <w:tcPr>
            <w:tcW w:w="2409" w:type="pct"/>
          </w:tcPr>
          <w:p w:rsidR="00001637" w:rsidRPr="00B26D28" w:rsidRDefault="00001637" w:rsidP="004D0E9A">
            <w:pPr>
              <w:ind w:firstLine="33"/>
              <w:jc w:val="center"/>
              <w:rPr>
                <w:rFonts w:ascii="Garamond" w:hAnsi="Garamond"/>
                <w:b/>
                <w:bCs/>
                <w:sz w:val="22"/>
                <w:szCs w:val="22"/>
              </w:rPr>
            </w:pPr>
            <w:r w:rsidRPr="00B26D28">
              <w:rPr>
                <w:rFonts w:ascii="Garamond" w:hAnsi="Garamond"/>
                <w:b/>
                <w:bCs/>
                <w:sz w:val="22"/>
                <w:szCs w:val="22"/>
              </w:rPr>
              <w:t>Предлагаемая редакция</w:t>
            </w:r>
            <w:r w:rsidRPr="00B26D28">
              <w:rPr>
                <w:rFonts w:ascii="Garamond" w:hAnsi="Garamond"/>
                <w:b/>
                <w:bCs/>
                <w:sz w:val="22"/>
                <w:szCs w:val="22"/>
              </w:rPr>
              <w:br/>
            </w:r>
            <w:r w:rsidRPr="00B26D28">
              <w:rPr>
                <w:rFonts w:ascii="Garamond" w:hAnsi="Garamond"/>
                <w:sz w:val="22"/>
                <w:szCs w:val="22"/>
              </w:rPr>
              <w:t>(изменения выделены цветом)</w:t>
            </w:r>
          </w:p>
        </w:tc>
      </w:tr>
      <w:tr w:rsidR="007B2674" w:rsidRPr="00B26D28" w:rsidTr="00C24D1F">
        <w:trPr>
          <w:trHeight w:val="435"/>
        </w:trPr>
        <w:tc>
          <w:tcPr>
            <w:tcW w:w="306" w:type="pct"/>
          </w:tcPr>
          <w:p w:rsidR="007B2674" w:rsidRDefault="007B2674" w:rsidP="00C24D1F">
            <w:pPr>
              <w:jc w:val="center"/>
              <w:rPr>
                <w:rFonts w:ascii="Garamond" w:hAnsi="Garamond"/>
                <w:b/>
                <w:bCs/>
                <w:sz w:val="22"/>
                <w:szCs w:val="22"/>
              </w:rPr>
            </w:pPr>
            <w:r>
              <w:rPr>
                <w:rFonts w:ascii="Garamond" w:hAnsi="Garamond"/>
                <w:b/>
                <w:bCs/>
                <w:sz w:val="22"/>
                <w:szCs w:val="22"/>
              </w:rPr>
              <w:t>Приложение  4</w:t>
            </w:r>
          </w:p>
          <w:p w:rsidR="00DB713D" w:rsidRPr="00B26D28" w:rsidRDefault="007B2674" w:rsidP="00C24D1F">
            <w:pPr>
              <w:jc w:val="center"/>
              <w:rPr>
                <w:rFonts w:ascii="Garamond" w:hAnsi="Garamond"/>
                <w:b/>
                <w:bCs/>
                <w:sz w:val="22"/>
                <w:szCs w:val="22"/>
              </w:rPr>
            </w:pPr>
            <w:r>
              <w:rPr>
                <w:rFonts w:ascii="Garamond" w:hAnsi="Garamond"/>
                <w:b/>
                <w:bCs/>
                <w:sz w:val="22"/>
                <w:szCs w:val="22"/>
              </w:rPr>
              <w:t>п.</w:t>
            </w:r>
            <w:r w:rsidR="00DB713D" w:rsidRPr="00B26D28">
              <w:rPr>
                <w:rFonts w:ascii="Garamond" w:hAnsi="Garamond"/>
                <w:b/>
                <w:bCs/>
                <w:sz w:val="22"/>
                <w:szCs w:val="22"/>
              </w:rPr>
              <w:t>2.</w:t>
            </w:r>
            <w:r w:rsidR="00C24D1F">
              <w:rPr>
                <w:rFonts w:ascii="Garamond" w:hAnsi="Garamond"/>
                <w:b/>
                <w:bCs/>
                <w:sz w:val="22"/>
                <w:szCs w:val="22"/>
              </w:rPr>
              <w:t>1.3.</w:t>
            </w:r>
          </w:p>
        </w:tc>
        <w:tc>
          <w:tcPr>
            <w:tcW w:w="2285" w:type="pct"/>
          </w:tcPr>
          <w:p w:rsidR="00C24D1F" w:rsidRPr="00C24D1F" w:rsidRDefault="00C24D1F" w:rsidP="00C24D1F">
            <w:pPr>
              <w:spacing w:after="120"/>
              <w:ind w:firstLine="492"/>
              <w:jc w:val="both"/>
              <w:rPr>
                <w:rFonts w:ascii="Garamond" w:hAnsi="Garamond"/>
                <w:sz w:val="22"/>
                <w:szCs w:val="22"/>
              </w:rPr>
            </w:pPr>
            <w:r w:rsidRPr="00C24D1F">
              <w:rPr>
                <w:rFonts w:ascii="Garamond" w:hAnsi="Garamond"/>
                <w:sz w:val="22"/>
                <w:szCs w:val="22"/>
              </w:rPr>
              <w:t xml:space="preserve">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w:t>
            </w:r>
            <w:bookmarkStart w:id="0" w:name="_GoBack"/>
            <w:bookmarkEnd w:id="0"/>
            <w:r w:rsidRPr="00C24D1F">
              <w:rPr>
                <w:rFonts w:ascii="Garamond" w:hAnsi="Garamond"/>
                <w:sz w:val="22"/>
                <w:szCs w:val="22"/>
              </w:rPr>
              <w:t>ЦФР при условии, что:</w:t>
            </w:r>
          </w:p>
          <w:p w:rsidR="00C24D1F" w:rsidRPr="00C24D1F" w:rsidRDefault="00C24D1F" w:rsidP="00C24D1F">
            <w:pPr>
              <w:spacing w:after="120"/>
              <w:ind w:firstLine="540"/>
              <w:jc w:val="both"/>
              <w:rPr>
                <w:rFonts w:ascii="Garamond" w:hAnsi="Garamond"/>
                <w:sz w:val="22"/>
                <w:szCs w:val="22"/>
              </w:rPr>
            </w:pPr>
            <w:r w:rsidRPr="00C24D1F">
              <w:rPr>
                <w:rFonts w:ascii="Garamond" w:hAnsi="Garamond"/>
                <w:sz w:val="22"/>
                <w:szCs w:val="22"/>
              </w:rPr>
              <w:t>- уведомление по форме приложения 4.1 к настоящему Регламенту и документы, указанные в п. 2.1.2 настоящего приложения, представлены в ЦФР не позднее 17 мая 2017 года;</w:t>
            </w:r>
          </w:p>
          <w:p w:rsidR="00DB713D" w:rsidRPr="00B26D28" w:rsidRDefault="00C24D1F" w:rsidP="00C24D1F">
            <w:pPr>
              <w:jc w:val="center"/>
              <w:rPr>
                <w:rFonts w:ascii="Garamond" w:hAnsi="Garamond"/>
                <w:b/>
                <w:sz w:val="22"/>
                <w:szCs w:val="22"/>
              </w:rPr>
            </w:pPr>
            <w:r w:rsidRPr="00C24D1F">
              <w:rPr>
                <w:rFonts w:ascii="Garamond" w:hAnsi="Garamond"/>
                <w:sz w:val="22"/>
                <w:szCs w:val="22"/>
              </w:rPr>
              <w:t>-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для целей заключения ДПМ ТБО.</w:t>
            </w:r>
          </w:p>
        </w:tc>
        <w:tc>
          <w:tcPr>
            <w:tcW w:w="2409" w:type="pct"/>
          </w:tcPr>
          <w:p w:rsidR="00C24D1F" w:rsidRPr="00C24D1F" w:rsidRDefault="00C24D1F" w:rsidP="00C24D1F">
            <w:pPr>
              <w:spacing w:after="120"/>
              <w:ind w:firstLine="492"/>
              <w:jc w:val="both"/>
              <w:rPr>
                <w:rFonts w:ascii="Garamond" w:hAnsi="Garamond"/>
                <w:sz w:val="22"/>
                <w:szCs w:val="22"/>
              </w:rPr>
            </w:pPr>
            <w:r w:rsidRPr="00C24D1F">
              <w:rPr>
                <w:rFonts w:ascii="Garamond" w:hAnsi="Garamond"/>
                <w:sz w:val="22"/>
                <w:szCs w:val="22"/>
              </w:rPr>
              <w:t>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ЦФР при условии, что:</w:t>
            </w:r>
          </w:p>
          <w:p w:rsidR="00C24D1F" w:rsidRPr="00C24D1F" w:rsidRDefault="00C24D1F" w:rsidP="00C24D1F">
            <w:pPr>
              <w:spacing w:after="120"/>
              <w:ind w:firstLine="540"/>
              <w:jc w:val="both"/>
              <w:rPr>
                <w:rFonts w:ascii="Garamond" w:hAnsi="Garamond"/>
                <w:sz w:val="22"/>
                <w:szCs w:val="22"/>
              </w:rPr>
            </w:pPr>
            <w:r w:rsidRPr="00C24D1F">
              <w:rPr>
                <w:rFonts w:ascii="Garamond" w:hAnsi="Garamond"/>
                <w:sz w:val="22"/>
                <w:szCs w:val="22"/>
              </w:rPr>
              <w:t xml:space="preserve">- уведомление по форме приложения 4.1 к настоящему Регламенту и документы, указанные в п. 2.1.2 настоящего приложения </w:t>
            </w:r>
            <w:r w:rsidRPr="00C24D1F">
              <w:rPr>
                <w:rFonts w:ascii="Garamond" w:hAnsi="Garamond"/>
                <w:sz w:val="22"/>
                <w:szCs w:val="22"/>
                <w:highlight w:val="yellow"/>
              </w:rPr>
              <w:t>(за исключением протоколов (решений), указанных в абзацах седьмом – девятом п.2.1.2. настоящего приложения)</w:t>
            </w:r>
            <w:r w:rsidRPr="00C24D1F">
              <w:rPr>
                <w:rFonts w:ascii="Garamond" w:hAnsi="Garamond"/>
                <w:sz w:val="22"/>
                <w:szCs w:val="22"/>
              </w:rPr>
              <w:t>, представлены в ЦФР не позднее 17 мая 2017 года;</w:t>
            </w:r>
          </w:p>
          <w:p w:rsidR="00DB713D" w:rsidRPr="00760004" w:rsidRDefault="00C24D1F" w:rsidP="00C24D1F">
            <w:pPr>
              <w:pStyle w:val="af8"/>
              <w:spacing w:after="120"/>
              <w:ind w:firstLine="612"/>
              <w:jc w:val="both"/>
              <w:rPr>
                <w:rFonts w:ascii="Garamond" w:hAnsi="Garamond"/>
                <w:bCs/>
                <w:sz w:val="22"/>
                <w:szCs w:val="22"/>
                <w:lang w:eastAsia="ru-RU"/>
              </w:rPr>
            </w:pPr>
            <w:r w:rsidRPr="00C24D1F">
              <w:rPr>
                <w:rFonts w:ascii="Garamond" w:hAnsi="Garamond"/>
                <w:sz w:val="22"/>
                <w:szCs w:val="22"/>
              </w:rPr>
              <w:t>-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для целей заключения ДПМ ТБО.</w:t>
            </w:r>
          </w:p>
        </w:tc>
      </w:tr>
      <w:tr w:rsidR="007B2674" w:rsidRPr="00B26D28" w:rsidTr="00C24D1F">
        <w:trPr>
          <w:trHeight w:val="435"/>
        </w:trPr>
        <w:tc>
          <w:tcPr>
            <w:tcW w:w="306" w:type="pct"/>
          </w:tcPr>
          <w:p w:rsidR="007B2674" w:rsidRDefault="007B2674" w:rsidP="007B2674">
            <w:pPr>
              <w:jc w:val="center"/>
              <w:rPr>
                <w:rFonts w:ascii="Garamond" w:hAnsi="Garamond"/>
                <w:b/>
                <w:bCs/>
                <w:sz w:val="22"/>
                <w:szCs w:val="22"/>
              </w:rPr>
            </w:pPr>
            <w:r>
              <w:rPr>
                <w:rFonts w:ascii="Garamond" w:hAnsi="Garamond"/>
                <w:b/>
                <w:bCs/>
                <w:sz w:val="22"/>
                <w:szCs w:val="22"/>
              </w:rPr>
              <w:t>Приложение  4</w:t>
            </w:r>
          </w:p>
          <w:p w:rsidR="00001637" w:rsidRPr="00B26D28" w:rsidRDefault="007B2674" w:rsidP="007B2674">
            <w:pPr>
              <w:spacing w:before="120" w:after="120"/>
              <w:jc w:val="center"/>
              <w:rPr>
                <w:rFonts w:ascii="Garamond" w:hAnsi="Garamond"/>
                <w:b/>
                <w:bCs/>
                <w:sz w:val="22"/>
                <w:szCs w:val="22"/>
              </w:rPr>
            </w:pPr>
            <w:r>
              <w:rPr>
                <w:rFonts w:ascii="Garamond" w:hAnsi="Garamond"/>
                <w:b/>
                <w:bCs/>
                <w:sz w:val="22"/>
                <w:szCs w:val="22"/>
              </w:rPr>
              <w:t>п.</w:t>
            </w:r>
            <w:r w:rsidR="00C24D1F" w:rsidRPr="00B26D28">
              <w:rPr>
                <w:rFonts w:ascii="Garamond" w:hAnsi="Garamond"/>
                <w:b/>
                <w:bCs/>
                <w:sz w:val="22"/>
                <w:szCs w:val="22"/>
              </w:rPr>
              <w:t>2.</w:t>
            </w:r>
            <w:r w:rsidR="00C24D1F">
              <w:rPr>
                <w:rFonts w:ascii="Garamond" w:hAnsi="Garamond"/>
                <w:b/>
                <w:bCs/>
                <w:sz w:val="22"/>
                <w:szCs w:val="22"/>
              </w:rPr>
              <w:t>1.5.</w:t>
            </w:r>
          </w:p>
        </w:tc>
        <w:tc>
          <w:tcPr>
            <w:tcW w:w="2285" w:type="pct"/>
          </w:tcPr>
          <w:p w:rsidR="00001637" w:rsidRPr="00C24D1F" w:rsidRDefault="007B2674" w:rsidP="007B2674">
            <w:pPr>
              <w:tabs>
                <w:tab w:val="left" w:pos="993"/>
                <w:tab w:val="left" w:pos="1134"/>
                <w:tab w:val="num" w:pos="1440"/>
              </w:tabs>
              <w:spacing w:after="120"/>
              <w:ind w:firstLine="540"/>
              <w:jc w:val="both"/>
              <w:rPr>
                <w:rFonts w:ascii="Garamond" w:hAnsi="Garamond"/>
                <w:b/>
                <w:sz w:val="22"/>
                <w:szCs w:val="22"/>
              </w:rPr>
            </w:pPr>
            <w:r>
              <w:rPr>
                <w:rFonts w:ascii="Garamond" w:hAnsi="Garamond"/>
                <w:b/>
                <w:sz w:val="22"/>
                <w:szCs w:val="22"/>
              </w:rPr>
              <w:t>Добавить п</w:t>
            </w:r>
            <w:r w:rsidR="00C24D1F" w:rsidRPr="00C24D1F">
              <w:rPr>
                <w:rFonts w:ascii="Garamond" w:hAnsi="Garamond"/>
                <w:b/>
                <w:sz w:val="22"/>
                <w:szCs w:val="22"/>
              </w:rPr>
              <w:t>ункт 2.1.5. с изменением последующей нумерации.</w:t>
            </w:r>
          </w:p>
        </w:tc>
        <w:tc>
          <w:tcPr>
            <w:tcW w:w="2409" w:type="pct"/>
          </w:tcPr>
          <w:p w:rsidR="00C24D1F" w:rsidRPr="00B26D28" w:rsidRDefault="00C24D1F" w:rsidP="00DF7F2A">
            <w:pPr>
              <w:tabs>
                <w:tab w:val="num" w:pos="540"/>
                <w:tab w:val="left" w:pos="1134"/>
              </w:tabs>
              <w:spacing w:after="120"/>
              <w:ind w:firstLine="540"/>
              <w:jc w:val="both"/>
              <w:rPr>
                <w:rFonts w:ascii="Garamond" w:hAnsi="Garamond"/>
                <w:sz w:val="22"/>
                <w:szCs w:val="22"/>
              </w:rPr>
            </w:pPr>
            <w:r w:rsidRPr="00C24D1F">
              <w:rPr>
                <w:rFonts w:ascii="Garamond" w:hAnsi="Garamond"/>
                <w:sz w:val="22"/>
                <w:szCs w:val="22"/>
                <w:highlight w:val="yellow"/>
              </w:rPr>
              <w:t>Протоколы (решения), указанные в абзацах седьмом – девятом п.2.1.2. настоящего приложения, представляются в ЦФР не позднее 29 мая 2017 года.</w:t>
            </w:r>
          </w:p>
        </w:tc>
      </w:tr>
      <w:tr w:rsidR="007B2674" w:rsidRPr="00B26D28" w:rsidTr="00C24D1F">
        <w:trPr>
          <w:trHeight w:val="435"/>
        </w:trPr>
        <w:tc>
          <w:tcPr>
            <w:tcW w:w="306" w:type="pct"/>
          </w:tcPr>
          <w:p w:rsidR="007B2674" w:rsidRDefault="007B2674" w:rsidP="007B2674">
            <w:pPr>
              <w:jc w:val="center"/>
              <w:rPr>
                <w:rFonts w:ascii="Garamond" w:hAnsi="Garamond"/>
                <w:b/>
                <w:bCs/>
                <w:sz w:val="22"/>
                <w:szCs w:val="22"/>
              </w:rPr>
            </w:pPr>
            <w:r>
              <w:rPr>
                <w:rFonts w:ascii="Garamond" w:hAnsi="Garamond"/>
                <w:b/>
                <w:bCs/>
                <w:sz w:val="22"/>
                <w:szCs w:val="22"/>
              </w:rPr>
              <w:t>Приложение  4</w:t>
            </w:r>
          </w:p>
          <w:p w:rsidR="00EC0C53" w:rsidRPr="00B26D28" w:rsidRDefault="007B2674" w:rsidP="007B2674">
            <w:pPr>
              <w:spacing w:before="120" w:after="120"/>
              <w:jc w:val="center"/>
              <w:rPr>
                <w:rFonts w:ascii="Garamond" w:hAnsi="Garamond"/>
                <w:b/>
                <w:bCs/>
                <w:sz w:val="22"/>
                <w:szCs w:val="22"/>
              </w:rPr>
            </w:pPr>
            <w:r>
              <w:rPr>
                <w:rFonts w:ascii="Garamond" w:hAnsi="Garamond"/>
                <w:b/>
                <w:bCs/>
                <w:sz w:val="22"/>
                <w:szCs w:val="22"/>
              </w:rPr>
              <w:lastRenderedPageBreak/>
              <w:t>п.</w:t>
            </w:r>
            <w:r w:rsidR="00EC0C53">
              <w:rPr>
                <w:rFonts w:ascii="Garamond" w:hAnsi="Garamond"/>
                <w:b/>
                <w:bCs/>
                <w:sz w:val="22"/>
                <w:szCs w:val="22"/>
              </w:rPr>
              <w:t>2.3.1.</w:t>
            </w:r>
          </w:p>
        </w:tc>
        <w:tc>
          <w:tcPr>
            <w:tcW w:w="2285" w:type="pct"/>
          </w:tcPr>
          <w:p w:rsidR="00EC0C53" w:rsidRPr="00A47BAC" w:rsidRDefault="00EC0C53" w:rsidP="00EC0C53">
            <w:pPr>
              <w:pStyle w:val="af4"/>
              <w:suppressAutoHyphens/>
              <w:spacing w:before="120" w:after="120" w:line="240" w:lineRule="auto"/>
              <w:ind w:left="709"/>
              <w:jc w:val="both"/>
              <w:rPr>
                <w:rFonts w:ascii="Garamond" w:eastAsia="Times New Roman" w:hAnsi="Garamond"/>
              </w:rPr>
            </w:pPr>
            <w:r w:rsidRPr="00A47BAC">
              <w:rPr>
                <w:rFonts w:ascii="Garamond" w:eastAsia="Times New Roman" w:hAnsi="Garamond"/>
              </w:rPr>
              <w:lastRenderedPageBreak/>
              <w:t xml:space="preserve">ЦФР не позднее 31 мая 2017 года на ОПТБО направляет </w:t>
            </w:r>
            <w:r>
              <w:rPr>
                <w:rFonts w:ascii="Garamond" w:eastAsia="Times New Roman" w:hAnsi="Garamond"/>
              </w:rPr>
              <w:t xml:space="preserve">в </w:t>
            </w:r>
            <w:r w:rsidRPr="00A47BAC">
              <w:rPr>
                <w:rFonts w:ascii="Garamond" w:eastAsia="Times New Roman" w:hAnsi="Garamond"/>
              </w:rPr>
              <w:lastRenderedPageBreak/>
              <w:t>КО:</w:t>
            </w:r>
          </w:p>
          <w:p w:rsidR="00EC0C53" w:rsidRDefault="00EC0C53" w:rsidP="00EC0C53">
            <w:pPr>
              <w:pStyle w:val="af4"/>
              <w:numPr>
                <w:ilvl w:val="0"/>
                <w:numId w:val="18"/>
              </w:numPr>
              <w:suppressAutoHyphens/>
              <w:spacing w:before="120" w:after="120" w:line="240" w:lineRule="auto"/>
              <w:ind w:left="0" w:firstLine="709"/>
              <w:jc w:val="both"/>
              <w:rPr>
                <w:rFonts w:ascii="Garamond" w:eastAsia="Times New Roman" w:hAnsi="Garamond"/>
              </w:rPr>
            </w:pPr>
            <w:r w:rsidRPr="00A47BAC">
              <w:rPr>
                <w:rFonts w:ascii="Garamond" w:eastAsia="Times New Roman" w:hAnsi="Garamond"/>
              </w:rPr>
              <w:t>Реестр заключенных Договоров коммерческого представительства для целей заключения догово</w:t>
            </w:r>
            <w:r>
              <w:rPr>
                <w:rFonts w:ascii="Garamond" w:eastAsia="Times New Roman" w:hAnsi="Garamond"/>
              </w:rPr>
              <w:t>ров поручительства по ДПМ ТБО (р</w:t>
            </w:r>
            <w:r w:rsidRPr="00A47BAC">
              <w:rPr>
                <w:rFonts w:ascii="Garamond" w:eastAsia="Times New Roman" w:hAnsi="Garamond"/>
              </w:rPr>
              <w:t>еестр передается на бумажном носителе по форме приложения 4.2 к настоящему Регламенту);</w:t>
            </w:r>
          </w:p>
          <w:p w:rsidR="00EC0C53" w:rsidRPr="00A47BAC" w:rsidRDefault="00EC0C53" w:rsidP="00EC0C53">
            <w:pPr>
              <w:pStyle w:val="af4"/>
              <w:numPr>
                <w:ilvl w:val="0"/>
                <w:numId w:val="18"/>
              </w:numPr>
              <w:suppressAutoHyphens/>
              <w:spacing w:before="120" w:after="120" w:line="240" w:lineRule="auto"/>
              <w:ind w:left="0" w:firstLine="720"/>
              <w:jc w:val="both"/>
              <w:rPr>
                <w:rFonts w:ascii="Garamond" w:eastAsia="Times New Roman" w:hAnsi="Garamond"/>
              </w:rPr>
            </w:pPr>
            <w:r w:rsidRPr="00A47BAC">
              <w:rPr>
                <w:rFonts w:ascii="Garamond" w:eastAsia="Times New Roman" w:hAnsi="Garamond"/>
              </w:rPr>
              <w:t xml:space="preserve">Реестр аккредитивов, уведомление об открытии которых получено ЦФР в соответствии с Соглашениями о порядке расчетов, связанных с уплатой штрафа по </w:t>
            </w:r>
            <w:r w:rsidRPr="00A47BAC">
              <w:rPr>
                <w:rFonts w:ascii="Garamond" w:hAnsi="Garamond"/>
              </w:rPr>
              <w:t>ДПМ ТБО</w:t>
            </w:r>
            <w:r w:rsidRPr="00A47BAC">
              <w:rPr>
                <w:rFonts w:ascii="Garamond" w:eastAsia="Times New Roman" w:hAnsi="Garamond"/>
              </w:rPr>
              <w:t xml:space="preserve"> (реестр направляется в электронном виде с электронной подписью по форме приложения 4.4 к настоящему Регламенту).</w:t>
            </w:r>
          </w:p>
          <w:p w:rsidR="00EC0C53" w:rsidRPr="00C24D1F" w:rsidRDefault="00EC0C53" w:rsidP="00001637">
            <w:pPr>
              <w:tabs>
                <w:tab w:val="left" w:pos="993"/>
                <w:tab w:val="left" w:pos="1134"/>
                <w:tab w:val="num" w:pos="1440"/>
              </w:tabs>
              <w:spacing w:after="120"/>
              <w:ind w:firstLine="540"/>
              <w:jc w:val="both"/>
              <w:rPr>
                <w:rFonts w:ascii="Garamond" w:hAnsi="Garamond"/>
                <w:b/>
                <w:sz w:val="22"/>
                <w:szCs w:val="22"/>
              </w:rPr>
            </w:pPr>
          </w:p>
        </w:tc>
        <w:tc>
          <w:tcPr>
            <w:tcW w:w="2409" w:type="pct"/>
          </w:tcPr>
          <w:p w:rsidR="00EC0C53" w:rsidRPr="00A47BAC" w:rsidRDefault="00EC0C53" w:rsidP="00EC0C53">
            <w:pPr>
              <w:pStyle w:val="af4"/>
              <w:suppressAutoHyphens/>
              <w:spacing w:before="120" w:after="120" w:line="240" w:lineRule="auto"/>
              <w:ind w:left="709"/>
              <w:jc w:val="both"/>
              <w:rPr>
                <w:rFonts w:ascii="Garamond" w:eastAsia="Times New Roman" w:hAnsi="Garamond"/>
              </w:rPr>
            </w:pPr>
            <w:r w:rsidRPr="00A47BAC">
              <w:rPr>
                <w:rFonts w:ascii="Garamond" w:eastAsia="Times New Roman" w:hAnsi="Garamond"/>
              </w:rPr>
              <w:lastRenderedPageBreak/>
              <w:t xml:space="preserve">ЦФР не позднее 31 мая 2017 года на ОПТБО направляет </w:t>
            </w:r>
            <w:r>
              <w:rPr>
                <w:rFonts w:ascii="Garamond" w:eastAsia="Times New Roman" w:hAnsi="Garamond"/>
              </w:rPr>
              <w:t xml:space="preserve">в </w:t>
            </w:r>
            <w:r w:rsidRPr="00A47BAC">
              <w:rPr>
                <w:rFonts w:ascii="Garamond" w:eastAsia="Times New Roman" w:hAnsi="Garamond"/>
              </w:rPr>
              <w:t>КО:</w:t>
            </w:r>
          </w:p>
          <w:p w:rsidR="00EC0C53" w:rsidRDefault="00EC0C53" w:rsidP="00EC0C53">
            <w:pPr>
              <w:pStyle w:val="af4"/>
              <w:numPr>
                <w:ilvl w:val="0"/>
                <w:numId w:val="18"/>
              </w:numPr>
              <w:suppressAutoHyphens/>
              <w:spacing w:before="120" w:after="120" w:line="240" w:lineRule="auto"/>
              <w:ind w:left="0" w:firstLine="709"/>
              <w:jc w:val="both"/>
              <w:rPr>
                <w:rFonts w:ascii="Garamond" w:eastAsia="Times New Roman" w:hAnsi="Garamond"/>
              </w:rPr>
            </w:pPr>
            <w:r w:rsidRPr="00A47BAC">
              <w:rPr>
                <w:rFonts w:ascii="Garamond" w:eastAsia="Times New Roman" w:hAnsi="Garamond"/>
              </w:rPr>
              <w:lastRenderedPageBreak/>
              <w:t>Реестр заключенных Договоров коммерческого представительства для целей заключения догово</w:t>
            </w:r>
            <w:r>
              <w:rPr>
                <w:rFonts w:ascii="Garamond" w:eastAsia="Times New Roman" w:hAnsi="Garamond"/>
              </w:rPr>
              <w:t>ров поручительства по ДПМ ТБО (р</w:t>
            </w:r>
            <w:r w:rsidRPr="00A47BAC">
              <w:rPr>
                <w:rFonts w:ascii="Garamond" w:eastAsia="Times New Roman" w:hAnsi="Garamond"/>
              </w:rPr>
              <w:t>еестр передается на бумажном носителе по форме приложения 4.2 к настоящему Регламенту);</w:t>
            </w:r>
          </w:p>
          <w:p w:rsidR="000175DD" w:rsidRPr="000175DD" w:rsidRDefault="000175DD" w:rsidP="000175DD">
            <w:pPr>
              <w:pStyle w:val="af4"/>
              <w:numPr>
                <w:ilvl w:val="0"/>
                <w:numId w:val="18"/>
              </w:numPr>
              <w:suppressAutoHyphens/>
              <w:spacing w:before="120" w:after="120" w:line="240" w:lineRule="auto"/>
              <w:ind w:left="0" w:firstLine="720"/>
              <w:jc w:val="both"/>
              <w:rPr>
                <w:rFonts w:ascii="Garamond" w:eastAsia="Times New Roman" w:hAnsi="Garamond"/>
                <w:highlight w:val="yellow"/>
              </w:rPr>
            </w:pPr>
            <w:r w:rsidRPr="000175DD">
              <w:rPr>
                <w:rFonts w:ascii="Garamond" w:eastAsia="Times New Roman" w:hAnsi="Garamond"/>
                <w:highlight w:val="yellow"/>
              </w:rPr>
              <w:t xml:space="preserve">Информацию о </w:t>
            </w:r>
            <w:r w:rsidRPr="00E7460F">
              <w:rPr>
                <w:rFonts w:ascii="Garamond" w:eastAsia="Times New Roman" w:hAnsi="Garamond"/>
                <w:highlight w:val="yellow"/>
              </w:rPr>
              <w:t xml:space="preserve">предоставлении </w:t>
            </w:r>
            <w:r w:rsidRPr="00E7460F">
              <w:rPr>
                <w:rFonts w:ascii="Garamond" w:hAnsi="Garamond"/>
                <w:highlight w:val="yellow"/>
              </w:rPr>
              <w:t>протоколов</w:t>
            </w:r>
            <w:r w:rsidRPr="00E7460F">
              <w:rPr>
                <w:rFonts w:ascii="Garamond" w:hAnsi="Garamond"/>
              </w:rPr>
              <w:t xml:space="preserve"> </w:t>
            </w:r>
            <w:r w:rsidRPr="000175DD">
              <w:rPr>
                <w:rFonts w:ascii="Garamond" w:hAnsi="Garamond"/>
                <w:highlight w:val="yellow"/>
              </w:rPr>
              <w:t>(решений), указанные в абзацах седьмом – девятом п.2.1.2. настоящего приложения</w:t>
            </w:r>
            <w:r>
              <w:rPr>
                <w:rFonts w:ascii="Garamond" w:hAnsi="Garamond"/>
                <w:highlight w:val="yellow"/>
              </w:rPr>
              <w:t>;</w:t>
            </w:r>
          </w:p>
          <w:p w:rsidR="00EC0C53" w:rsidRPr="00A47BAC" w:rsidRDefault="00EC0C53" w:rsidP="00EC0C53">
            <w:pPr>
              <w:pStyle w:val="af4"/>
              <w:numPr>
                <w:ilvl w:val="0"/>
                <w:numId w:val="18"/>
              </w:numPr>
              <w:suppressAutoHyphens/>
              <w:spacing w:before="120" w:after="120" w:line="240" w:lineRule="auto"/>
              <w:ind w:left="0" w:firstLine="720"/>
              <w:jc w:val="both"/>
              <w:rPr>
                <w:rFonts w:ascii="Garamond" w:eastAsia="Times New Roman" w:hAnsi="Garamond"/>
              </w:rPr>
            </w:pPr>
            <w:r w:rsidRPr="00A47BAC">
              <w:rPr>
                <w:rFonts w:ascii="Garamond" w:eastAsia="Times New Roman" w:hAnsi="Garamond"/>
              </w:rPr>
              <w:t xml:space="preserve">Реестр аккредитивов, уведомление об открытии которых получено ЦФР в соответствии с Соглашениями о порядке расчетов, связанных с уплатой штрафа по </w:t>
            </w:r>
            <w:r w:rsidRPr="00A47BAC">
              <w:rPr>
                <w:rFonts w:ascii="Garamond" w:hAnsi="Garamond"/>
              </w:rPr>
              <w:t>ДПМ ТБО</w:t>
            </w:r>
            <w:r w:rsidRPr="00A47BAC">
              <w:rPr>
                <w:rFonts w:ascii="Garamond" w:eastAsia="Times New Roman" w:hAnsi="Garamond"/>
              </w:rPr>
              <w:t xml:space="preserve"> (реестр направляется в электронном виде с электронной подписью по форме приложения 4.4 к настоящему Регламенту).</w:t>
            </w:r>
          </w:p>
          <w:p w:rsidR="00EC0C53" w:rsidRPr="00C24D1F" w:rsidRDefault="00EC0C53" w:rsidP="00DF7F2A">
            <w:pPr>
              <w:tabs>
                <w:tab w:val="num" w:pos="540"/>
                <w:tab w:val="left" w:pos="1134"/>
              </w:tabs>
              <w:spacing w:after="120"/>
              <w:ind w:firstLine="540"/>
              <w:jc w:val="both"/>
              <w:rPr>
                <w:rFonts w:ascii="Garamond" w:hAnsi="Garamond"/>
                <w:sz w:val="22"/>
                <w:szCs w:val="22"/>
                <w:highlight w:val="yellow"/>
              </w:rPr>
            </w:pPr>
          </w:p>
        </w:tc>
      </w:tr>
      <w:tr w:rsidR="007B2674" w:rsidRPr="00B26D28" w:rsidTr="00C24D1F">
        <w:trPr>
          <w:trHeight w:val="435"/>
        </w:trPr>
        <w:tc>
          <w:tcPr>
            <w:tcW w:w="306" w:type="pct"/>
          </w:tcPr>
          <w:p w:rsidR="00DF7F2A" w:rsidRPr="00B26D28" w:rsidRDefault="00DF7F2A" w:rsidP="00001637">
            <w:pPr>
              <w:spacing w:before="120" w:after="120"/>
              <w:jc w:val="center"/>
              <w:rPr>
                <w:rFonts w:ascii="Garamond" w:hAnsi="Garamond"/>
                <w:b/>
                <w:bCs/>
                <w:sz w:val="22"/>
                <w:szCs w:val="22"/>
              </w:rPr>
            </w:pPr>
            <w:r>
              <w:rPr>
                <w:rFonts w:ascii="Garamond" w:hAnsi="Garamond"/>
                <w:b/>
                <w:bCs/>
                <w:sz w:val="22"/>
                <w:szCs w:val="22"/>
              </w:rPr>
              <w:lastRenderedPageBreak/>
              <w:t>4.2.1.</w:t>
            </w:r>
          </w:p>
        </w:tc>
        <w:tc>
          <w:tcPr>
            <w:tcW w:w="2285" w:type="pct"/>
          </w:tcPr>
          <w:p w:rsidR="00DF7F2A" w:rsidRDefault="00DF7F2A" w:rsidP="00AB461B">
            <w:pPr>
              <w:tabs>
                <w:tab w:val="num" w:pos="540"/>
                <w:tab w:val="left" w:pos="1134"/>
              </w:tabs>
              <w:spacing w:after="120"/>
              <w:ind w:firstLine="540"/>
              <w:jc w:val="both"/>
              <w:rPr>
                <w:rFonts w:ascii="Garamond" w:hAnsi="Garamond"/>
                <w:sz w:val="22"/>
                <w:szCs w:val="22"/>
              </w:rPr>
            </w:pPr>
            <w:r>
              <w:rPr>
                <w:rFonts w:ascii="Garamond" w:hAnsi="Garamond"/>
                <w:sz w:val="22"/>
                <w:szCs w:val="22"/>
              </w:rPr>
              <w:t>…</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20)</w:t>
            </w:r>
            <w:r w:rsidRPr="00DF7F2A">
              <w:rPr>
                <w:rFonts w:ascii="Garamond" w:hAnsi="Garamond"/>
                <w:sz w:val="22"/>
                <w:szCs w:val="22"/>
              </w:rPr>
              <w:tab/>
              <w:t>представленное участником ОПТБО обеспечение исполнения его обязательств, возникающих по результатам ОПТБО, соответствует требованиям приложения 4 к настоящему Регламенту.</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Если способом обеспечения исполнения обязательств участника ОПТБО, возникающих по результатам ОПТБО,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 (-ы) быть зарегистрирована (-ны)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и суммарная установленная мощность которой (-ых) в соответствии с реестром субъектов оптового рынка превышает 2500 МВт.</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xml:space="preserve">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w:t>
            </w:r>
            <w:r w:rsidRPr="002210C6">
              <w:rPr>
                <w:rFonts w:ascii="Garamond" w:hAnsi="Garamond"/>
                <w:sz w:val="22"/>
                <w:szCs w:val="22"/>
                <w:highlight w:val="yellow"/>
              </w:rPr>
              <w:t>должен быть</w:t>
            </w:r>
            <w:r w:rsidRPr="00DF7F2A">
              <w:rPr>
                <w:rFonts w:ascii="Garamond" w:hAnsi="Garamond"/>
                <w:sz w:val="22"/>
                <w:szCs w:val="22"/>
              </w:rPr>
              <w:t xml:space="preserve"> заключен договор коммерческого представительства для целей </w:t>
            </w:r>
            <w:r w:rsidRPr="00DF7F2A">
              <w:rPr>
                <w:rFonts w:ascii="Garamond" w:hAnsi="Garamond"/>
                <w:sz w:val="22"/>
                <w:szCs w:val="22"/>
              </w:rPr>
              <w:lastRenderedPageBreak/>
              <w:t>заключения договоров поручительства для обеспечения исполнения обязательств поставщика мощности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 При этом суммарная установленная мощность ГТП генерации, в отношении которой (-ых) участник оптового рынка – поручитель по соответствующему объекту ДПМ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превышает 2500 МВт.</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 то в отношении объекта ТБО до даты начала срока подачи заявок должны быть выполнены одновременно следующие условия:</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участником ОПТБО заключено Соглашение об оплате штрафов по ДПМ ТБО по аккредитиву, с указанием соответствующего кода ГТП генерации объекта ТБО (при этом код ГТП генерации, местонахождение, год начала поставки мощности, указанные в данном соглашении, должны соответствовать аналогичным параметрам, указанным в заявке на ОПТБО);</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ЦФР принят аккредитив, открытый участником ОПТБО в соответствии с приложением 4 к настоящему Регламенту;</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Соответствие заявки на ОПТБО требованиям настоящего пункта устанавливается КО на основании:</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предоставление поручительства третьего лица;</w:t>
            </w:r>
          </w:p>
          <w:p w:rsidR="00DF7F2A" w:rsidRPr="00DF7F2A" w:rsidRDefault="00DF7F2A" w:rsidP="00AB461B">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lastRenderedPageBreak/>
              <w:t>– данных Реестра аккредитивов, уведомление об открытии которых получено ЦФР в соответствии с соглашениями о порядке расчетов, связанных с уплатой штрафа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w:t>
            </w:r>
          </w:p>
          <w:p w:rsidR="00DF7F2A" w:rsidRPr="00DF7F2A" w:rsidRDefault="00DF7F2A" w:rsidP="00AB461B">
            <w:pPr>
              <w:tabs>
                <w:tab w:val="num" w:pos="540"/>
                <w:tab w:val="left" w:pos="1134"/>
              </w:tabs>
              <w:spacing w:after="120"/>
              <w:ind w:firstLine="540"/>
              <w:jc w:val="both"/>
              <w:rPr>
                <w:rFonts w:ascii="Garamond" w:hAnsi="Garamond"/>
                <w:sz w:val="22"/>
                <w:szCs w:val="22"/>
                <w:highlight w:val="yellow"/>
              </w:rPr>
            </w:pPr>
            <w:r w:rsidRPr="00DF7F2A">
              <w:rPr>
                <w:rFonts w:ascii="Garamond" w:hAnsi="Garamond"/>
                <w:sz w:val="22"/>
                <w:szCs w:val="22"/>
              </w:rPr>
              <w:t>При этом в отношении заявок участников ОПТБО, обеспечением по которым является поручительство участника оптового рынка – поставщика либо штраф, оплата которого осуществляется по ДПМ ТБО, величина обеспечения исполнения обязательств, предоставленного участником ОПТБО в отношении объекта ТБО, указанного в заявке, должна составлять не менее объема обеспечения исполнения обязательств, рассчитанного в соответствии с пунктом 1.2 приложения 4 к настоящему Регламенту.</w:t>
            </w:r>
          </w:p>
        </w:tc>
        <w:tc>
          <w:tcPr>
            <w:tcW w:w="2409" w:type="pct"/>
          </w:tcPr>
          <w:p w:rsidR="00DF7F2A" w:rsidRDefault="00DF7F2A" w:rsidP="00DF7F2A">
            <w:pPr>
              <w:tabs>
                <w:tab w:val="num" w:pos="540"/>
                <w:tab w:val="left" w:pos="1134"/>
              </w:tabs>
              <w:spacing w:after="120"/>
              <w:ind w:firstLine="540"/>
              <w:jc w:val="both"/>
              <w:rPr>
                <w:rFonts w:ascii="Garamond" w:hAnsi="Garamond"/>
                <w:sz w:val="22"/>
                <w:szCs w:val="22"/>
              </w:rPr>
            </w:pPr>
            <w:r>
              <w:rPr>
                <w:rFonts w:ascii="Garamond" w:hAnsi="Garamond"/>
                <w:sz w:val="22"/>
                <w:szCs w:val="22"/>
              </w:rPr>
              <w:lastRenderedPageBreak/>
              <w:t>…</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20)</w:t>
            </w:r>
            <w:r w:rsidRPr="00DF7F2A">
              <w:rPr>
                <w:rFonts w:ascii="Garamond" w:hAnsi="Garamond"/>
                <w:sz w:val="22"/>
                <w:szCs w:val="22"/>
              </w:rPr>
              <w:tab/>
              <w:t>представленное участником ОПТБО обеспечение исполнения его обязательств, возникающих по результатам ОПТБО, соответствует требованиям приложения 4 к настоящему Регламенту.</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Если способом обеспечения исполнения обязательств участника ОПТБО, возникающих по результатам ОПТБО,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 (-ы) быть зарегистрирована (-ны)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и суммарная установленная мощность которой (-ых) в соответствии с реестром субъектов оптового рынка превышает 2500 МВт.</w:t>
            </w:r>
          </w:p>
          <w:p w:rsid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xml:space="preserve">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w:t>
            </w:r>
            <w:r>
              <w:rPr>
                <w:rFonts w:ascii="Garamond" w:hAnsi="Garamond"/>
                <w:sz w:val="22"/>
                <w:szCs w:val="22"/>
              </w:rPr>
              <w:t xml:space="preserve">начала срока подачи заявок </w:t>
            </w:r>
            <w:r w:rsidRPr="002210C6">
              <w:rPr>
                <w:rFonts w:ascii="Garamond" w:hAnsi="Garamond"/>
                <w:sz w:val="22"/>
                <w:szCs w:val="22"/>
                <w:highlight w:val="yellow"/>
              </w:rPr>
              <w:t>должны быть</w:t>
            </w:r>
            <w:r>
              <w:rPr>
                <w:rFonts w:ascii="Garamond" w:hAnsi="Garamond"/>
                <w:sz w:val="22"/>
                <w:szCs w:val="22"/>
              </w:rPr>
              <w:t xml:space="preserve"> </w:t>
            </w:r>
            <w:r w:rsidRPr="00DF7F2A">
              <w:rPr>
                <w:rFonts w:ascii="Garamond" w:hAnsi="Garamond"/>
                <w:sz w:val="22"/>
                <w:szCs w:val="22"/>
                <w:highlight w:val="yellow"/>
              </w:rPr>
              <w:t>выполнены одновременно следующие условия:</w:t>
            </w:r>
          </w:p>
          <w:p w:rsidR="00DF7F2A" w:rsidRDefault="00DF7F2A" w:rsidP="00DF7F2A">
            <w:pPr>
              <w:tabs>
                <w:tab w:val="num" w:pos="540"/>
                <w:tab w:val="left" w:pos="1134"/>
              </w:tabs>
              <w:spacing w:after="120"/>
              <w:ind w:firstLine="540"/>
              <w:jc w:val="both"/>
              <w:rPr>
                <w:rFonts w:ascii="Garamond" w:hAnsi="Garamond"/>
                <w:sz w:val="22"/>
                <w:szCs w:val="22"/>
              </w:rPr>
            </w:pPr>
            <w:r>
              <w:rPr>
                <w:rFonts w:ascii="Garamond" w:hAnsi="Garamond"/>
                <w:sz w:val="22"/>
                <w:szCs w:val="22"/>
              </w:rPr>
              <w:t>-</w:t>
            </w:r>
            <w:r w:rsidRPr="00DF7F2A">
              <w:rPr>
                <w:rFonts w:ascii="Garamond" w:hAnsi="Garamond"/>
                <w:sz w:val="22"/>
                <w:szCs w:val="22"/>
              </w:rPr>
              <w:t xml:space="preserve"> заключен договор коммерческого представительства для целей </w:t>
            </w:r>
            <w:r w:rsidRPr="00DF7F2A">
              <w:rPr>
                <w:rFonts w:ascii="Garamond" w:hAnsi="Garamond"/>
                <w:sz w:val="22"/>
                <w:szCs w:val="22"/>
              </w:rPr>
              <w:lastRenderedPageBreak/>
              <w:t>заключения договоров поручительства для обеспечения исполнения обязательств поставщика мощности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w:t>
            </w:r>
            <w:r>
              <w:rPr>
                <w:rFonts w:ascii="Garamond" w:hAnsi="Garamond"/>
                <w:sz w:val="22"/>
                <w:szCs w:val="22"/>
              </w:rPr>
              <w:t>;</w:t>
            </w:r>
          </w:p>
          <w:p w:rsidR="00DF7F2A" w:rsidRPr="00DF7F2A" w:rsidRDefault="00DF7F2A" w:rsidP="00DF7F2A">
            <w:pPr>
              <w:tabs>
                <w:tab w:val="num" w:pos="540"/>
                <w:tab w:val="left" w:pos="1134"/>
              </w:tabs>
              <w:spacing w:after="120"/>
              <w:ind w:firstLine="540"/>
              <w:jc w:val="both"/>
              <w:rPr>
                <w:rFonts w:ascii="Garamond" w:hAnsi="Garamond"/>
                <w:sz w:val="22"/>
                <w:szCs w:val="22"/>
              </w:rPr>
            </w:pPr>
            <w:r>
              <w:rPr>
                <w:rFonts w:ascii="Garamond" w:hAnsi="Garamond"/>
                <w:sz w:val="22"/>
                <w:szCs w:val="22"/>
                <w:highlight w:val="yellow"/>
              </w:rPr>
              <w:t xml:space="preserve">- ЦФР получены </w:t>
            </w:r>
            <w:r w:rsidR="00DA48ED">
              <w:rPr>
                <w:rFonts w:ascii="Garamond" w:hAnsi="Garamond"/>
                <w:sz w:val="22"/>
                <w:szCs w:val="22"/>
                <w:highlight w:val="yellow"/>
              </w:rPr>
              <w:t xml:space="preserve">надлежащим образом оформленные </w:t>
            </w:r>
            <w:r>
              <w:rPr>
                <w:rFonts w:ascii="Garamond" w:hAnsi="Garamond"/>
                <w:sz w:val="22"/>
                <w:szCs w:val="22"/>
                <w:highlight w:val="yellow"/>
              </w:rPr>
              <w:t>п</w:t>
            </w:r>
            <w:r w:rsidRPr="00C24D1F">
              <w:rPr>
                <w:rFonts w:ascii="Garamond" w:hAnsi="Garamond"/>
                <w:sz w:val="22"/>
                <w:szCs w:val="22"/>
                <w:highlight w:val="yellow"/>
              </w:rPr>
              <w:t>ротоколы (решения), указанные в абзацах седьмом – девятом п.2.1.2. приложения</w:t>
            </w:r>
            <w:r w:rsidR="00E7460F">
              <w:rPr>
                <w:rFonts w:ascii="Garamond" w:hAnsi="Garamond"/>
                <w:sz w:val="22"/>
                <w:szCs w:val="22"/>
                <w:highlight w:val="yellow"/>
              </w:rPr>
              <w:t xml:space="preserve"> 4 к настоящему Реглменту</w:t>
            </w:r>
            <w:r w:rsidRPr="00C24D1F">
              <w:rPr>
                <w:rFonts w:ascii="Garamond" w:hAnsi="Garamond"/>
                <w:sz w:val="22"/>
                <w:szCs w:val="22"/>
                <w:highlight w:val="yellow"/>
              </w:rPr>
              <w:t>, не позднее 29 мая 2017 года</w:t>
            </w:r>
            <w:r w:rsidRPr="00DF7F2A">
              <w:rPr>
                <w:rFonts w:ascii="Garamond" w:hAnsi="Garamond"/>
                <w:sz w:val="22"/>
                <w:szCs w:val="22"/>
              </w:rPr>
              <w:t>. При этом суммарная установленная мощность ГТП генерации, в отношении которой (-ых) участник оптового рынка – поручитель по соответствующему объекту ДПМ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превышает 2500 МВт.</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 то в отношении объекта ТБО до даты начала срока подачи заявок должны быть выполнены одновременно следующие условия:</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участником ОПТБО заключено Соглашение об оплате штрафов по ДПМ ТБО по аккредитиву, с указанием соответствующего кода ГТП генерации объекта ТБО (при этом код ГТП генерации, местонахождение, год начала поставки мощности, указанные в данном соглашении, должны соответствовать аналогичным параметрам, указанным в заявке на ОПТБО);</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ЦФР принят аккредитив, открытый участником ОПТБО в соответствии с приложением 4 к настоящему Регламенту;</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Соответствие заявки на ОПТБО требованиям настоящего пункта устанавливается КО на основании:</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2.3.1 приложения 4 к настоящему Регламенту,</w:t>
            </w:r>
            <w:r>
              <w:rPr>
                <w:rFonts w:ascii="Garamond" w:hAnsi="Garamond"/>
                <w:sz w:val="22"/>
                <w:szCs w:val="22"/>
              </w:rPr>
              <w:t xml:space="preserve"> </w:t>
            </w:r>
            <w:r w:rsidRPr="00DF7F2A">
              <w:rPr>
                <w:rFonts w:ascii="Garamond" w:hAnsi="Garamond"/>
                <w:sz w:val="22"/>
                <w:szCs w:val="22"/>
                <w:highlight w:val="yellow"/>
              </w:rPr>
              <w:t xml:space="preserve">и </w:t>
            </w:r>
            <w:r w:rsidR="004B79ED">
              <w:rPr>
                <w:rFonts w:ascii="Garamond" w:hAnsi="Garamond"/>
                <w:sz w:val="22"/>
                <w:szCs w:val="22"/>
                <w:highlight w:val="yellow"/>
              </w:rPr>
              <w:t>информации</w:t>
            </w:r>
            <w:r w:rsidRPr="00DF7F2A">
              <w:rPr>
                <w:rFonts w:ascii="Garamond" w:hAnsi="Garamond"/>
                <w:sz w:val="22"/>
                <w:szCs w:val="22"/>
                <w:highlight w:val="yellow"/>
              </w:rPr>
              <w:t xml:space="preserve"> о полученных ЦФР</w:t>
            </w:r>
            <w:r>
              <w:rPr>
                <w:rFonts w:ascii="Garamond" w:hAnsi="Garamond"/>
                <w:sz w:val="22"/>
                <w:szCs w:val="22"/>
              </w:rPr>
              <w:t xml:space="preserve"> </w:t>
            </w:r>
            <w:r>
              <w:rPr>
                <w:rFonts w:ascii="Garamond" w:hAnsi="Garamond"/>
                <w:sz w:val="22"/>
                <w:szCs w:val="22"/>
                <w:highlight w:val="yellow"/>
              </w:rPr>
              <w:t>п</w:t>
            </w:r>
            <w:r w:rsidRPr="00C24D1F">
              <w:rPr>
                <w:rFonts w:ascii="Garamond" w:hAnsi="Garamond"/>
                <w:sz w:val="22"/>
                <w:szCs w:val="22"/>
                <w:highlight w:val="yellow"/>
              </w:rPr>
              <w:t>ротокол</w:t>
            </w:r>
            <w:r w:rsidR="00DA48ED">
              <w:rPr>
                <w:rFonts w:ascii="Garamond" w:hAnsi="Garamond"/>
                <w:sz w:val="22"/>
                <w:szCs w:val="22"/>
                <w:highlight w:val="yellow"/>
              </w:rPr>
              <w:t>ах</w:t>
            </w:r>
            <w:r>
              <w:rPr>
                <w:rFonts w:ascii="Garamond" w:hAnsi="Garamond"/>
                <w:sz w:val="22"/>
                <w:szCs w:val="22"/>
                <w:highlight w:val="yellow"/>
              </w:rPr>
              <w:t xml:space="preserve"> (решени</w:t>
            </w:r>
            <w:r w:rsidR="00DA48ED">
              <w:rPr>
                <w:rFonts w:ascii="Garamond" w:hAnsi="Garamond"/>
                <w:sz w:val="22"/>
                <w:szCs w:val="22"/>
                <w:highlight w:val="yellow"/>
              </w:rPr>
              <w:t>ях</w:t>
            </w:r>
            <w:r>
              <w:rPr>
                <w:rFonts w:ascii="Garamond" w:hAnsi="Garamond"/>
                <w:sz w:val="22"/>
                <w:szCs w:val="22"/>
                <w:highlight w:val="yellow"/>
              </w:rPr>
              <w:t>), указанных</w:t>
            </w:r>
            <w:r w:rsidRPr="00C24D1F">
              <w:rPr>
                <w:rFonts w:ascii="Garamond" w:hAnsi="Garamond"/>
                <w:sz w:val="22"/>
                <w:szCs w:val="22"/>
                <w:highlight w:val="yellow"/>
              </w:rPr>
              <w:t xml:space="preserve"> в абзацах седьмом – девятом п.2.1.2.  приложения</w:t>
            </w:r>
            <w:r w:rsidR="007B2674">
              <w:rPr>
                <w:rFonts w:ascii="Garamond" w:hAnsi="Garamond"/>
                <w:sz w:val="22"/>
                <w:szCs w:val="22"/>
                <w:highlight w:val="yellow"/>
              </w:rPr>
              <w:t xml:space="preserve"> 4 к настоящему Регламенту</w:t>
            </w:r>
            <w:r w:rsidRPr="00C24D1F">
              <w:rPr>
                <w:rFonts w:ascii="Garamond" w:hAnsi="Garamond"/>
                <w:sz w:val="22"/>
                <w:szCs w:val="22"/>
                <w:highlight w:val="yellow"/>
              </w:rPr>
              <w:t>,</w:t>
            </w:r>
            <w:r>
              <w:rPr>
                <w:rFonts w:ascii="Garamond" w:hAnsi="Garamond"/>
                <w:sz w:val="22"/>
                <w:szCs w:val="22"/>
              </w:rPr>
              <w:t xml:space="preserve"> </w:t>
            </w:r>
            <w:r w:rsidRPr="00DF7F2A">
              <w:rPr>
                <w:rFonts w:ascii="Garamond" w:hAnsi="Garamond"/>
                <w:sz w:val="22"/>
                <w:szCs w:val="22"/>
              </w:rPr>
              <w:t xml:space="preserve">– в случае, если </w:t>
            </w:r>
            <w:r w:rsidRPr="00DF7F2A">
              <w:rPr>
                <w:rFonts w:ascii="Garamond" w:hAnsi="Garamond"/>
                <w:sz w:val="22"/>
                <w:szCs w:val="22"/>
              </w:rPr>
              <w:lastRenderedPageBreak/>
              <w:t>способом обеспечения исполнения обязательств участника ОПТБО, возникающих по результатам ОПТБО, является предоставление поручительства третьего лица;</w:t>
            </w:r>
          </w:p>
          <w:p w:rsidR="00DF7F2A" w:rsidRPr="00DF7F2A" w:rsidRDefault="00DF7F2A" w:rsidP="00DF7F2A">
            <w:pPr>
              <w:tabs>
                <w:tab w:val="num" w:pos="540"/>
                <w:tab w:val="left" w:pos="1134"/>
              </w:tabs>
              <w:spacing w:after="120"/>
              <w:ind w:firstLine="540"/>
              <w:jc w:val="both"/>
              <w:rPr>
                <w:rFonts w:ascii="Garamond" w:hAnsi="Garamond"/>
                <w:sz w:val="22"/>
                <w:szCs w:val="22"/>
              </w:rPr>
            </w:pPr>
            <w:r w:rsidRPr="00DF7F2A">
              <w:rPr>
                <w:rFonts w:ascii="Garamond" w:hAnsi="Garamond"/>
                <w:sz w:val="22"/>
                <w:szCs w:val="22"/>
              </w:rPr>
              <w:t>– данных Реестра аккредитивов, уведомление об открытии которых получено ЦФР в соответствии с соглашениями о порядке расчетов, связанных с уплатой штрафа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w:t>
            </w:r>
          </w:p>
          <w:p w:rsidR="00DF7F2A" w:rsidRPr="00DF7F2A" w:rsidRDefault="00DF7F2A" w:rsidP="00DF7F2A">
            <w:pPr>
              <w:tabs>
                <w:tab w:val="num" w:pos="540"/>
                <w:tab w:val="left" w:pos="1134"/>
              </w:tabs>
              <w:spacing w:after="120"/>
              <w:ind w:firstLine="540"/>
              <w:jc w:val="both"/>
              <w:rPr>
                <w:rFonts w:ascii="Garamond" w:hAnsi="Garamond"/>
                <w:sz w:val="22"/>
                <w:szCs w:val="22"/>
                <w:highlight w:val="yellow"/>
              </w:rPr>
            </w:pPr>
            <w:r w:rsidRPr="00DF7F2A">
              <w:rPr>
                <w:rFonts w:ascii="Garamond" w:hAnsi="Garamond"/>
                <w:sz w:val="22"/>
                <w:szCs w:val="22"/>
              </w:rPr>
              <w:t>При этом в отношении заявок участников ОПТБО, обеспечением по которым является поручительство участника оптового рынка – поставщика либо штраф, оплата которого осуществляется по ДПМ ТБО, величина обеспечения исполнения обязательств, предоставленного участником ОПТБО в отношении объекта ТБО, указанного в заявке, должна составлять не менее объема обеспечения исполнения обязательств, рассчитанного в соответствии с пунктом 1.2 приложения 4 к настоящему Регламенту.</w:t>
            </w:r>
          </w:p>
        </w:tc>
      </w:tr>
    </w:tbl>
    <w:p w:rsidR="00001637" w:rsidRDefault="00001637" w:rsidP="009119A6">
      <w:pPr>
        <w:pStyle w:val="a3"/>
        <w:spacing w:after="0"/>
        <w:ind w:left="0"/>
        <w:jc w:val="both"/>
        <w:rPr>
          <w:rFonts w:ascii="Garamond" w:hAnsi="Garamond"/>
          <w:b/>
          <w:sz w:val="26"/>
          <w:szCs w:val="26"/>
        </w:rPr>
      </w:pPr>
    </w:p>
    <w:sectPr w:rsidR="00001637" w:rsidSect="007C2CF4">
      <w:pgSz w:w="16838" w:h="11906" w:orient="landscape" w:code="123"/>
      <w:pgMar w:top="1134" w:right="851" w:bottom="70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8AC" w:rsidRDefault="007968AC" w:rsidP="00856353">
      <w:r>
        <w:separator/>
      </w:r>
    </w:p>
  </w:endnote>
  <w:endnote w:type="continuationSeparator" w:id="0">
    <w:p w:rsidR="007968AC" w:rsidRDefault="007968AC" w:rsidP="0085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NewsGoth Dm BT">
    <w:altName w:val="Arial"/>
    <w:panose1 w:val="00000000000000000000"/>
    <w:charset w:val="00"/>
    <w:family w:val="swiss"/>
    <w:notTrueType/>
    <w:pitch w:val="variable"/>
    <w:sig w:usb0="00000003" w:usb1="00000000" w:usb2="00000000" w:usb3="00000000" w:csb0="00000001" w:csb1="00000000"/>
  </w:font>
  <w:font w:name="NewsGoth Lt BT">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8AC" w:rsidRDefault="007968AC" w:rsidP="00856353">
      <w:r>
        <w:separator/>
      </w:r>
    </w:p>
  </w:footnote>
  <w:footnote w:type="continuationSeparator" w:id="0">
    <w:p w:rsidR="007968AC" w:rsidRDefault="007968AC" w:rsidP="00856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2"/>
    <w:lvl w:ilvl="0">
      <w:start w:val="1"/>
      <w:numFmt w:val="bullet"/>
      <w:lvlText w:val=""/>
      <w:lvlJc w:val="left"/>
      <w:pPr>
        <w:tabs>
          <w:tab w:val="num" w:pos="720"/>
        </w:tabs>
        <w:ind w:left="0" w:firstLine="0"/>
      </w:pPr>
      <w:rPr>
        <w:rFonts w:ascii="Symbol" w:hAnsi="Symbol"/>
      </w:rPr>
    </w:lvl>
  </w:abstractNum>
  <w:abstractNum w:abstractNumId="1">
    <w:nsid w:val="051061F3"/>
    <w:multiLevelType w:val="multilevel"/>
    <w:tmpl w:val="75301F8E"/>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6A1076B"/>
    <w:multiLevelType w:val="multilevel"/>
    <w:tmpl w:val="130285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pStyle w:val="4"/>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07DF1F76"/>
    <w:multiLevelType w:val="hybridMultilevel"/>
    <w:tmpl w:val="7676F3B6"/>
    <w:lvl w:ilvl="0" w:tplc="4E905A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C4D735F"/>
    <w:multiLevelType w:val="hybridMultilevel"/>
    <w:tmpl w:val="CD3288F2"/>
    <w:lvl w:ilvl="0" w:tplc="4E905A00">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5">
    <w:nsid w:val="27911272"/>
    <w:multiLevelType w:val="multilevel"/>
    <w:tmpl w:val="E206A4B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1F7790"/>
    <w:multiLevelType w:val="hybridMultilevel"/>
    <w:tmpl w:val="44EC6BE0"/>
    <w:lvl w:ilvl="0" w:tplc="4E905A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58E4C28"/>
    <w:multiLevelType w:val="multilevel"/>
    <w:tmpl w:val="E206A4B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BB61C3"/>
    <w:multiLevelType w:val="hybridMultilevel"/>
    <w:tmpl w:val="74F8EA3C"/>
    <w:lvl w:ilvl="0" w:tplc="02EC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E04AFE"/>
    <w:multiLevelType w:val="hybridMultilevel"/>
    <w:tmpl w:val="6C08E538"/>
    <w:lvl w:ilvl="0" w:tplc="4E905A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7C87F2E"/>
    <w:multiLevelType w:val="hybridMultilevel"/>
    <w:tmpl w:val="BC8868BA"/>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8C4CBB"/>
    <w:multiLevelType w:val="hybridMultilevel"/>
    <w:tmpl w:val="B5725D7E"/>
    <w:lvl w:ilvl="0" w:tplc="7BC807C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4CAC1BB7"/>
    <w:multiLevelType w:val="hybridMultilevel"/>
    <w:tmpl w:val="FA16D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E00C53"/>
    <w:multiLevelType w:val="hybridMultilevel"/>
    <w:tmpl w:val="E6E6C952"/>
    <w:lvl w:ilvl="0" w:tplc="4E905A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604E5CF2"/>
    <w:multiLevelType w:val="multilevel"/>
    <w:tmpl w:val="116E2304"/>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66E538F1"/>
    <w:multiLevelType w:val="hybridMultilevel"/>
    <w:tmpl w:val="A1C6C0DE"/>
    <w:lvl w:ilvl="0" w:tplc="4E905A00">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8F67621"/>
    <w:multiLevelType w:val="hybridMultilevel"/>
    <w:tmpl w:val="39BC4B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65609EF"/>
    <w:multiLevelType w:val="multilevel"/>
    <w:tmpl w:val="116E2304"/>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4"/>
  </w:num>
  <w:num w:numId="3">
    <w:abstractNumId w:val="16"/>
  </w:num>
  <w:num w:numId="4">
    <w:abstractNumId w:val="11"/>
  </w:num>
  <w:num w:numId="5">
    <w:abstractNumId w:val="0"/>
  </w:num>
  <w:num w:numId="6">
    <w:abstractNumId w:val="8"/>
  </w:num>
  <w:num w:numId="7">
    <w:abstractNumId w:val="7"/>
  </w:num>
  <w:num w:numId="8">
    <w:abstractNumId w:val="5"/>
  </w:num>
  <w:num w:numId="9">
    <w:abstractNumId w:val="17"/>
  </w:num>
  <w:num w:numId="10">
    <w:abstractNumId w:val="4"/>
  </w:num>
  <w:num w:numId="11">
    <w:abstractNumId w:val="3"/>
  </w:num>
  <w:num w:numId="12">
    <w:abstractNumId w:val="9"/>
  </w:num>
  <w:num w:numId="13">
    <w:abstractNumId w:val="13"/>
  </w:num>
  <w:num w:numId="14">
    <w:abstractNumId w:val="15"/>
  </w:num>
  <w:num w:numId="15">
    <w:abstractNumId w:val="6"/>
  </w:num>
  <w:num w:numId="16">
    <w:abstractNumId w:val="12"/>
  </w:num>
  <w:num w:numId="17">
    <w:abstractNumId w:val="1"/>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85"/>
    <w:rsid w:val="00000CE1"/>
    <w:rsid w:val="00001637"/>
    <w:rsid w:val="00005724"/>
    <w:rsid w:val="00005B79"/>
    <w:rsid w:val="00007054"/>
    <w:rsid w:val="0000731D"/>
    <w:rsid w:val="00013CE9"/>
    <w:rsid w:val="00016B06"/>
    <w:rsid w:val="000175DD"/>
    <w:rsid w:val="00022DB3"/>
    <w:rsid w:val="00023969"/>
    <w:rsid w:val="00030B4E"/>
    <w:rsid w:val="000335E8"/>
    <w:rsid w:val="00033889"/>
    <w:rsid w:val="000346C0"/>
    <w:rsid w:val="00035D6C"/>
    <w:rsid w:val="000403AE"/>
    <w:rsid w:val="00044780"/>
    <w:rsid w:val="00046342"/>
    <w:rsid w:val="00047658"/>
    <w:rsid w:val="0005490D"/>
    <w:rsid w:val="000558BE"/>
    <w:rsid w:val="00062FF7"/>
    <w:rsid w:val="00093DE8"/>
    <w:rsid w:val="000A377C"/>
    <w:rsid w:val="000B1347"/>
    <w:rsid w:val="000B78F1"/>
    <w:rsid w:val="000D1C51"/>
    <w:rsid w:val="000D46BD"/>
    <w:rsid w:val="000D5EB4"/>
    <w:rsid w:val="000F0855"/>
    <w:rsid w:val="000F1F95"/>
    <w:rsid w:val="000F3552"/>
    <w:rsid w:val="00102087"/>
    <w:rsid w:val="00111C07"/>
    <w:rsid w:val="00124A82"/>
    <w:rsid w:val="00126022"/>
    <w:rsid w:val="00131BDB"/>
    <w:rsid w:val="001350D7"/>
    <w:rsid w:val="00143ED7"/>
    <w:rsid w:val="00146D4F"/>
    <w:rsid w:val="00147F0F"/>
    <w:rsid w:val="00150F6E"/>
    <w:rsid w:val="001532DC"/>
    <w:rsid w:val="00153CA7"/>
    <w:rsid w:val="00160022"/>
    <w:rsid w:val="00160871"/>
    <w:rsid w:val="00164CCB"/>
    <w:rsid w:val="00172DF8"/>
    <w:rsid w:val="001763A1"/>
    <w:rsid w:val="0017733A"/>
    <w:rsid w:val="00182B7E"/>
    <w:rsid w:val="00185633"/>
    <w:rsid w:val="00197179"/>
    <w:rsid w:val="00197EC0"/>
    <w:rsid w:val="001A0494"/>
    <w:rsid w:val="001A6247"/>
    <w:rsid w:val="001A6871"/>
    <w:rsid w:val="001B1C55"/>
    <w:rsid w:val="001B5B39"/>
    <w:rsid w:val="001C5A5A"/>
    <w:rsid w:val="001C65B8"/>
    <w:rsid w:val="001D464A"/>
    <w:rsid w:val="001E77B8"/>
    <w:rsid w:val="00201CB2"/>
    <w:rsid w:val="0021538F"/>
    <w:rsid w:val="002210C6"/>
    <w:rsid w:val="0022719E"/>
    <w:rsid w:val="00231A46"/>
    <w:rsid w:val="00233DB3"/>
    <w:rsid w:val="00236A29"/>
    <w:rsid w:val="00241EBC"/>
    <w:rsid w:val="002468D2"/>
    <w:rsid w:val="0025012B"/>
    <w:rsid w:val="00251191"/>
    <w:rsid w:val="00254D7D"/>
    <w:rsid w:val="00267533"/>
    <w:rsid w:val="00272ADF"/>
    <w:rsid w:val="00283182"/>
    <w:rsid w:val="0028389E"/>
    <w:rsid w:val="002947D6"/>
    <w:rsid w:val="00296BD5"/>
    <w:rsid w:val="002A0A0C"/>
    <w:rsid w:val="002B02B8"/>
    <w:rsid w:val="002B07E8"/>
    <w:rsid w:val="002D1208"/>
    <w:rsid w:val="002D5103"/>
    <w:rsid w:val="002D54F4"/>
    <w:rsid w:val="002D66F7"/>
    <w:rsid w:val="002E0141"/>
    <w:rsid w:val="002E1041"/>
    <w:rsid w:val="002E20FB"/>
    <w:rsid w:val="002F46BB"/>
    <w:rsid w:val="003020EE"/>
    <w:rsid w:val="00305514"/>
    <w:rsid w:val="003123AE"/>
    <w:rsid w:val="00314208"/>
    <w:rsid w:val="0031495F"/>
    <w:rsid w:val="00316E3B"/>
    <w:rsid w:val="00317008"/>
    <w:rsid w:val="003254F1"/>
    <w:rsid w:val="00326613"/>
    <w:rsid w:val="003267F9"/>
    <w:rsid w:val="00326CD8"/>
    <w:rsid w:val="00327C32"/>
    <w:rsid w:val="00330AD0"/>
    <w:rsid w:val="003352A5"/>
    <w:rsid w:val="00337924"/>
    <w:rsid w:val="00340235"/>
    <w:rsid w:val="00351632"/>
    <w:rsid w:val="00352DBC"/>
    <w:rsid w:val="0035499F"/>
    <w:rsid w:val="00354A9B"/>
    <w:rsid w:val="003568A9"/>
    <w:rsid w:val="0037125F"/>
    <w:rsid w:val="003745B0"/>
    <w:rsid w:val="00377058"/>
    <w:rsid w:val="00377771"/>
    <w:rsid w:val="0038272D"/>
    <w:rsid w:val="003933D7"/>
    <w:rsid w:val="003939D4"/>
    <w:rsid w:val="003A07AB"/>
    <w:rsid w:val="003A21A2"/>
    <w:rsid w:val="003A30A7"/>
    <w:rsid w:val="003A4AAA"/>
    <w:rsid w:val="003A4E8D"/>
    <w:rsid w:val="003A50A5"/>
    <w:rsid w:val="003A5CC9"/>
    <w:rsid w:val="003C00E3"/>
    <w:rsid w:val="003C5276"/>
    <w:rsid w:val="003D455D"/>
    <w:rsid w:val="003E2580"/>
    <w:rsid w:val="003E41DB"/>
    <w:rsid w:val="003E6CD9"/>
    <w:rsid w:val="003F6A57"/>
    <w:rsid w:val="003F6DB7"/>
    <w:rsid w:val="00412F28"/>
    <w:rsid w:val="0041658A"/>
    <w:rsid w:val="004178B3"/>
    <w:rsid w:val="00433F25"/>
    <w:rsid w:val="00435E39"/>
    <w:rsid w:val="0043600F"/>
    <w:rsid w:val="004439A4"/>
    <w:rsid w:val="004450A5"/>
    <w:rsid w:val="0044559A"/>
    <w:rsid w:val="00445F27"/>
    <w:rsid w:val="0045452C"/>
    <w:rsid w:val="00454D9A"/>
    <w:rsid w:val="00460CB5"/>
    <w:rsid w:val="004679F8"/>
    <w:rsid w:val="00470885"/>
    <w:rsid w:val="00470EA0"/>
    <w:rsid w:val="00471309"/>
    <w:rsid w:val="00472E55"/>
    <w:rsid w:val="0047650B"/>
    <w:rsid w:val="00476F31"/>
    <w:rsid w:val="00485EFE"/>
    <w:rsid w:val="00494E4B"/>
    <w:rsid w:val="004A27C6"/>
    <w:rsid w:val="004A7D34"/>
    <w:rsid w:val="004B3770"/>
    <w:rsid w:val="004B43F2"/>
    <w:rsid w:val="004B6496"/>
    <w:rsid w:val="004B79ED"/>
    <w:rsid w:val="004C18A2"/>
    <w:rsid w:val="004C54D9"/>
    <w:rsid w:val="004C6DE1"/>
    <w:rsid w:val="004C6FBA"/>
    <w:rsid w:val="004C7444"/>
    <w:rsid w:val="004D0E9A"/>
    <w:rsid w:val="004D450C"/>
    <w:rsid w:val="004E2617"/>
    <w:rsid w:val="004E52BC"/>
    <w:rsid w:val="004F1039"/>
    <w:rsid w:val="004F1900"/>
    <w:rsid w:val="004F19A2"/>
    <w:rsid w:val="004F4A70"/>
    <w:rsid w:val="00502FBC"/>
    <w:rsid w:val="00511FF9"/>
    <w:rsid w:val="0051400B"/>
    <w:rsid w:val="00527104"/>
    <w:rsid w:val="00540B2A"/>
    <w:rsid w:val="005453DF"/>
    <w:rsid w:val="0055147E"/>
    <w:rsid w:val="00554D02"/>
    <w:rsid w:val="00554F7D"/>
    <w:rsid w:val="005550D3"/>
    <w:rsid w:val="00564FEB"/>
    <w:rsid w:val="005660F0"/>
    <w:rsid w:val="00566819"/>
    <w:rsid w:val="00573412"/>
    <w:rsid w:val="00587B7B"/>
    <w:rsid w:val="00587F8A"/>
    <w:rsid w:val="00595266"/>
    <w:rsid w:val="005A2002"/>
    <w:rsid w:val="005A2C64"/>
    <w:rsid w:val="005B16AB"/>
    <w:rsid w:val="005B3296"/>
    <w:rsid w:val="005C08BF"/>
    <w:rsid w:val="005D6FC0"/>
    <w:rsid w:val="005D7687"/>
    <w:rsid w:val="005E2358"/>
    <w:rsid w:val="005E7D92"/>
    <w:rsid w:val="005F0068"/>
    <w:rsid w:val="005F4187"/>
    <w:rsid w:val="006143E7"/>
    <w:rsid w:val="00614CDA"/>
    <w:rsid w:val="00615882"/>
    <w:rsid w:val="006174EF"/>
    <w:rsid w:val="00627BD8"/>
    <w:rsid w:val="00630F54"/>
    <w:rsid w:val="006346BE"/>
    <w:rsid w:val="00652758"/>
    <w:rsid w:val="00652EB2"/>
    <w:rsid w:val="0065587D"/>
    <w:rsid w:val="00655A1A"/>
    <w:rsid w:val="00657C39"/>
    <w:rsid w:val="00657E49"/>
    <w:rsid w:val="00660499"/>
    <w:rsid w:val="00660FFA"/>
    <w:rsid w:val="006665D0"/>
    <w:rsid w:val="00671C46"/>
    <w:rsid w:val="00673E92"/>
    <w:rsid w:val="00676031"/>
    <w:rsid w:val="00680C12"/>
    <w:rsid w:val="006924AD"/>
    <w:rsid w:val="00692563"/>
    <w:rsid w:val="00695592"/>
    <w:rsid w:val="006A0266"/>
    <w:rsid w:val="006A1668"/>
    <w:rsid w:val="006B3727"/>
    <w:rsid w:val="006B3E3A"/>
    <w:rsid w:val="006B5839"/>
    <w:rsid w:val="006B6CB6"/>
    <w:rsid w:val="006B789D"/>
    <w:rsid w:val="006C3D02"/>
    <w:rsid w:val="006C54D4"/>
    <w:rsid w:val="006D48CF"/>
    <w:rsid w:val="006D717D"/>
    <w:rsid w:val="006E1FBB"/>
    <w:rsid w:val="006E5BEF"/>
    <w:rsid w:val="006F3F0B"/>
    <w:rsid w:val="006F566D"/>
    <w:rsid w:val="006F56FA"/>
    <w:rsid w:val="006F6DB1"/>
    <w:rsid w:val="006F7061"/>
    <w:rsid w:val="007031C8"/>
    <w:rsid w:val="0071114B"/>
    <w:rsid w:val="00713675"/>
    <w:rsid w:val="0073072E"/>
    <w:rsid w:val="00732DF6"/>
    <w:rsid w:val="00741DF3"/>
    <w:rsid w:val="00743967"/>
    <w:rsid w:val="00743B32"/>
    <w:rsid w:val="00744DD3"/>
    <w:rsid w:val="007527FA"/>
    <w:rsid w:val="00752AC4"/>
    <w:rsid w:val="007542CD"/>
    <w:rsid w:val="00760004"/>
    <w:rsid w:val="00760201"/>
    <w:rsid w:val="00762AB2"/>
    <w:rsid w:val="007659D1"/>
    <w:rsid w:val="00767C2B"/>
    <w:rsid w:val="007717D4"/>
    <w:rsid w:val="00791044"/>
    <w:rsid w:val="00791C45"/>
    <w:rsid w:val="00793FFE"/>
    <w:rsid w:val="007968AC"/>
    <w:rsid w:val="007B0485"/>
    <w:rsid w:val="007B1F0E"/>
    <w:rsid w:val="007B2674"/>
    <w:rsid w:val="007C2CF4"/>
    <w:rsid w:val="007D2AFA"/>
    <w:rsid w:val="007D6997"/>
    <w:rsid w:val="007D6B59"/>
    <w:rsid w:val="007E1A86"/>
    <w:rsid w:val="007E1B5B"/>
    <w:rsid w:val="007E5176"/>
    <w:rsid w:val="007E5C60"/>
    <w:rsid w:val="007E77AF"/>
    <w:rsid w:val="007F4F97"/>
    <w:rsid w:val="007F5B45"/>
    <w:rsid w:val="00801375"/>
    <w:rsid w:val="00802B49"/>
    <w:rsid w:val="0081099A"/>
    <w:rsid w:val="00812A3A"/>
    <w:rsid w:val="00813B1C"/>
    <w:rsid w:val="0081610E"/>
    <w:rsid w:val="008220D4"/>
    <w:rsid w:val="00832731"/>
    <w:rsid w:val="00836980"/>
    <w:rsid w:val="00837EA1"/>
    <w:rsid w:val="008432DC"/>
    <w:rsid w:val="0084479D"/>
    <w:rsid w:val="00846A4C"/>
    <w:rsid w:val="00852A69"/>
    <w:rsid w:val="00856353"/>
    <w:rsid w:val="00860A2D"/>
    <w:rsid w:val="0086401D"/>
    <w:rsid w:val="008657C7"/>
    <w:rsid w:val="00867AB3"/>
    <w:rsid w:val="0087217C"/>
    <w:rsid w:val="0087474B"/>
    <w:rsid w:val="00874EA5"/>
    <w:rsid w:val="0088763E"/>
    <w:rsid w:val="008A1F4E"/>
    <w:rsid w:val="008A371F"/>
    <w:rsid w:val="008A4B67"/>
    <w:rsid w:val="008A5180"/>
    <w:rsid w:val="008B4436"/>
    <w:rsid w:val="008B60B5"/>
    <w:rsid w:val="008B7EC7"/>
    <w:rsid w:val="008C7304"/>
    <w:rsid w:val="008D1256"/>
    <w:rsid w:val="008D7AE2"/>
    <w:rsid w:val="008E454C"/>
    <w:rsid w:val="008F7999"/>
    <w:rsid w:val="0090273B"/>
    <w:rsid w:val="00906C2C"/>
    <w:rsid w:val="00907755"/>
    <w:rsid w:val="0091170E"/>
    <w:rsid w:val="009119A6"/>
    <w:rsid w:val="009169D3"/>
    <w:rsid w:val="00917A8B"/>
    <w:rsid w:val="00921123"/>
    <w:rsid w:val="00936C96"/>
    <w:rsid w:val="00937EE6"/>
    <w:rsid w:val="009404C8"/>
    <w:rsid w:val="00942FA2"/>
    <w:rsid w:val="00950756"/>
    <w:rsid w:val="00955BC9"/>
    <w:rsid w:val="00956233"/>
    <w:rsid w:val="00957211"/>
    <w:rsid w:val="00974AE3"/>
    <w:rsid w:val="009757A6"/>
    <w:rsid w:val="00983096"/>
    <w:rsid w:val="009A07BB"/>
    <w:rsid w:val="009A2417"/>
    <w:rsid w:val="009A609A"/>
    <w:rsid w:val="009A60E1"/>
    <w:rsid w:val="009B02AB"/>
    <w:rsid w:val="009B1E86"/>
    <w:rsid w:val="009B2B89"/>
    <w:rsid w:val="009C11C3"/>
    <w:rsid w:val="009C32DD"/>
    <w:rsid w:val="009C779C"/>
    <w:rsid w:val="009C7A9C"/>
    <w:rsid w:val="009D4FA8"/>
    <w:rsid w:val="009D50EF"/>
    <w:rsid w:val="009D5E81"/>
    <w:rsid w:val="009E122C"/>
    <w:rsid w:val="009E4357"/>
    <w:rsid w:val="009F190F"/>
    <w:rsid w:val="009F1E2B"/>
    <w:rsid w:val="009F42EF"/>
    <w:rsid w:val="009F4FC2"/>
    <w:rsid w:val="009F71CD"/>
    <w:rsid w:val="009F7943"/>
    <w:rsid w:val="00A00AC1"/>
    <w:rsid w:val="00A074B5"/>
    <w:rsid w:val="00A11B8A"/>
    <w:rsid w:val="00A41C01"/>
    <w:rsid w:val="00A44E83"/>
    <w:rsid w:val="00A4785C"/>
    <w:rsid w:val="00A503C7"/>
    <w:rsid w:val="00A50866"/>
    <w:rsid w:val="00A60BBE"/>
    <w:rsid w:val="00A94591"/>
    <w:rsid w:val="00A962E6"/>
    <w:rsid w:val="00A9670B"/>
    <w:rsid w:val="00AA1791"/>
    <w:rsid w:val="00AA2640"/>
    <w:rsid w:val="00AA36E0"/>
    <w:rsid w:val="00AA55EC"/>
    <w:rsid w:val="00AB2DE9"/>
    <w:rsid w:val="00AB461B"/>
    <w:rsid w:val="00AC26D8"/>
    <w:rsid w:val="00AC4D0F"/>
    <w:rsid w:val="00AC60F9"/>
    <w:rsid w:val="00AD52F4"/>
    <w:rsid w:val="00AE12BA"/>
    <w:rsid w:val="00AE3560"/>
    <w:rsid w:val="00AF53A5"/>
    <w:rsid w:val="00B14257"/>
    <w:rsid w:val="00B22628"/>
    <w:rsid w:val="00B24DE2"/>
    <w:rsid w:val="00B26D28"/>
    <w:rsid w:val="00B341DF"/>
    <w:rsid w:val="00B448C5"/>
    <w:rsid w:val="00B50F91"/>
    <w:rsid w:val="00B544B0"/>
    <w:rsid w:val="00B56110"/>
    <w:rsid w:val="00B563F2"/>
    <w:rsid w:val="00B61DF1"/>
    <w:rsid w:val="00B647DF"/>
    <w:rsid w:val="00B65A8A"/>
    <w:rsid w:val="00B660DF"/>
    <w:rsid w:val="00B72CC7"/>
    <w:rsid w:val="00B81BE3"/>
    <w:rsid w:val="00BA0452"/>
    <w:rsid w:val="00BA0F94"/>
    <w:rsid w:val="00BA0FDE"/>
    <w:rsid w:val="00BA1A89"/>
    <w:rsid w:val="00BA252D"/>
    <w:rsid w:val="00BA7AC1"/>
    <w:rsid w:val="00BB0017"/>
    <w:rsid w:val="00BB20C0"/>
    <w:rsid w:val="00BB57E8"/>
    <w:rsid w:val="00BC1632"/>
    <w:rsid w:val="00BD4BEB"/>
    <w:rsid w:val="00BD4E0A"/>
    <w:rsid w:val="00BE3E70"/>
    <w:rsid w:val="00BE404D"/>
    <w:rsid w:val="00BE54B4"/>
    <w:rsid w:val="00BF0064"/>
    <w:rsid w:val="00BF435A"/>
    <w:rsid w:val="00BF437A"/>
    <w:rsid w:val="00BF49AE"/>
    <w:rsid w:val="00C03BFF"/>
    <w:rsid w:val="00C1459F"/>
    <w:rsid w:val="00C23EF0"/>
    <w:rsid w:val="00C240A4"/>
    <w:rsid w:val="00C24D1F"/>
    <w:rsid w:val="00C279B4"/>
    <w:rsid w:val="00C308C8"/>
    <w:rsid w:val="00C311F6"/>
    <w:rsid w:val="00C374F7"/>
    <w:rsid w:val="00C376D7"/>
    <w:rsid w:val="00C37FF2"/>
    <w:rsid w:val="00C51391"/>
    <w:rsid w:val="00C5219C"/>
    <w:rsid w:val="00C53148"/>
    <w:rsid w:val="00C54918"/>
    <w:rsid w:val="00C54F80"/>
    <w:rsid w:val="00C6458F"/>
    <w:rsid w:val="00C64851"/>
    <w:rsid w:val="00C64DDF"/>
    <w:rsid w:val="00C666EF"/>
    <w:rsid w:val="00C66737"/>
    <w:rsid w:val="00C74BC2"/>
    <w:rsid w:val="00CA32DA"/>
    <w:rsid w:val="00CA36F2"/>
    <w:rsid w:val="00CB1FE9"/>
    <w:rsid w:val="00CB6B99"/>
    <w:rsid w:val="00CB71A2"/>
    <w:rsid w:val="00CB7D99"/>
    <w:rsid w:val="00CD245A"/>
    <w:rsid w:val="00CD46DC"/>
    <w:rsid w:val="00CE4E9C"/>
    <w:rsid w:val="00CF2D98"/>
    <w:rsid w:val="00D00FCC"/>
    <w:rsid w:val="00D01655"/>
    <w:rsid w:val="00D05538"/>
    <w:rsid w:val="00D12609"/>
    <w:rsid w:val="00D12B8E"/>
    <w:rsid w:val="00D24DD1"/>
    <w:rsid w:val="00D26583"/>
    <w:rsid w:val="00D32099"/>
    <w:rsid w:val="00D32782"/>
    <w:rsid w:val="00D35108"/>
    <w:rsid w:val="00D455C6"/>
    <w:rsid w:val="00D475EF"/>
    <w:rsid w:val="00D50D9D"/>
    <w:rsid w:val="00D52519"/>
    <w:rsid w:val="00D644B4"/>
    <w:rsid w:val="00D71CCD"/>
    <w:rsid w:val="00D73ED3"/>
    <w:rsid w:val="00D75A10"/>
    <w:rsid w:val="00D81DDA"/>
    <w:rsid w:val="00D8406A"/>
    <w:rsid w:val="00D846AA"/>
    <w:rsid w:val="00D878C6"/>
    <w:rsid w:val="00DA272E"/>
    <w:rsid w:val="00DA2A46"/>
    <w:rsid w:val="00DA48ED"/>
    <w:rsid w:val="00DA4A73"/>
    <w:rsid w:val="00DB0645"/>
    <w:rsid w:val="00DB229A"/>
    <w:rsid w:val="00DB585D"/>
    <w:rsid w:val="00DB713D"/>
    <w:rsid w:val="00DB7F29"/>
    <w:rsid w:val="00DC408B"/>
    <w:rsid w:val="00DC4FE2"/>
    <w:rsid w:val="00DC59DC"/>
    <w:rsid w:val="00DD022F"/>
    <w:rsid w:val="00DD09F9"/>
    <w:rsid w:val="00DD5DAE"/>
    <w:rsid w:val="00DD6359"/>
    <w:rsid w:val="00DE6448"/>
    <w:rsid w:val="00DF687C"/>
    <w:rsid w:val="00DF7F2A"/>
    <w:rsid w:val="00E008AD"/>
    <w:rsid w:val="00E036C5"/>
    <w:rsid w:val="00E042B4"/>
    <w:rsid w:val="00E07532"/>
    <w:rsid w:val="00E12E8F"/>
    <w:rsid w:val="00E14B7C"/>
    <w:rsid w:val="00E179D3"/>
    <w:rsid w:val="00E205DD"/>
    <w:rsid w:val="00E274A8"/>
    <w:rsid w:val="00E35232"/>
    <w:rsid w:val="00E43998"/>
    <w:rsid w:val="00E539BB"/>
    <w:rsid w:val="00E53CAD"/>
    <w:rsid w:val="00E54E11"/>
    <w:rsid w:val="00E56CD0"/>
    <w:rsid w:val="00E61608"/>
    <w:rsid w:val="00E67A09"/>
    <w:rsid w:val="00E67C7F"/>
    <w:rsid w:val="00E70F07"/>
    <w:rsid w:val="00E72F07"/>
    <w:rsid w:val="00E7460F"/>
    <w:rsid w:val="00E76176"/>
    <w:rsid w:val="00E84096"/>
    <w:rsid w:val="00E97D4D"/>
    <w:rsid w:val="00EA0931"/>
    <w:rsid w:val="00EA1C4D"/>
    <w:rsid w:val="00EB1038"/>
    <w:rsid w:val="00EB2B43"/>
    <w:rsid w:val="00EB5381"/>
    <w:rsid w:val="00EB65B8"/>
    <w:rsid w:val="00EB6774"/>
    <w:rsid w:val="00EC0C53"/>
    <w:rsid w:val="00ED2853"/>
    <w:rsid w:val="00EE48AE"/>
    <w:rsid w:val="00EF5602"/>
    <w:rsid w:val="00F02F4B"/>
    <w:rsid w:val="00F0438E"/>
    <w:rsid w:val="00F10F7D"/>
    <w:rsid w:val="00F10FDE"/>
    <w:rsid w:val="00F13867"/>
    <w:rsid w:val="00F14675"/>
    <w:rsid w:val="00F15084"/>
    <w:rsid w:val="00F23DE2"/>
    <w:rsid w:val="00F312F8"/>
    <w:rsid w:val="00F318A7"/>
    <w:rsid w:val="00F35B33"/>
    <w:rsid w:val="00F475AC"/>
    <w:rsid w:val="00F50C7B"/>
    <w:rsid w:val="00F55968"/>
    <w:rsid w:val="00F55EAF"/>
    <w:rsid w:val="00F56E10"/>
    <w:rsid w:val="00F7000E"/>
    <w:rsid w:val="00F746D4"/>
    <w:rsid w:val="00F76D53"/>
    <w:rsid w:val="00F81FC0"/>
    <w:rsid w:val="00F82254"/>
    <w:rsid w:val="00F8227C"/>
    <w:rsid w:val="00F85B28"/>
    <w:rsid w:val="00F86182"/>
    <w:rsid w:val="00F87051"/>
    <w:rsid w:val="00F90C10"/>
    <w:rsid w:val="00F93F45"/>
    <w:rsid w:val="00FA1221"/>
    <w:rsid w:val="00FA15BC"/>
    <w:rsid w:val="00FA3E14"/>
    <w:rsid w:val="00FB0E33"/>
    <w:rsid w:val="00FB1904"/>
    <w:rsid w:val="00FC2529"/>
    <w:rsid w:val="00FC3772"/>
    <w:rsid w:val="00FC3C0D"/>
    <w:rsid w:val="00FC4710"/>
    <w:rsid w:val="00FC6CFD"/>
    <w:rsid w:val="00FD0606"/>
    <w:rsid w:val="00FD2266"/>
    <w:rsid w:val="00FD434F"/>
    <w:rsid w:val="00FD4583"/>
    <w:rsid w:val="00FE794F"/>
    <w:rsid w:val="00FE7FA3"/>
    <w:rsid w:val="00FF093A"/>
    <w:rsid w:val="00FF2484"/>
    <w:rsid w:val="00FF6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FFD56B-2CC8-4657-9CBA-C1F6E6A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485"/>
    <w:pPr>
      <w:widowControl w:val="0"/>
      <w:autoSpaceDE w:val="0"/>
      <w:autoSpaceDN w:val="0"/>
      <w:adjustRightInd w:val="0"/>
    </w:pPr>
    <w:rPr>
      <w:rFonts w:ascii="Times New Roman" w:eastAsia="Batang" w:hAnsi="Times New Roman"/>
      <w:lang w:eastAsia="ko-KR"/>
    </w:rPr>
  </w:style>
  <w:style w:type="paragraph" w:styleId="2">
    <w:name w:val="heading 2"/>
    <w:basedOn w:val="a"/>
    <w:next w:val="a"/>
    <w:link w:val="20"/>
    <w:autoRedefine/>
    <w:uiPriority w:val="9"/>
    <w:qFormat/>
    <w:rsid w:val="00F10FDE"/>
    <w:pPr>
      <w:keepNext/>
      <w:keepLines/>
      <w:spacing w:before="360"/>
      <w:jc w:val="both"/>
      <w:outlineLvl w:val="1"/>
    </w:pPr>
    <w:rPr>
      <w:rFonts w:eastAsia="Times New Roman"/>
      <w:b/>
      <w:bCs/>
      <w:szCs w:val="26"/>
    </w:rPr>
  </w:style>
  <w:style w:type="paragraph" w:styleId="3">
    <w:name w:val="heading 3"/>
    <w:basedOn w:val="a"/>
    <w:next w:val="a"/>
    <w:link w:val="30"/>
    <w:uiPriority w:val="9"/>
    <w:qFormat/>
    <w:rsid w:val="007031C8"/>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qFormat/>
    <w:rsid w:val="007B0485"/>
    <w:pPr>
      <w:keepNext/>
      <w:keepLines/>
      <w:numPr>
        <w:ilvl w:val="2"/>
        <w:numId w:val="1"/>
      </w:numPr>
      <w:spacing w:before="200"/>
      <w:outlineLvl w:val="3"/>
    </w:pPr>
    <w:rPr>
      <w:rFonts w:eastAsia="Times New Roman"/>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10FDE"/>
    <w:rPr>
      <w:rFonts w:ascii="Times New Roman" w:eastAsia="Times New Roman" w:hAnsi="Times New Roman"/>
      <w:b/>
      <w:bCs/>
      <w:szCs w:val="26"/>
      <w:lang w:eastAsia="ko-KR"/>
    </w:rPr>
  </w:style>
  <w:style w:type="character" w:customStyle="1" w:styleId="40">
    <w:name w:val="Заголовок 4 Знак"/>
    <w:link w:val="4"/>
    <w:uiPriority w:val="9"/>
    <w:rsid w:val="007B0485"/>
    <w:rPr>
      <w:rFonts w:ascii="Times New Roman" w:eastAsia="Times New Roman" w:hAnsi="Times New Roman"/>
      <w:bCs/>
      <w:i/>
      <w:iCs/>
      <w:lang w:eastAsia="ko-KR"/>
    </w:rPr>
  </w:style>
  <w:style w:type="paragraph" w:styleId="a3">
    <w:name w:val="Body Text Indent"/>
    <w:basedOn w:val="a"/>
    <w:link w:val="a4"/>
    <w:unhideWhenUsed/>
    <w:rsid w:val="007B0485"/>
    <w:pPr>
      <w:spacing w:after="120"/>
      <w:ind w:left="283"/>
    </w:pPr>
  </w:style>
  <w:style w:type="character" w:customStyle="1" w:styleId="a4">
    <w:name w:val="Основной текст с отступом Знак"/>
    <w:link w:val="a3"/>
    <w:rsid w:val="007B0485"/>
    <w:rPr>
      <w:rFonts w:ascii="Times New Roman" w:eastAsia="Batang" w:hAnsi="Times New Roman" w:cs="Times New Roman"/>
      <w:sz w:val="20"/>
      <w:szCs w:val="20"/>
      <w:lang w:eastAsia="ko-KR"/>
    </w:rPr>
  </w:style>
  <w:style w:type="paragraph" w:customStyle="1" w:styleId="ConsPlusNormal">
    <w:name w:val="ConsPlusNormal"/>
    <w:rsid w:val="007B0485"/>
    <w:pPr>
      <w:autoSpaceDE w:val="0"/>
      <w:autoSpaceDN w:val="0"/>
      <w:adjustRightInd w:val="0"/>
      <w:ind w:firstLine="720"/>
    </w:pPr>
    <w:rPr>
      <w:rFonts w:ascii="Arial" w:eastAsia="Times New Roman" w:hAnsi="Arial" w:cs="Arial"/>
    </w:rPr>
  </w:style>
  <w:style w:type="paragraph" w:styleId="a5">
    <w:name w:val="footer"/>
    <w:basedOn w:val="a"/>
    <w:link w:val="a6"/>
    <w:uiPriority w:val="99"/>
    <w:unhideWhenUsed/>
    <w:rsid w:val="007B0485"/>
    <w:pPr>
      <w:tabs>
        <w:tab w:val="center" w:pos="4677"/>
        <w:tab w:val="right" w:pos="9355"/>
      </w:tabs>
    </w:pPr>
  </w:style>
  <w:style w:type="character" w:customStyle="1" w:styleId="a6">
    <w:name w:val="Нижний колонтитул Знак"/>
    <w:link w:val="a5"/>
    <w:uiPriority w:val="99"/>
    <w:rsid w:val="007B0485"/>
    <w:rPr>
      <w:rFonts w:ascii="Times New Roman" w:eastAsia="Batang" w:hAnsi="Times New Roman" w:cs="Times New Roman"/>
      <w:sz w:val="20"/>
      <w:szCs w:val="20"/>
      <w:lang w:eastAsia="ko-KR"/>
    </w:rPr>
  </w:style>
  <w:style w:type="character" w:customStyle="1" w:styleId="30">
    <w:name w:val="Заголовок 3 Знак"/>
    <w:link w:val="3"/>
    <w:uiPriority w:val="9"/>
    <w:semiHidden/>
    <w:rsid w:val="007031C8"/>
    <w:rPr>
      <w:rFonts w:ascii="Cambria" w:eastAsia="Times New Roman" w:hAnsi="Cambria" w:cs="Times New Roman"/>
      <w:b/>
      <w:bCs/>
      <w:color w:val="4F81BD"/>
      <w:sz w:val="20"/>
      <w:szCs w:val="20"/>
      <w:lang w:eastAsia="ko-KR"/>
    </w:rPr>
  </w:style>
  <w:style w:type="paragraph" w:styleId="a7">
    <w:name w:val="Normal (Web)"/>
    <w:basedOn w:val="a"/>
    <w:uiPriority w:val="99"/>
    <w:unhideWhenUsed/>
    <w:rsid w:val="00856353"/>
    <w:pPr>
      <w:widowControl/>
      <w:autoSpaceDE/>
      <w:autoSpaceDN/>
      <w:adjustRightInd/>
      <w:spacing w:after="150"/>
      <w:jc w:val="both"/>
    </w:pPr>
    <w:rPr>
      <w:rFonts w:eastAsia="Times New Roman"/>
      <w:sz w:val="24"/>
      <w:szCs w:val="24"/>
      <w:lang w:eastAsia="ru-RU"/>
    </w:rPr>
  </w:style>
  <w:style w:type="paragraph" w:styleId="a8">
    <w:name w:val="header"/>
    <w:basedOn w:val="a"/>
    <w:link w:val="a9"/>
    <w:uiPriority w:val="99"/>
    <w:unhideWhenUsed/>
    <w:rsid w:val="00856353"/>
    <w:pPr>
      <w:tabs>
        <w:tab w:val="center" w:pos="4677"/>
        <w:tab w:val="right" w:pos="9355"/>
      </w:tabs>
    </w:pPr>
  </w:style>
  <w:style w:type="character" w:customStyle="1" w:styleId="a9">
    <w:name w:val="Верхний колонтитул Знак"/>
    <w:link w:val="a8"/>
    <w:uiPriority w:val="99"/>
    <w:rsid w:val="00856353"/>
    <w:rPr>
      <w:rFonts w:ascii="Times New Roman" w:eastAsia="Batang" w:hAnsi="Times New Roman" w:cs="Times New Roman"/>
      <w:sz w:val="20"/>
      <w:szCs w:val="20"/>
      <w:lang w:eastAsia="ko-KR"/>
    </w:rPr>
  </w:style>
  <w:style w:type="character" w:styleId="aa">
    <w:name w:val="annotation reference"/>
    <w:uiPriority w:val="99"/>
    <w:semiHidden/>
    <w:unhideWhenUsed/>
    <w:rsid w:val="00B544B0"/>
    <w:rPr>
      <w:sz w:val="16"/>
      <w:szCs w:val="16"/>
    </w:rPr>
  </w:style>
  <w:style w:type="paragraph" w:styleId="ab">
    <w:name w:val="annotation text"/>
    <w:basedOn w:val="a"/>
    <w:link w:val="ac"/>
    <w:uiPriority w:val="99"/>
    <w:semiHidden/>
    <w:unhideWhenUsed/>
    <w:rsid w:val="00B544B0"/>
  </w:style>
  <w:style w:type="character" w:customStyle="1" w:styleId="ac">
    <w:name w:val="Текст примечания Знак"/>
    <w:link w:val="ab"/>
    <w:uiPriority w:val="99"/>
    <w:semiHidden/>
    <w:rsid w:val="00B544B0"/>
    <w:rPr>
      <w:rFonts w:ascii="Times New Roman" w:eastAsia="Batang" w:hAnsi="Times New Roman"/>
      <w:lang w:eastAsia="ko-KR"/>
    </w:rPr>
  </w:style>
  <w:style w:type="paragraph" w:styleId="ad">
    <w:name w:val="annotation subject"/>
    <w:basedOn w:val="ab"/>
    <w:next w:val="ab"/>
    <w:link w:val="ae"/>
    <w:uiPriority w:val="99"/>
    <w:semiHidden/>
    <w:unhideWhenUsed/>
    <w:rsid w:val="00B544B0"/>
    <w:rPr>
      <w:b/>
      <w:bCs/>
    </w:rPr>
  </w:style>
  <w:style w:type="character" w:customStyle="1" w:styleId="ae">
    <w:name w:val="Тема примечания Знак"/>
    <w:link w:val="ad"/>
    <w:uiPriority w:val="99"/>
    <w:semiHidden/>
    <w:rsid w:val="00B544B0"/>
    <w:rPr>
      <w:rFonts w:ascii="Times New Roman" w:eastAsia="Batang" w:hAnsi="Times New Roman"/>
      <w:b/>
      <w:bCs/>
      <w:lang w:eastAsia="ko-KR"/>
    </w:rPr>
  </w:style>
  <w:style w:type="paragraph" w:styleId="af">
    <w:name w:val="Revision"/>
    <w:hidden/>
    <w:uiPriority w:val="99"/>
    <w:semiHidden/>
    <w:rsid w:val="00B544B0"/>
    <w:rPr>
      <w:rFonts w:ascii="Times New Roman" w:eastAsia="Batang" w:hAnsi="Times New Roman"/>
      <w:lang w:eastAsia="ko-KR"/>
    </w:rPr>
  </w:style>
  <w:style w:type="paragraph" w:styleId="af0">
    <w:name w:val="Balloon Text"/>
    <w:basedOn w:val="a"/>
    <w:link w:val="af1"/>
    <w:uiPriority w:val="99"/>
    <w:semiHidden/>
    <w:unhideWhenUsed/>
    <w:rsid w:val="00B544B0"/>
    <w:rPr>
      <w:rFonts w:ascii="Segoe UI" w:hAnsi="Segoe UI"/>
      <w:sz w:val="18"/>
      <w:szCs w:val="18"/>
    </w:rPr>
  </w:style>
  <w:style w:type="character" w:customStyle="1" w:styleId="af1">
    <w:name w:val="Текст выноски Знак"/>
    <w:link w:val="af0"/>
    <w:uiPriority w:val="99"/>
    <w:semiHidden/>
    <w:rsid w:val="00B544B0"/>
    <w:rPr>
      <w:rFonts w:ascii="Segoe UI" w:eastAsia="Batang" w:hAnsi="Segoe UI" w:cs="Segoe UI"/>
      <w:sz w:val="18"/>
      <w:szCs w:val="18"/>
      <w:lang w:eastAsia="ko-KR"/>
    </w:rPr>
  </w:style>
  <w:style w:type="paragraph" w:styleId="21">
    <w:name w:val="Body Text 2"/>
    <w:basedOn w:val="a"/>
    <w:link w:val="22"/>
    <w:uiPriority w:val="99"/>
    <w:semiHidden/>
    <w:unhideWhenUsed/>
    <w:rsid w:val="005F4187"/>
    <w:pPr>
      <w:widowControl/>
      <w:autoSpaceDE/>
      <w:autoSpaceDN/>
      <w:adjustRightInd/>
      <w:spacing w:after="120" w:line="480" w:lineRule="auto"/>
      <w:ind w:firstLine="709"/>
      <w:jc w:val="both"/>
    </w:pPr>
    <w:rPr>
      <w:rFonts w:eastAsia="Calibri"/>
      <w:sz w:val="24"/>
      <w:szCs w:val="22"/>
      <w:lang w:eastAsia="en-US"/>
    </w:rPr>
  </w:style>
  <w:style w:type="character" w:customStyle="1" w:styleId="22">
    <w:name w:val="Основной текст 2 Знак"/>
    <w:link w:val="21"/>
    <w:uiPriority w:val="99"/>
    <w:semiHidden/>
    <w:rsid w:val="005F4187"/>
    <w:rPr>
      <w:rFonts w:ascii="Times New Roman" w:hAnsi="Times New Roman"/>
      <w:sz w:val="24"/>
      <w:szCs w:val="22"/>
      <w:lang w:eastAsia="en-US"/>
    </w:rPr>
  </w:style>
  <w:style w:type="paragraph" w:styleId="af2">
    <w:name w:val="Title"/>
    <w:basedOn w:val="a"/>
    <w:link w:val="af3"/>
    <w:uiPriority w:val="99"/>
    <w:qFormat/>
    <w:rsid w:val="005F4187"/>
    <w:pPr>
      <w:widowControl/>
      <w:autoSpaceDE/>
      <w:autoSpaceDN/>
      <w:adjustRightInd/>
      <w:spacing w:before="120"/>
      <w:jc w:val="center"/>
    </w:pPr>
    <w:rPr>
      <w:rFonts w:ascii="Garamond" w:eastAsia="Times New Roman" w:hAnsi="Garamond"/>
      <w:b/>
      <w:bCs/>
      <w:sz w:val="32"/>
      <w:szCs w:val="24"/>
    </w:rPr>
  </w:style>
  <w:style w:type="character" w:customStyle="1" w:styleId="af3">
    <w:name w:val="Название Знак"/>
    <w:link w:val="af2"/>
    <w:uiPriority w:val="99"/>
    <w:rsid w:val="005F4187"/>
    <w:rPr>
      <w:rFonts w:ascii="Garamond" w:eastAsia="Times New Roman" w:hAnsi="Garamond"/>
      <w:b/>
      <w:bCs/>
      <w:sz w:val="32"/>
      <w:szCs w:val="24"/>
    </w:rPr>
  </w:style>
  <w:style w:type="paragraph" w:styleId="af4">
    <w:name w:val="List Paragraph"/>
    <w:basedOn w:val="a"/>
    <w:uiPriority w:val="34"/>
    <w:qFormat/>
    <w:rsid w:val="0080137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5">
    <w:name w:val="Body Text"/>
    <w:basedOn w:val="a"/>
    <w:link w:val="af6"/>
    <w:uiPriority w:val="99"/>
    <w:semiHidden/>
    <w:unhideWhenUsed/>
    <w:rsid w:val="002947D6"/>
    <w:pPr>
      <w:spacing w:after="120"/>
    </w:pPr>
  </w:style>
  <w:style w:type="character" w:customStyle="1" w:styleId="af6">
    <w:name w:val="Основной текст Знак"/>
    <w:link w:val="af5"/>
    <w:uiPriority w:val="99"/>
    <w:semiHidden/>
    <w:rsid w:val="002947D6"/>
    <w:rPr>
      <w:rFonts w:ascii="Times New Roman" w:eastAsia="Batang" w:hAnsi="Times New Roman"/>
      <w:lang w:eastAsia="ko-KR"/>
    </w:rPr>
  </w:style>
  <w:style w:type="paragraph" w:customStyle="1" w:styleId="subclauseindent">
    <w:name w:val="subclauseindent"/>
    <w:basedOn w:val="a"/>
    <w:uiPriority w:val="99"/>
    <w:rsid w:val="00E76176"/>
    <w:pPr>
      <w:widowControl/>
      <w:autoSpaceDE/>
      <w:autoSpaceDN/>
      <w:adjustRightInd/>
      <w:spacing w:before="120" w:after="120"/>
      <w:ind w:left="1701"/>
      <w:jc w:val="both"/>
    </w:pPr>
    <w:rPr>
      <w:rFonts w:eastAsia="Times New Roman"/>
      <w:sz w:val="22"/>
      <w:lang w:eastAsia="en-US"/>
    </w:rPr>
  </w:style>
  <w:style w:type="paragraph" w:customStyle="1" w:styleId="af7">
    <w:name w:val="Простой"/>
    <w:basedOn w:val="a"/>
    <w:uiPriority w:val="99"/>
    <w:rsid w:val="00B65A8A"/>
    <w:pPr>
      <w:widowControl/>
      <w:autoSpaceDE/>
      <w:autoSpaceDN/>
      <w:adjustRightInd/>
      <w:spacing w:before="120"/>
    </w:pPr>
    <w:rPr>
      <w:rFonts w:ascii="Arial" w:eastAsia="Times New Roman" w:hAnsi="Arial"/>
      <w:spacing w:val="-5"/>
      <w:lang w:eastAsia="ru-RU"/>
    </w:rPr>
  </w:style>
  <w:style w:type="paragraph" w:customStyle="1" w:styleId="23">
    <w:name w:val="Абзац списка2"/>
    <w:basedOn w:val="a"/>
    <w:uiPriority w:val="99"/>
    <w:rsid w:val="00001637"/>
    <w:pPr>
      <w:widowControl/>
      <w:autoSpaceDE/>
      <w:autoSpaceDN/>
      <w:adjustRightInd/>
      <w:ind w:left="720"/>
      <w:contextualSpacing/>
    </w:pPr>
    <w:rPr>
      <w:rFonts w:eastAsia="Times New Roman"/>
      <w:sz w:val="24"/>
      <w:szCs w:val="24"/>
      <w:lang w:eastAsia="ru-RU"/>
    </w:rPr>
  </w:style>
  <w:style w:type="paragraph" w:styleId="31">
    <w:name w:val="Body Text 3"/>
    <w:basedOn w:val="a"/>
    <w:link w:val="32"/>
    <w:uiPriority w:val="99"/>
    <w:unhideWhenUsed/>
    <w:rsid w:val="008F7999"/>
    <w:pPr>
      <w:spacing w:after="120"/>
    </w:pPr>
    <w:rPr>
      <w:sz w:val="16"/>
      <w:szCs w:val="16"/>
    </w:rPr>
  </w:style>
  <w:style w:type="character" w:customStyle="1" w:styleId="32">
    <w:name w:val="Основной текст 3 Знак"/>
    <w:link w:val="31"/>
    <w:uiPriority w:val="99"/>
    <w:rsid w:val="008F7999"/>
    <w:rPr>
      <w:rFonts w:ascii="Times New Roman" w:eastAsia="Batang" w:hAnsi="Times New Roman"/>
      <w:sz w:val="16"/>
      <w:szCs w:val="16"/>
      <w:lang w:eastAsia="ko-KR"/>
    </w:rPr>
  </w:style>
  <w:style w:type="paragraph" w:customStyle="1" w:styleId="Normal1">
    <w:name w:val="Normal1"/>
    <w:uiPriority w:val="99"/>
    <w:rsid w:val="00E205DD"/>
    <w:pPr>
      <w:autoSpaceDE w:val="0"/>
      <w:autoSpaceDN w:val="0"/>
      <w:jc w:val="both"/>
    </w:pPr>
    <w:rPr>
      <w:rFonts w:ascii="Arial" w:eastAsia="Batang" w:hAnsi="Arial" w:cs="Arial"/>
      <w:lang w:val="en-US" w:eastAsia="en-US"/>
    </w:rPr>
  </w:style>
  <w:style w:type="paragraph" w:customStyle="1" w:styleId="Titel12-Punkt-Demi">
    <w:name w:val="Titel 12-Punkt-Demi"/>
    <w:basedOn w:val="a8"/>
    <w:uiPriority w:val="99"/>
    <w:rsid w:val="0037125F"/>
    <w:pPr>
      <w:widowControl/>
      <w:tabs>
        <w:tab w:val="clear" w:pos="4677"/>
        <w:tab w:val="clear" w:pos="9355"/>
        <w:tab w:val="center" w:pos="4536"/>
        <w:tab w:val="right" w:pos="9072"/>
      </w:tabs>
      <w:autoSpaceDE/>
      <w:autoSpaceDN/>
      <w:adjustRightInd/>
      <w:spacing w:before="120" w:line="312" w:lineRule="exact"/>
    </w:pPr>
    <w:rPr>
      <w:rFonts w:ascii="NewsGoth Dm BT" w:eastAsia="Times New Roman" w:hAnsi="NewsGoth Dm BT"/>
      <w:sz w:val="24"/>
      <w:lang w:val="de-DE" w:eastAsia="ru-RU"/>
    </w:rPr>
  </w:style>
  <w:style w:type="paragraph" w:styleId="af8">
    <w:name w:val="Plain Text"/>
    <w:basedOn w:val="a"/>
    <w:link w:val="af9"/>
    <w:uiPriority w:val="99"/>
    <w:rsid w:val="00DB713D"/>
    <w:pPr>
      <w:widowControl/>
      <w:autoSpaceDE/>
      <w:autoSpaceDN/>
      <w:adjustRightInd/>
      <w:spacing w:before="120"/>
    </w:pPr>
    <w:rPr>
      <w:rFonts w:ascii="Courier New" w:eastAsia="Times New Roman" w:hAnsi="Courier New"/>
    </w:rPr>
  </w:style>
  <w:style w:type="character" w:customStyle="1" w:styleId="af9">
    <w:name w:val="Текст Знак"/>
    <w:link w:val="af8"/>
    <w:uiPriority w:val="99"/>
    <w:rsid w:val="00DB713D"/>
    <w:rPr>
      <w:rFonts w:ascii="Courier New" w:eastAsia="Times New Roman" w:hAnsi="Courier New"/>
    </w:rPr>
  </w:style>
  <w:style w:type="paragraph" w:styleId="afa">
    <w:name w:val="caption"/>
    <w:basedOn w:val="a"/>
    <w:next w:val="a"/>
    <w:qFormat/>
    <w:rsid w:val="0081099A"/>
    <w:pPr>
      <w:widowControl/>
      <w:suppressAutoHyphens/>
      <w:autoSpaceDE/>
      <w:autoSpaceDN/>
      <w:adjustRightInd/>
      <w:spacing w:before="120" w:after="120" w:line="270" w:lineRule="atLeast"/>
      <w:ind w:left="1134"/>
    </w:pPr>
    <w:rPr>
      <w:rFonts w:ascii="NewsGoth Lt BT" w:hAnsi="NewsGoth Lt BT" w:cs="NewsGoth Lt BT"/>
      <w:sz w:val="15"/>
      <w:szCs w:val="15"/>
      <w:lang w:val="de-DE" w:eastAsia="ar-SA"/>
    </w:rPr>
  </w:style>
  <w:style w:type="paragraph" w:customStyle="1" w:styleId="ConsNormal">
    <w:name w:val="ConsNormal"/>
    <w:uiPriority w:val="99"/>
    <w:rsid w:val="0081099A"/>
    <w:pPr>
      <w:autoSpaceDE w:val="0"/>
      <w:autoSpaceDN w:val="0"/>
      <w:adjustRightInd w:val="0"/>
      <w:ind w:firstLine="720"/>
    </w:pPr>
    <w:rPr>
      <w:rFonts w:ascii="Arial" w:eastAsia="Times New Roman" w:hAnsi="Arial" w:cs="Arial"/>
    </w:rPr>
  </w:style>
  <w:style w:type="paragraph" w:customStyle="1" w:styleId="ConsPlusNonformat">
    <w:name w:val="ConsPlusNonformat"/>
    <w:rsid w:val="0081099A"/>
    <w:pPr>
      <w:widowControl w:val="0"/>
      <w:autoSpaceDE w:val="0"/>
      <w:autoSpaceDN w:val="0"/>
      <w:adjustRightInd w:val="0"/>
    </w:pPr>
    <w:rPr>
      <w:rFonts w:ascii="Courier New" w:eastAsia="Times New Roman" w:hAnsi="Courier New" w:cs="Courier New"/>
      <w:lang w:eastAsia="en-US"/>
    </w:rPr>
  </w:style>
  <w:style w:type="table" w:styleId="afb">
    <w:name w:val="Table Grid"/>
    <w:basedOn w:val="a1"/>
    <w:uiPriority w:val="59"/>
    <w:rsid w:val="00810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428794">
      <w:bodyDiv w:val="1"/>
      <w:marLeft w:val="0"/>
      <w:marRight w:val="0"/>
      <w:marTop w:val="0"/>
      <w:marBottom w:val="0"/>
      <w:divBdr>
        <w:top w:val="none" w:sz="0" w:space="0" w:color="auto"/>
        <w:left w:val="none" w:sz="0" w:space="0" w:color="auto"/>
        <w:bottom w:val="none" w:sz="0" w:space="0" w:color="auto"/>
        <w:right w:val="none" w:sz="0" w:space="0" w:color="auto"/>
      </w:divBdr>
    </w:div>
    <w:div w:id="8654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1841</Words>
  <Characters>10495</Characters>
  <Application>Microsoft Office Word</Application>
  <DocSecurity>4</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sivanov</dc:creator>
  <cp:keywords/>
  <cp:lastModifiedBy>Евгения Шупилова</cp:lastModifiedBy>
  <cp:revision>2</cp:revision>
  <cp:lastPrinted>2017-05-18T13:00:00Z</cp:lastPrinted>
  <dcterms:created xsi:type="dcterms:W3CDTF">2017-05-18T14:19:00Z</dcterms:created>
  <dcterms:modified xsi:type="dcterms:W3CDTF">2017-05-18T14:19:00Z</dcterms:modified>
</cp:coreProperties>
</file>