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2F" w:rsidRDefault="001536E5" w:rsidP="00CA7FD8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1536E5">
        <w:rPr>
          <w:rFonts w:ascii="Garamond" w:hAnsi="Garamond"/>
          <w:b/>
          <w:bCs/>
          <w:sz w:val="28"/>
          <w:szCs w:val="28"/>
        </w:rPr>
        <w:t xml:space="preserve">Вопрос </w:t>
      </w:r>
      <w:r>
        <w:rPr>
          <w:rFonts w:ascii="Garamond" w:hAnsi="Garamond"/>
          <w:b/>
          <w:bCs/>
          <w:sz w:val="28"/>
          <w:szCs w:val="28"/>
        </w:rPr>
        <w:t>3.</w:t>
      </w:r>
      <w:r w:rsidRPr="001536E5">
        <w:rPr>
          <w:rFonts w:ascii="Garamond" w:hAnsi="Garamond"/>
          <w:b/>
          <w:bCs/>
          <w:sz w:val="28"/>
          <w:szCs w:val="28"/>
        </w:rPr>
        <w:t xml:space="preserve"> Об изменениях и дополнениях к Договору о присоединении к торговой сис</w:t>
      </w:r>
      <w:r>
        <w:rPr>
          <w:rFonts w:ascii="Garamond" w:hAnsi="Garamond"/>
          <w:b/>
          <w:bCs/>
          <w:sz w:val="28"/>
          <w:szCs w:val="28"/>
        </w:rPr>
        <w:t xml:space="preserve">теме оптового рынка, связанных </w:t>
      </w:r>
      <w:r w:rsidR="00D46B87">
        <w:rPr>
          <w:rFonts w:ascii="Garamond" w:hAnsi="Garamond"/>
          <w:b/>
          <w:sz w:val="28"/>
          <w:szCs w:val="28"/>
        </w:rPr>
        <w:t>c учетом соглашений о порядке исполнения обязательств ПАО «Россети Северный Кавказ» и АО «Чеченэнерго»</w:t>
      </w:r>
    </w:p>
    <w:p w:rsidR="001536E5" w:rsidRDefault="001536E5" w:rsidP="00CA7FD8">
      <w:pPr>
        <w:spacing w:after="0" w:line="240" w:lineRule="auto"/>
        <w:jc w:val="right"/>
        <w:rPr>
          <w:rFonts w:ascii="Garamond" w:eastAsia="Times New Roman" w:hAnsi="Garamond"/>
          <w:b/>
          <w:bCs/>
          <w:sz w:val="28"/>
          <w:szCs w:val="28"/>
          <w:lang w:eastAsia="ru-RU"/>
        </w:rPr>
      </w:pPr>
    </w:p>
    <w:p w:rsidR="001536E5" w:rsidRPr="001536E5" w:rsidRDefault="001536E5" w:rsidP="00CA7FD8">
      <w:pPr>
        <w:spacing w:after="0" w:line="240" w:lineRule="auto"/>
        <w:jc w:val="right"/>
        <w:rPr>
          <w:rFonts w:ascii="Garamond" w:eastAsia="Times New Roman" w:hAnsi="Garamond"/>
          <w:b/>
          <w:bCs/>
          <w:sz w:val="28"/>
          <w:szCs w:val="28"/>
          <w:lang w:eastAsia="ru-RU"/>
        </w:rPr>
      </w:pPr>
      <w:r w:rsidRPr="001536E5">
        <w:rPr>
          <w:rFonts w:ascii="Garamond" w:eastAsia="Times New Roman" w:hAnsi="Garamond"/>
          <w:b/>
          <w:bCs/>
          <w:sz w:val="28"/>
          <w:szCs w:val="28"/>
          <w:lang w:eastAsia="ru-RU"/>
        </w:rPr>
        <w:t xml:space="preserve">Приложение № </w:t>
      </w:r>
      <w:r>
        <w:rPr>
          <w:rFonts w:ascii="Garamond" w:eastAsia="Times New Roman" w:hAnsi="Garamond"/>
          <w:b/>
          <w:bCs/>
          <w:sz w:val="28"/>
          <w:szCs w:val="28"/>
          <w:lang w:eastAsia="ru-RU"/>
        </w:rPr>
        <w:t>3</w:t>
      </w:r>
      <w:r w:rsidRPr="001536E5">
        <w:rPr>
          <w:rFonts w:ascii="Garamond" w:eastAsia="Times New Roman" w:hAnsi="Garamond"/>
          <w:b/>
          <w:bCs/>
          <w:sz w:val="28"/>
          <w:szCs w:val="28"/>
          <w:lang w:eastAsia="ru-RU"/>
        </w:rPr>
        <w:t>.1</w:t>
      </w:r>
    </w:p>
    <w:p w:rsidR="00E4072F" w:rsidRDefault="00E4072F" w:rsidP="00CA7FD8">
      <w:pPr>
        <w:widowControl w:val="0"/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E4072F" w:rsidTr="008017D6">
        <w:trPr>
          <w:trHeight w:val="687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Default="00D46B87" w:rsidP="00CA7FD8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CA7FD8">
              <w:rPr>
                <w:rFonts w:ascii="Garamond" w:hAnsi="Garamond"/>
                <w:sz w:val="24"/>
                <w:szCs w:val="24"/>
              </w:rPr>
              <w:t>ч</w:t>
            </w:r>
            <w:r w:rsidR="005448DE">
              <w:rPr>
                <w:rFonts w:ascii="Garamond" w:hAnsi="Garamond"/>
                <w:sz w:val="24"/>
                <w:szCs w:val="24"/>
              </w:rPr>
              <w:t>лен Наблюдательного совета Ассоциаци</w:t>
            </w:r>
            <w:r w:rsidR="00CA7FD8">
              <w:rPr>
                <w:rFonts w:ascii="Garamond" w:hAnsi="Garamond"/>
                <w:sz w:val="24"/>
                <w:szCs w:val="24"/>
              </w:rPr>
              <w:t>и</w:t>
            </w:r>
            <w:r w:rsidR="005448DE">
              <w:rPr>
                <w:rFonts w:ascii="Garamond" w:hAnsi="Garamond"/>
                <w:sz w:val="24"/>
                <w:szCs w:val="24"/>
              </w:rPr>
              <w:t xml:space="preserve"> «НП Совет рынка» А.В. Мольский</w:t>
            </w:r>
            <w:r w:rsidR="00E31606">
              <w:rPr>
                <w:rFonts w:ascii="Garamond" w:hAnsi="Garamond"/>
                <w:sz w:val="24"/>
                <w:szCs w:val="24"/>
              </w:rPr>
              <w:t>.</w:t>
            </w:r>
          </w:p>
          <w:p w:rsidR="00E4072F" w:rsidRDefault="00D46B87" w:rsidP="00CA7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CA7FD8">
              <w:rPr>
                <w:rFonts w:ascii="Garamond" w:hAnsi="Garamond"/>
                <w:sz w:val="24"/>
                <w:szCs w:val="24"/>
              </w:rPr>
              <w:t>и</w:t>
            </w:r>
            <w:r w:rsidR="00ED4685" w:rsidRPr="00ED4685">
              <w:rPr>
                <w:rFonts w:ascii="Garamond" w:hAnsi="Garamond"/>
                <w:sz w:val="24"/>
                <w:szCs w:val="24"/>
              </w:rPr>
              <w:t>зменение</w:t>
            </w:r>
            <w:r w:rsidR="00ED468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D4685" w:rsidRPr="00ED4685">
              <w:rPr>
                <w:rFonts w:ascii="Garamond" w:hAnsi="Garamond"/>
                <w:sz w:val="24"/>
                <w:szCs w:val="24"/>
              </w:rPr>
              <w:t xml:space="preserve">условий осуществления деятельности в связи с </w:t>
            </w:r>
            <w:r w:rsidR="00ED4685">
              <w:rPr>
                <w:rFonts w:ascii="Garamond" w:hAnsi="Garamond"/>
                <w:sz w:val="24"/>
                <w:szCs w:val="24"/>
              </w:rPr>
              <w:t xml:space="preserve">изданием </w:t>
            </w:r>
            <w:r w:rsidR="00ED4685">
              <w:rPr>
                <w:rFonts w:ascii="Garamond" w:eastAsiaTheme="minorHAnsi" w:hAnsi="Garamond" w:cs="Garamond"/>
                <w:sz w:val="24"/>
                <w:szCs w:val="24"/>
              </w:rPr>
              <w:t>Указа Президента РФ от 01.03.2022 № 81</w:t>
            </w:r>
            <w:r w:rsidR="00CA7FD8">
              <w:rPr>
                <w:rFonts w:ascii="Garamond" w:eastAsiaTheme="minorHAnsi" w:hAnsi="Garamond" w:cs="Garamond"/>
                <w:sz w:val="24"/>
                <w:szCs w:val="24"/>
              </w:rPr>
              <w:t>.</w:t>
            </w:r>
          </w:p>
          <w:p w:rsidR="00E4072F" w:rsidRDefault="00D46B87" w:rsidP="00CA7F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A02D1">
              <w:rPr>
                <w:rFonts w:ascii="Garamond" w:hAnsi="Garamond"/>
                <w:sz w:val="24"/>
                <w:szCs w:val="24"/>
              </w:rPr>
              <w:t xml:space="preserve">24 </w:t>
            </w:r>
            <w:r w:rsidR="00ED4685">
              <w:rPr>
                <w:rFonts w:ascii="Garamond" w:hAnsi="Garamond"/>
                <w:sz w:val="24"/>
                <w:szCs w:val="24"/>
              </w:rPr>
              <w:t>марта 2022 года</w:t>
            </w:r>
            <w:r w:rsidR="00E3160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E4072F" w:rsidRDefault="00E4072F" w:rsidP="00CA7FD8">
      <w:pPr>
        <w:spacing w:after="0" w:line="240" w:lineRule="auto"/>
        <w:rPr>
          <w:rFonts w:ascii="Garamond" w:hAnsi="Garamond"/>
        </w:rPr>
      </w:pPr>
    </w:p>
    <w:p w:rsidR="00E4072F" w:rsidRDefault="00D46B87" w:rsidP="00CA7FD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E4072F" w:rsidRDefault="00E4072F" w:rsidP="00CA7FD8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395"/>
        <w:gridCol w:w="7514"/>
      </w:tblGrid>
      <w:tr w:rsidR="00E4072F" w:rsidRPr="00CA7FD8" w:rsidTr="00ED4685">
        <w:trPr>
          <w:trHeight w:val="29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7FD8">
              <w:rPr>
                <w:rFonts w:ascii="Garamond" w:hAnsi="Garamond" w:cs="Garamond"/>
                <w:b/>
                <w:bCs/>
              </w:rPr>
              <w:t>№</w:t>
            </w:r>
          </w:p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 w:rsidRPr="00CA7FD8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CA7FD8"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CA7FD8"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CA7FD8"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E4072F" w:rsidRPr="00CA7FD8" w:rsidRDefault="00D46B87" w:rsidP="00CA7FD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CA7FD8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E4072F" w:rsidRPr="00CA7FD8" w:rsidTr="00ED4685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CA7FD8" w:rsidRDefault="00ED4685" w:rsidP="00ED4685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7FD8">
              <w:rPr>
                <w:rFonts w:ascii="Garamond" w:hAnsi="Garamond"/>
                <w:b/>
                <w:color w:val="000000"/>
              </w:rPr>
              <w:t>18</w:t>
            </w:r>
            <w:r w:rsidRPr="00CA7FD8">
              <w:rPr>
                <w:rFonts w:ascii="Garamond" w:hAnsi="Garamond"/>
                <w:b/>
              </w:rPr>
              <w:t>´</w:t>
            </w:r>
            <w:r w:rsidRPr="00CA7FD8">
              <w:rPr>
                <w:rFonts w:ascii="Garamond" w:hAnsi="Garamond"/>
                <w:b/>
                <w:color w:val="000000"/>
              </w:rPr>
              <w:t>.24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B5" w:rsidRPr="00CA7FD8" w:rsidRDefault="00B540B5" w:rsidP="00B540B5">
            <w:pPr>
              <w:spacing w:before="60" w:after="60"/>
              <w:ind w:firstLine="601"/>
              <w:jc w:val="both"/>
              <w:rPr>
                <w:rFonts w:ascii="Garamond" w:hAnsi="Garamond" w:cs="Garamond"/>
              </w:rPr>
            </w:pPr>
            <w:r w:rsidRPr="00CA7FD8">
              <w:rPr>
                <w:rFonts w:ascii="Garamond" w:hAnsi="Garamond" w:cs="Garamond"/>
              </w:rPr>
              <w:t>…</w:t>
            </w:r>
          </w:p>
          <w:p w:rsidR="00B540B5" w:rsidRPr="00CA7FD8" w:rsidRDefault="00B540B5" w:rsidP="00B540B5">
            <w:pPr>
              <w:spacing w:before="60" w:after="60"/>
              <w:ind w:firstLine="601"/>
              <w:jc w:val="both"/>
              <w:rPr>
                <w:rFonts w:ascii="Garamond" w:hAnsi="Garamond" w:cs="Garamond"/>
              </w:rPr>
            </w:pPr>
            <w:r w:rsidRPr="00CA7FD8">
              <w:rPr>
                <w:rFonts w:ascii="Garamond" w:hAnsi="Garamond" w:cs="Garamond"/>
              </w:rPr>
              <w:t>ЦФР фиксирует наступление событий, указанных в подп. 1 настоящего пункта, в следующих случаях:</w:t>
            </w:r>
          </w:p>
          <w:p w:rsidR="00B540B5" w:rsidRPr="00CA7FD8" w:rsidRDefault="00B540B5" w:rsidP="00B540B5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cs="Garamond"/>
                <w:highlight w:val="yellow"/>
                <w:lang w:val="ru-RU"/>
              </w:rPr>
            </w:pPr>
            <w:r w:rsidRPr="00CA7FD8">
              <w:rPr>
                <w:rFonts w:cs="Garamond"/>
                <w:lang w:val="ru-RU"/>
              </w:rPr>
              <w:t xml:space="preserve">если по информации, учтенной по состоянию на 25.04.2022, у покупателя имеется задолженность по итогам 31.03.2022 перед продавцами, заключившими с ним соглашения о порядке исполнения обязательств, за расчетные периоды до 1 января 2022 года по заключаемым в соответствии с </w:t>
            </w:r>
            <w:r w:rsidRPr="00CA7FD8">
              <w:rPr>
                <w:rFonts w:cs="Garamond"/>
                <w:i/>
                <w:lang w:val="ru-RU"/>
              </w:rPr>
              <w:t>Договором о присоединении к торговой системе оптового рынка</w:t>
            </w:r>
            <w:r w:rsidRPr="00CA7FD8">
              <w:rPr>
                <w:rFonts w:cs="Garamond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Регламента, в размере, превышающем </w:t>
            </w:r>
            <w:r w:rsidRPr="00CA7FD8">
              <w:rPr>
                <w:rFonts w:cs="Garamond"/>
                <w:highlight w:val="yellow"/>
                <w:lang w:val="ru-RU"/>
              </w:rPr>
              <w:t>5</w:t>
            </w:r>
            <w:r w:rsidRPr="00CA7FD8">
              <w:rPr>
                <w:rFonts w:cs="Garamond"/>
                <w:lang w:val="ru-RU"/>
              </w:rPr>
              <w:t xml:space="preserve"> % от такой задолженности совокупно перед указанными продавцами, опубликованной в Отчете о состоянии обязательств (приложение 16 к настоящему Регламенту) и Отчете о состоянии </w:t>
            </w:r>
            <w:r w:rsidRPr="00CA7FD8">
              <w:rPr>
                <w:rFonts w:cs="Garamond"/>
                <w:lang w:val="ru-RU"/>
              </w:rPr>
              <w:lastRenderedPageBreak/>
              <w:t>обязательств по договорам уступки прав требования (цессии) (приложение 13.1 к настоящему Регламенту) за 01.03.2022</w:t>
            </w:r>
            <w:r w:rsidRPr="00CA7FD8">
              <w:rPr>
                <w:rFonts w:cs="Garamond"/>
                <w:highlight w:val="yellow"/>
                <w:lang w:val="ru-RU"/>
              </w:rPr>
              <w:t>;</w:t>
            </w:r>
          </w:p>
          <w:p w:rsidR="00B540B5" w:rsidRPr="00CA7FD8" w:rsidRDefault="00B540B5" w:rsidP="00B540B5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eastAsia="Calibri" w:cs="Garamond"/>
                <w:szCs w:val="22"/>
                <w:lang w:val="ru-RU"/>
              </w:rPr>
            </w:pPr>
            <w:r w:rsidRPr="00CA7FD8">
              <w:rPr>
                <w:rFonts w:cs="Garamond"/>
                <w:lang w:val="ru-RU"/>
              </w:rPr>
              <w:t>если по информации, учтенной по состоянию на 25.05.2022, у покупателя</w:t>
            </w:r>
            <w:r w:rsidRPr="00CA7FD8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Pr="00CA7FD8">
              <w:rPr>
                <w:rFonts w:cs="Garamond"/>
                <w:lang w:val="ru-RU"/>
              </w:rPr>
              <w:t xml:space="preserve">имеется задолженность по итогам </w:t>
            </w:r>
            <w:r w:rsidRPr="00CA7FD8">
              <w:rPr>
                <w:rFonts w:eastAsia="Calibri" w:cs="Garamond"/>
                <w:szCs w:val="22"/>
                <w:highlight w:val="yellow"/>
                <w:lang w:val="ru-RU"/>
              </w:rPr>
              <w:t>10.</w:t>
            </w:r>
            <w:r w:rsidRPr="00CA7FD8">
              <w:rPr>
                <w:rFonts w:eastAsia="Calibri" w:cs="Garamond"/>
                <w:szCs w:val="22"/>
                <w:lang w:val="ru-RU"/>
              </w:rPr>
              <w:t>04.2022 хотя бы перед одним продавцом, заключившим с ним соглашение о порядке исполнения обязательств,</w:t>
            </w:r>
            <w:r w:rsidRPr="00CA7FD8">
              <w:rPr>
                <w:rFonts w:cs="Garamond"/>
                <w:lang w:val="ru-RU"/>
              </w:rPr>
              <w:t xml:space="preserve"> за расчетные периоды до 1</w:t>
            </w:r>
            <w:r w:rsidRPr="00CA7FD8">
              <w:rPr>
                <w:rFonts w:cs="Garamond"/>
              </w:rPr>
              <w:t> </w:t>
            </w:r>
            <w:r w:rsidRPr="00CA7FD8">
              <w:rPr>
                <w:rFonts w:cs="Garamond"/>
                <w:lang w:val="ru-RU"/>
              </w:rPr>
              <w:t xml:space="preserve">января 2022 года по любому из заключаемых в соответствии с </w:t>
            </w:r>
            <w:r w:rsidRPr="00CA7FD8">
              <w:rPr>
                <w:rFonts w:cs="Garamond"/>
                <w:i/>
                <w:lang w:val="ru-RU"/>
              </w:rPr>
              <w:t>Договором о присоединении к торговой системе оптового рынка</w:t>
            </w:r>
            <w:r w:rsidRPr="00CA7FD8">
              <w:rPr>
                <w:rFonts w:cs="Garamond"/>
                <w:lang w:val="ru-RU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</w:t>
            </w:r>
            <w:r w:rsidRPr="00CA7FD8">
              <w:rPr>
                <w:rFonts w:eastAsia="Calibri" w:cs="Garamond"/>
                <w:szCs w:val="22"/>
                <w:lang w:val="ru-RU"/>
              </w:rPr>
              <w:t>.</w:t>
            </w:r>
          </w:p>
          <w:p w:rsidR="00E4072F" w:rsidRPr="00CA7FD8" w:rsidRDefault="00B540B5">
            <w:pPr>
              <w:pStyle w:val="3"/>
            </w:pPr>
            <w:r w:rsidRPr="00CA7FD8">
              <w:t>…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B5" w:rsidRPr="00CA7FD8" w:rsidRDefault="00B540B5" w:rsidP="00741CB2">
            <w:pPr>
              <w:spacing w:before="60" w:after="60"/>
              <w:ind w:firstLine="601"/>
              <w:jc w:val="both"/>
              <w:rPr>
                <w:rFonts w:ascii="Garamond" w:hAnsi="Garamond" w:cs="Garamond"/>
              </w:rPr>
            </w:pPr>
            <w:r w:rsidRPr="00CA7FD8">
              <w:rPr>
                <w:rFonts w:ascii="Garamond" w:hAnsi="Garamond" w:cs="Garamond"/>
              </w:rPr>
              <w:lastRenderedPageBreak/>
              <w:t>…</w:t>
            </w:r>
          </w:p>
          <w:p w:rsidR="00741CB2" w:rsidRPr="00CA7FD8" w:rsidRDefault="00741CB2" w:rsidP="00741CB2">
            <w:pPr>
              <w:spacing w:before="60" w:after="60"/>
              <w:ind w:firstLine="601"/>
              <w:jc w:val="both"/>
              <w:rPr>
                <w:rFonts w:ascii="Garamond" w:hAnsi="Garamond" w:cs="Garamond"/>
              </w:rPr>
            </w:pPr>
            <w:r w:rsidRPr="00CA7FD8">
              <w:rPr>
                <w:rFonts w:ascii="Garamond" w:hAnsi="Garamond" w:cs="Garamond"/>
              </w:rPr>
              <w:t>ЦФР фиксирует наступление событий, указанных в подп. 1 настоящего пункта, в следующих случаях:</w:t>
            </w:r>
          </w:p>
          <w:p w:rsidR="00741CB2" w:rsidRPr="00CA7FD8" w:rsidRDefault="00741CB2" w:rsidP="00741CB2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cs="Garamond"/>
                <w:lang w:val="ru-RU"/>
              </w:rPr>
            </w:pPr>
            <w:r w:rsidRPr="00CA7FD8">
              <w:rPr>
                <w:rFonts w:cs="Garamond"/>
                <w:lang w:val="ru-RU"/>
              </w:rPr>
              <w:t xml:space="preserve">если по информации, учтенной по состоянию на 25.04.2022, у покупателя имеется задолженность по итогам 31.03.2022 перед продавцами, заключившими с ним соглашения о порядке исполнения обязательств, за расчетные периоды до 1 января 2022 года по заключаемым в соответствии с </w:t>
            </w:r>
            <w:r w:rsidRPr="00CA7FD8">
              <w:rPr>
                <w:rFonts w:cs="Garamond"/>
                <w:i/>
                <w:lang w:val="ru-RU"/>
              </w:rPr>
              <w:t>Договором о присоединении к торговой системе оптового рынка</w:t>
            </w:r>
            <w:r w:rsidRPr="00CA7FD8">
              <w:rPr>
                <w:rFonts w:cs="Garamond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Регламента, в размере, превышающем </w:t>
            </w:r>
            <w:r w:rsidR="00B540B5" w:rsidRPr="00CA7FD8">
              <w:rPr>
                <w:rFonts w:cs="Garamond"/>
                <w:highlight w:val="yellow"/>
                <w:lang w:val="ru-RU"/>
              </w:rPr>
              <w:t>2</w:t>
            </w:r>
            <w:r w:rsidR="00EC0999" w:rsidRPr="00CA7FD8">
              <w:rPr>
                <w:rFonts w:cs="Garamond"/>
                <w:highlight w:val="yellow"/>
                <w:lang w:val="ru-RU"/>
              </w:rPr>
              <w:t>1,</w:t>
            </w:r>
            <w:r w:rsidRPr="00CA7FD8">
              <w:rPr>
                <w:rFonts w:cs="Garamond"/>
                <w:highlight w:val="yellow"/>
                <w:lang w:val="ru-RU"/>
              </w:rPr>
              <w:t>5 </w:t>
            </w:r>
            <w:r w:rsidRPr="00CA7FD8">
              <w:rPr>
                <w:rFonts w:cs="Garamond"/>
                <w:lang w:val="ru-RU"/>
              </w:rPr>
              <w:t>% от такой задолженности совокупно перед указанными продавцами, опубликованной в Отчете о состоянии обязательств (приложение 16 к настоящему Регламенту) и Отчете о состоянии обязательств по договорам уступки прав требования (цессии) (приложение 13.1 к настоящему Регламенту) за 01.03.2022;</w:t>
            </w:r>
          </w:p>
          <w:p w:rsidR="00B540B5" w:rsidRPr="00CA7FD8" w:rsidRDefault="00741CB2" w:rsidP="002161ED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eastAsia="Calibri" w:cs="Garamond"/>
                <w:szCs w:val="22"/>
                <w:highlight w:val="yellow"/>
                <w:lang w:val="ru-RU"/>
              </w:rPr>
            </w:pPr>
            <w:r w:rsidRPr="00CA7FD8">
              <w:rPr>
                <w:rFonts w:cs="Garamond"/>
                <w:highlight w:val="yellow"/>
                <w:lang w:val="ru-RU"/>
              </w:rPr>
              <w:lastRenderedPageBreak/>
              <w:t>если по информации, учтенной по состоянию на 25.05.2022, у покупателя</w:t>
            </w:r>
            <w:r w:rsidRPr="00CA7FD8">
              <w:rPr>
                <w:rFonts w:eastAsia="Calibri" w:cs="Garamond"/>
                <w:szCs w:val="22"/>
                <w:highlight w:val="yellow"/>
                <w:lang w:val="ru-RU"/>
              </w:rPr>
              <w:t xml:space="preserve"> </w:t>
            </w:r>
            <w:r w:rsidRPr="00CA7FD8">
              <w:rPr>
                <w:rFonts w:cs="Garamond"/>
                <w:highlight w:val="yellow"/>
                <w:lang w:val="ru-RU"/>
              </w:rPr>
              <w:t xml:space="preserve">имеется задолженность по итогам </w:t>
            </w:r>
            <w:r w:rsidRPr="00CA7FD8">
              <w:rPr>
                <w:rFonts w:eastAsia="Calibri" w:cs="Garamond"/>
                <w:szCs w:val="22"/>
                <w:highlight w:val="yellow"/>
                <w:lang w:val="ru-RU"/>
              </w:rPr>
              <w:t xml:space="preserve">10.04.2022 </w:t>
            </w:r>
            <w:r w:rsidR="00B540B5" w:rsidRPr="00CA7FD8">
              <w:rPr>
                <w:rFonts w:cs="Garamond"/>
                <w:highlight w:val="yellow"/>
                <w:lang w:val="ru-RU"/>
              </w:rPr>
              <w:t xml:space="preserve">перед продавцами, заключившими с ним соглашения о порядке исполнения обязательств, за расчетные периоды до 1 января 2022 года по заключаемым в соответствии с </w:t>
            </w:r>
            <w:r w:rsidR="00B540B5" w:rsidRPr="00CA7FD8">
              <w:rPr>
                <w:rFonts w:cs="Garamond"/>
                <w:i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="00B540B5" w:rsidRPr="00CA7FD8">
              <w:rPr>
                <w:rFonts w:cs="Garamond"/>
                <w:highlight w:val="yellow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Регламента, в размере, превышающем </w:t>
            </w:r>
            <w:r w:rsidR="00EC0999" w:rsidRPr="00CA7FD8">
              <w:rPr>
                <w:rFonts w:cs="Garamond"/>
                <w:highlight w:val="yellow"/>
                <w:lang w:val="ru-RU"/>
              </w:rPr>
              <w:t>16,5</w:t>
            </w:r>
            <w:r w:rsidR="00B540B5" w:rsidRPr="00CA7FD8">
              <w:rPr>
                <w:rFonts w:cs="Garamond"/>
                <w:highlight w:val="yellow"/>
                <w:lang w:val="ru-RU"/>
              </w:rPr>
              <w:t> % от такой задолженности совокупно перед указанными продавцами, опубликованной в Отчете о состоянии обязательств (приложение 16 к настоящему Регламенту) и Отчете о состоянии обязательств по договорам уступки прав требования (цессии) (приложение 13.1 к настоящему Регламенту) за 01.03.2022</w:t>
            </w:r>
            <w:r w:rsidR="00CA7FD8">
              <w:rPr>
                <w:rFonts w:cs="Garamond"/>
                <w:highlight w:val="yellow"/>
                <w:lang w:val="ru-RU"/>
              </w:rPr>
              <w:t>;</w:t>
            </w:r>
          </w:p>
          <w:p w:rsidR="00741CB2" w:rsidRPr="00CA7FD8" w:rsidRDefault="00B540B5" w:rsidP="00741CB2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eastAsia="Calibri" w:cs="Garamond"/>
                <w:szCs w:val="22"/>
                <w:lang w:val="ru-RU"/>
              </w:rPr>
            </w:pPr>
            <w:r w:rsidRPr="00CA7FD8">
              <w:rPr>
                <w:rFonts w:cs="Garamond"/>
                <w:lang w:val="ru-RU"/>
              </w:rPr>
              <w:t>если по информации, учтенной по состоянию на 25.05.2022, у покупателя</w:t>
            </w:r>
            <w:r w:rsidRPr="00CA7FD8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Pr="00CA7FD8">
              <w:rPr>
                <w:rFonts w:cs="Garamond"/>
                <w:lang w:val="ru-RU"/>
              </w:rPr>
              <w:t xml:space="preserve">имеется задолженность по итогам </w:t>
            </w:r>
            <w:r w:rsidRPr="00CA7FD8">
              <w:rPr>
                <w:rFonts w:cs="Garamond"/>
                <w:highlight w:val="yellow"/>
                <w:lang w:val="ru-RU"/>
              </w:rPr>
              <w:t>29</w:t>
            </w:r>
            <w:r w:rsidRPr="00CA7FD8">
              <w:rPr>
                <w:rFonts w:eastAsia="Calibri" w:cs="Garamond"/>
                <w:szCs w:val="22"/>
                <w:lang w:val="ru-RU"/>
              </w:rPr>
              <w:t>.04.2022 хотя бы перед одним продавцом, заключившим с ним соглашение о порядке исполнения обязательств,</w:t>
            </w:r>
            <w:r w:rsidRPr="00CA7FD8">
              <w:rPr>
                <w:rFonts w:cs="Garamond"/>
                <w:lang w:val="ru-RU"/>
              </w:rPr>
              <w:t xml:space="preserve"> за расчетные периоды до 1</w:t>
            </w:r>
            <w:r w:rsidRPr="00CA7FD8">
              <w:rPr>
                <w:rFonts w:cs="Garamond"/>
              </w:rPr>
              <w:t> </w:t>
            </w:r>
            <w:r w:rsidRPr="00CA7FD8">
              <w:rPr>
                <w:rFonts w:cs="Garamond"/>
                <w:lang w:val="ru-RU"/>
              </w:rPr>
              <w:t xml:space="preserve">января 2022 года по любому из заключаемых в соответствии с </w:t>
            </w:r>
            <w:r w:rsidRPr="00CA7FD8">
              <w:rPr>
                <w:rFonts w:cs="Garamond"/>
                <w:i/>
                <w:lang w:val="ru-RU"/>
              </w:rPr>
              <w:t>Договором о присоединении к торговой системе оптового рынка</w:t>
            </w:r>
            <w:r w:rsidRPr="00CA7FD8">
              <w:rPr>
                <w:rFonts w:cs="Garamond"/>
                <w:lang w:val="ru-RU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</w:t>
            </w:r>
            <w:bookmarkStart w:id="0" w:name="_GoBack"/>
            <w:bookmarkEnd w:id="0"/>
            <w:r w:rsidRPr="00CA7FD8">
              <w:rPr>
                <w:rFonts w:cs="Garamond"/>
                <w:lang w:val="ru-RU"/>
              </w:rPr>
              <w:t xml:space="preserve"> РСВ и БР, в отношении которой до 28.02.2022 (включительно) не были заключены договоры уступки прав (цессии) в соответствии с разделом 14 настоящего Регламента</w:t>
            </w:r>
            <w:r w:rsidR="00741CB2" w:rsidRPr="00CA7FD8">
              <w:rPr>
                <w:rFonts w:eastAsia="Calibri" w:cs="Garamond"/>
                <w:szCs w:val="22"/>
                <w:lang w:val="ru-RU"/>
              </w:rPr>
              <w:t>.</w:t>
            </w:r>
          </w:p>
          <w:p w:rsidR="00E4072F" w:rsidRPr="00CA7FD8" w:rsidRDefault="00B540B5" w:rsidP="00B540B5">
            <w:pPr>
              <w:spacing w:before="120" w:after="120"/>
              <w:ind w:left="33"/>
              <w:jc w:val="both"/>
              <w:rPr>
                <w:rFonts w:ascii="Garamond" w:hAnsi="Garamond"/>
                <w:bCs/>
              </w:rPr>
            </w:pPr>
            <w:r w:rsidRPr="00CA7FD8">
              <w:rPr>
                <w:rFonts w:ascii="Garamond" w:hAnsi="Garamond" w:cs="Garamond"/>
              </w:rPr>
              <w:t>…</w:t>
            </w:r>
          </w:p>
        </w:tc>
      </w:tr>
    </w:tbl>
    <w:p w:rsidR="00E4072F" w:rsidRDefault="00E4072F">
      <w:pPr>
        <w:spacing w:after="0" w:line="240" w:lineRule="auto"/>
      </w:pPr>
    </w:p>
    <w:p w:rsidR="00741CB2" w:rsidRDefault="00741CB2" w:rsidP="002161ED">
      <w:pPr>
        <w:pStyle w:val="3"/>
      </w:pPr>
    </w:p>
    <w:sectPr w:rsidR="00741CB2" w:rsidSect="00ED4685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07" w:rsidRDefault="00110507">
      <w:pPr>
        <w:spacing w:after="0" w:line="240" w:lineRule="auto"/>
      </w:pPr>
      <w:r>
        <w:separator/>
      </w:r>
    </w:p>
  </w:endnote>
  <w:endnote w:type="continuationSeparator" w:id="0">
    <w:p w:rsidR="00110507" w:rsidRDefault="0011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07" w:rsidRDefault="00110507">
      <w:pPr>
        <w:spacing w:after="0" w:line="240" w:lineRule="auto"/>
      </w:pPr>
      <w:r>
        <w:separator/>
      </w:r>
    </w:p>
  </w:footnote>
  <w:footnote w:type="continuationSeparator" w:id="0">
    <w:p w:rsidR="00110507" w:rsidRDefault="0011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7" w15:restartNumberingAfterBreak="0">
    <w:nsid w:val="71F93A8A"/>
    <w:multiLevelType w:val="hybridMultilevel"/>
    <w:tmpl w:val="1B284674"/>
    <w:lvl w:ilvl="0" w:tplc="3F46AC22">
      <w:start w:val="1"/>
      <w:numFmt w:val="bullet"/>
      <w:lvlText w:val="-"/>
      <w:lvlJc w:val="left"/>
      <w:pPr>
        <w:ind w:left="1321" w:hanging="360"/>
      </w:pPr>
      <w:rPr>
        <w:rFonts w:ascii="Sitka Subheading" w:hAnsi="Sitka Subheading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15"/>
  </w:num>
  <w:num w:numId="8">
    <w:abstractNumId w:val="13"/>
  </w:num>
  <w:num w:numId="9">
    <w:abstractNumId w:val="19"/>
  </w:num>
  <w:num w:numId="10">
    <w:abstractNumId w:val="12"/>
  </w:num>
  <w:num w:numId="11">
    <w:abstractNumId w:val="8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6"/>
  </w:num>
  <w:num w:numId="17">
    <w:abstractNumId w:val="2"/>
  </w:num>
  <w:num w:numId="18">
    <w:abstractNumId w:val="7"/>
  </w:num>
  <w:num w:numId="19">
    <w:abstractNumId w:val="21"/>
  </w:num>
  <w:num w:numId="20">
    <w:abstractNumId w:val="18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2F"/>
    <w:rsid w:val="00034CDF"/>
    <w:rsid w:val="0009065A"/>
    <w:rsid w:val="001006D9"/>
    <w:rsid w:val="00103179"/>
    <w:rsid w:val="00110507"/>
    <w:rsid w:val="00123CF0"/>
    <w:rsid w:val="00125123"/>
    <w:rsid w:val="00144584"/>
    <w:rsid w:val="001536E5"/>
    <w:rsid w:val="00191C32"/>
    <w:rsid w:val="002040B9"/>
    <w:rsid w:val="002161ED"/>
    <w:rsid w:val="00272656"/>
    <w:rsid w:val="00273916"/>
    <w:rsid w:val="00274B76"/>
    <w:rsid w:val="002764E4"/>
    <w:rsid w:val="0035788B"/>
    <w:rsid w:val="003C2109"/>
    <w:rsid w:val="003D7750"/>
    <w:rsid w:val="0047362C"/>
    <w:rsid w:val="005448DE"/>
    <w:rsid w:val="00567666"/>
    <w:rsid w:val="005A0E08"/>
    <w:rsid w:val="005F7D7B"/>
    <w:rsid w:val="00607491"/>
    <w:rsid w:val="00614A99"/>
    <w:rsid w:val="006B23C8"/>
    <w:rsid w:val="006C5E14"/>
    <w:rsid w:val="006E67B5"/>
    <w:rsid w:val="006F6335"/>
    <w:rsid w:val="00700F17"/>
    <w:rsid w:val="007053C4"/>
    <w:rsid w:val="00725E61"/>
    <w:rsid w:val="00734803"/>
    <w:rsid w:val="00741CB2"/>
    <w:rsid w:val="00755FEF"/>
    <w:rsid w:val="00774537"/>
    <w:rsid w:val="00775D0A"/>
    <w:rsid w:val="007A5D22"/>
    <w:rsid w:val="007A658C"/>
    <w:rsid w:val="007D7CD0"/>
    <w:rsid w:val="007F2BAD"/>
    <w:rsid w:val="008017D6"/>
    <w:rsid w:val="00864D61"/>
    <w:rsid w:val="008868D1"/>
    <w:rsid w:val="008A5808"/>
    <w:rsid w:val="009219C2"/>
    <w:rsid w:val="00936F7E"/>
    <w:rsid w:val="00982C43"/>
    <w:rsid w:val="00983A7C"/>
    <w:rsid w:val="00992D15"/>
    <w:rsid w:val="009B5361"/>
    <w:rsid w:val="009C664C"/>
    <w:rsid w:val="009E7A44"/>
    <w:rsid w:val="00A138AA"/>
    <w:rsid w:val="00A24210"/>
    <w:rsid w:val="00A40F3C"/>
    <w:rsid w:val="00A53723"/>
    <w:rsid w:val="00A72E76"/>
    <w:rsid w:val="00AA0C91"/>
    <w:rsid w:val="00AA64BD"/>
    <w:rsid w:val="00AB257D"/>
    <w:rsid w:val="00AB4B48"/>
    <w:rsid w:val="00AD2EC8"/>
    <w:rsid w:val="00B37D81"/>
    <w:rsid w:val="00B500C5"/>
    <w:rsid w:val="00B540B5"/>
    <w:rsid w:val="00B86991"/>
    <w:rsid w:val="00B94DFD"/>
    <w:rsid w:val="00BD494F"/>
    <w:rsid w:val="00BE4AA7"/>
    <w:rsid w:val="00C677E6"/>
    <w:rsid w:val="00C7799C"/>
    <w:rsid w:val="00CA7FD8"/>
    <w:rsid w:val="00CF5A42"/>
    <w:rsid w:val="00D01728"/>
    <w:rsid w:val="00D46B87"/>
    <w:rsid w:val="00D6758B"/>
    <w:rsid w:val="00DA5BC5"/>
    <w:rsid w:val="00DC5123"/>
    <w:rsid w:val="00DF18F8"/>
    <w:rsid w:val="00DF75E8"/>
    <w:rsid w:val="00E31606"/>
    <w:rsid w:val="00E34D9B"/>
    <w:rsid w:val="00E4072F"/>
    <w:rsid w:val="00E82DEC"/>
    <w:rsid w:val="00E8514F"/>
    <w:rsid w:val="00EA02D1"/>
    <w:rsid w:val="00EA5C72"/>
    <w:rsid w:val="00EB572D"/>
    <w:rsid w:val="00EC0999"/>
    <w:rsid w:val="00ED4685"/>
    <w:rsid w:val="00EE0B56"/>
    <w:rsid w:val="00EE5E86"/>
    <w:rsid w:val="00F54D87"/>
    <w:rsid w:val="00F85021"/>
    <w:rsid w:val="00F9688D"/>
    <w:rsid w:val="00FC0CB9"/>
    <w:rsid w:val="00FE059F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F2A9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left="142" w:firstLine="618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1721-DD8C-4FB1-BE9F-910E51A2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7</cp:revision>
  <dcterms:created xsi:type="dcterms:W3CDTF">2022-03-24T08:45:00Z</dcterms:created>
  <dcterms:modified xsi:type="dcterms:W3CDTF">2022-03-25T10:17:00Z</dcterms:modified>
</cp:coreProperties>
</file>