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AB" w:rsidRDefault="00B412AB" w:rsidP="00B412AB">
      <w:pPr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aps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1.4</w:t>
      </w:r>
    </w:p>
    <w:p w:rsidR="00B412AB" w:rsidRDefault="00B412AB" w:rsidP="00B412AB">
      <w:pPr>
        <w:ind w:left="5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Протоколу № 16/2020 заседания Наблюдательного совета </w:t>
      </w:r>
    </w:p>
    <w:p w:rsidR="00B412AB" w:rsidRPr="00B412AB" w:rsidRDefault="00B412AB" w:rsidP="00B412AB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Ассоциации «НП Совет рынка» от 22 июня 2020 года.</w:t>
      </w:r>
    </w:p>
    <w:p w:rsidR="00B412AB" w:rsidRPr="00B412AB" w:rsidRDefault="00B412AB" w:rsidP="004D279E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p w:rsidR="00187736" w:rsidRDefault="00F347F8" w:rsidP="004D279E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F347F8">
        <w:rPr>
          <w:rFonts w:ascii="Garamond" w:hAnsi="Garamond"/>
          <w:b/>
          <w:sz w:val="28"/>
          <w:szCs w:val="28"/>
        </w:rPr>
        <w:t>.</w:t>
      </w:r>
      <w:r w:rsidR="00885386">
        <w:rPr>
          <w:rFonts w:ascii="Garamond" w:hAnsi="Garamond"/>
          <w:b/>
          <w:sz w:val="28"/>
          <w:szCs w:val="28"/>
        </w:rPr>
        <w:t>3</w:t>
      </w:r>
      <w:r w:rsidRPr="00F347F8">
        <w:rPr>
          <w:rFonts w:ascii="Garamond" w:hAnsi="Garamond"/>
          <w:b/>
          <w:sz w:val="28"/>
          <w:szCs w:val="28"/>
        </w:rPr>
        <w:t xml:space="preserve">. </w:t>
      </w:r>
      <w:r w:rsidR="00BB2935">
        <w:rPr>
          <w:rFonts w:ascii="Garamond" w:hAnsi="Garamond"/>
          <w:b/>
          <w:sz w:val="28"/>
          <w:szCs w:val="28"/>
        </w:rPr>
        <w:t>Изменения, связан</w:t>
      </w:r>
      <w:r w:rsidR="004D279E">
        <w:rPr>
          <w:rFonts w:ascii="Garamond" w:hAnsi="Garamond"/>
          <w:b/>
          <w:sz w:val="28"/>
          <w:szCs w:val="28"/>
        </w:rPr>
        <w:t>ные с предоставлением данных об </w:t>
      </w:r>
      <w:r w:rsidR="00BB2935">
        <w:rPr>
          <w:rFonts w:ascii="Garamond" w:hAnsi="Garamond"/>
          <w:b/>
          <w:sz w:val="28"/>
          <w:szCs w:val="28"/>
        </w:rPr>
        <w:t>амортизационных отчислениях в От</w:t>
      </w:r>
      <w:r w:rsidR="004D279E">
        <w:rPr>
          <w:rFonts w:ascii="Garamond" w:hAnsi="Garamond"/>
          <w:b/>
          <w:sz w:val="28"/>
          <w:szCs w:val="28"/>
        </w:rPr>
        <w:t>чете о финансовых результатах и </w:t>
      </w:r>
      <w:r w:rsidR="00BB2935">
        <w:rPr>
          <w:rFonts w:ascii="Garamond" w:hAnsi="Garamond"/>
          <w:b/>
          <w:sz w:val="28"/>
          <w:szCs w:val="28"/>
        </w:rPr>
        <w:t xml:space="preserve">расчете индикатора </w:t>
      </w:r>
      <w:proofErr w:type="spellStart"/>
      <w:r w:rsidR="00BB2935">
        <w:rPr>
          <w:rFonts w:ascii="Garamond" w:hAnsi="Garamond"/>
          <w:b/>
          <w:sz w:val="28"/>
          <w:szCs w:val="28"/>
        </w:rPr>
        <w:t>энергосбытовой</w:t>
      </w:r>
      <w:proofErr w:type="spellEnd"/>
      <w:r w:rsidR="00BB2935">
        <w:rPr>
          <w:rFonts w:ascii="Garamond" w:hAnsi="Garamond"/>
          <w:b/>
          <w:sz w:val="28"/>
          <w:szCs w:val="28"/>
        </w:rPr>
        <w:t xml:space="preserve"> деятельности</w:t>
      </w:r>
    </w:p>
    <w:p w:rsidR="004D279E" w:rsidRDefault="004D279E" w:rsidP="004D279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187736" w:rsidRDefault="00BB2935" w:rsidP="004D279E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Приложение №</w:t>
      </w:r>
      <w:r w:rsidR="00B412AB">
        <w:rPr>
          <w:rFonts w:ascii="Garamond" w:hAnsi="Garamond"/>
          <w:b/>
          <w:sz w:val="28"/>
          <w:szCs w:val="28"/>
        </w:rPr>
        <w:t xml:space="preserve"> 1</w:t>
      </w:r>
      <w:r w:rsidR="00F347F8">
        <w:rPr>
          <w:rFonts w:ascii="Garamond" w:hAnsi="Garamond"/>
          <w:b/>
          <w:sz w:val="28"/>
          <w:szCs w:val="28"/>
        </w:rPr>
        <w:t>.</w:t>
      </w:r>
      <w:r w:rsidR="00B412AB">
        <w:rPr>
          <w:rFonts w:ascii="Garamond" w:hAnsi="Garamond"/>
          <w:b/>
          <w:sz w:val="28"/>
          <w:szCs w:val="28"/>
        </w:rPr>
        <w:t>4</w:t>
      </w:r>
    </w:p>
    <w:p w:rsidR="00187736" w:rsidRDefault="00187736" w:rsidP="004D279E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187736" w:rsidRPr="004D279E">
        <w:trPr>
          <w:trHeight w:val="928"/>
        </w:trPr>
        <w:tc>
          <w:tcPr>
            <w:tcW w:w="14992" w:type="dxa"/>
          </w:tcPr>
          <w:p w:rsidR="00187736" w:rsidRPr="004D279E" w:rsidRDefault="00BB2935" w:rsidP="004D279E">
            <w:pPr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4D279E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Инициатор: </w:t>
            </w:r>
            <w:r w:rsidRPr="004D279E">
              <w:rPr>
                <w:rFonts w:ascii="Garamond" w:hAnsi="Garamond" w:cs="Garamond"/>
                <w:bCs/>
                <w:sz w:val="24"/>
                <w:szCs w:val="24"/>
              </w:rPr>
              <w:t>АО «ЦФР»</w:t>
            </w:r>
            <w:r w:rsidR="004D279E" w:rsidRPr="004D279E">
              <w:rPr>
                <w:rFonts w:ascii="Garamond" w:hAnsi="Garamond" w:cs="Garamond"/>
                <w:bCs/>
                <w:sz w:val="24"/>
                <w:szCs w:val="24"/>
              </w:rPr>
              <w:t>.</w:t>
            </w:r>
          </w:p>
          <w:p w:rsidR="00187736" w:rsidRPr="004D279E" w:rsidRDefault="00BB2935" w:rsidP="004D279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D279E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Обоснование: </w:t>
            </w:r>
            <w:r w:rsidR="004D279E">
              <w:rPr>
                <w:rFonts w:ascii="Garamond" w:hAnsi="Garamond"/>
                <w:sz w:val="24"/>
                <w:szCs w:val="24"/>
              </w:rPr>
              <w:t>в</w:t>
            </w:r>
            <w:r w:rsidRPr="004D279E">
              <w:rPr>
                <w:rFonts w:ascii="Garamond" w:hAnsi="Garamond"/>
                <w:sz w:val="24"/>
                <w:szCs w:val="24"/>
              </w:rPr>
              <w:t xml:space="preserve">нести изменения в приложение 103б к Регламенту финансовых расчетов на оптовом рынке электроэнергии в части предоставления </w:t>
            </w:r>
            <w:r w:rsidR="004D279E">
              <w:rPr>
                <w:rFonts w:ascii="Garamond" w:hAnsi="Garamond"/>
                <w:sz w:val="24"/>
                <w:szCs w:val="24"/>
              </w:rPr>
              <w:t>у</w:t>
            </w:r>
            <w:r w:rsidRPr="004D279E">
              <w:rPr>
                <w:rFonts w:ascii="Garamond" w:hAnsi="Garamond"/>
                <w:sz w:val="24"/>
                <w:szCs w:val="24"/>
              </w:rPr>
              <w:t xml:space="preserve">частниками оптового рынка </w:t>
            </w:r>
            <w:r w:rsidR="004D279E">
              <w:rPr>
                <w:rFonts w:ascii="Garamond" w:hAnsi="Garamond"/>
                <w:sz w:val="24"/>
                <w:szCs w:val="24"/>
              </w:rPr>
              <w:t>–</w:t>
            </w:r>
            <w:r w:rsidRPr="004D279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4D279E">
              <w:rPr>
                <w:rFonts w:ascii="Garamond" w:hAnsi="Garamond"/>
                <w:sz w:val="24"/>
                <w:szCs w:val="24"/>
              </w:rPr>
              <w:t>энергосбытовыми</w:t>
            </w:r>
            <w:proofErr w:type="spellEnd"/>
            <w:r w:rsidRPr="004D279E">
              <w:rPr>
                <w:rFonts w:ascii="Garamond" w:hAnsi="Garamond"/>
                <w:sz w:val="24"/>
                <w:szCs w:val="24"/>
              </w:rPr>
              <w:t xml:space="preserve"> компаниями, гарантирующими поставщиками данных об амортизационных отчислениях, а также актуализировать </w:t>
            </w:r>
            <w:r w:rsidR="004D279E" w:rsidRPr="004D279E">
              <w:rPr>
                <w:rFonts w:ascii="Garamond" w:hAnsi="Garamond"/>
                <w:sz w:val="24"/>
                <w:szCs w:val="24"/>
              </w:rPr>
              <w:t>соответствующие</w:t>
            </w:r>
            <w:r w:rsidRPr="004D279E">
              <w:rPr>
                <w:rFonts w:ascii="Garamond" w:hAnsi="Garamond"/>
                <w:sz w:val="24"/>
                <w:szCs w:val="24"/>
              </w:rPr>
              <w:t xml:space="preserve"> формулы расчета индикатора </w:t>
            </w:r>
            <w:proofErr w:type="spellStart"/>
            <w:r w:rsidRPr="004D279E">
              <w:rPr>
                <w:rFonts w:ascii="Garamond" w:hAnsi="Garamond"/>
                <w:sz w:val="24"/>
                <w:szCs w:val="24"/>
              </w:rPr>
              <w:t>энергосбытовой</w:t>
            </w:r>
            <w:proofErr w:type="spellEnd"/>
            <w:r w:rsidRPr="004D279E">
              <w:rPr>
                <w:rFonts w:ascii="Garamond" w:hAnsi="Garamond"/>
                <w:sz w:val="24"/>
                <w:szCs w:val="24"/>
              </w:rPr>
              <w:t xml:space="preserve"> деятельности К6 (Краткосрочный долг/EBITDA).</w:t>
            </w:r>
          </w:p>
          <w:p w:rsidR="00187736" w:rsidRPr="004D279E" w:rsidRDefault="00BB2935" w:rsidP="004D279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D279E"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 w:rsidRPr="004D279E">
              <w:rPr>
                <w:rFonts w:ascii="Garamond" w:hAnsi="Garamond"/>
                <w:sz w:val="24"/>
                <w:szCs w:val="24"/>
              </w:rPr>
              <w:t>1 сентября 2020 года</w:t>
            </w:r>
            <w:r w:rsidR="004D279E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</w:tbl>
    <w:p w:rsidR="004D279E" w:rsidRDefault="004D279E" w:rsidP="004D279E">
      <w:pPr>
        <w:pStyle w:val="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</w:p>
    <w:p w:rsidR="00187736" w:rsidRDefault="00BB2935" w:rsidP="004D279E">
      <w:pPr>
        <w:pStyle w:val="2"/>
        <w:widowControl w:val="0"/>
        <w:numPr>
          <w:ilvl w:val="1"/>
          <w:numId w:val="0"/>
        </w:numPr>
        <w:tabs>
          <w:tab w:val="num" w:pos="756"/>
        </w:tabs>
        <w:spacing w:before="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</w:t>
      </w:r>
      <w:r w:rsidR="004D279E">
        <w:rPr>
          <w:b/>
          <w:sz w:val="26"/>
          <w:szCs w:val="26"/>
        </w:rPr>
        <w:t>КТРОЭНЕРГИИ (Приложение № </w:t>
      </w:r>
      <w:r>
        <w:rPr>
          <w:b/>
          <w:sz w:val="26"/>
          <w:szCs w:val="26"/>
        </w:rPr>
        <w:t>16 к Договору о присоединении к торговой системе оптового рынка)</w:t>
      </w:r>
    </w:p>
    <w:p w:rsidR="00187736" w:rsidRDefault="00187736" w:rsidP="004D279E">
      <w:pPr>
        <w:widowControl w:val="0"/>
        <w:spacing w:after="0" w:line="240" w:lineRule="auto"/>
        <w:rPr>
          <w:rFonts w:ascii="Garamond" w:hAnsi="Garamond"/>
          <w:b/>
          <w:bCs/>
        </w:rPr>
      </w:pPr>
    </w:p>
    <w:p w:rsidR="00187736" w:rsidRDefault="00BB2935" w:rsidP="004D279E">
      <w:pPr>
        <w:widowControl w:val="0"/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>Редакция, действующая на момент вступления в силу изменений</w:t>
      </w:r>
    </w:p>
    <w:p w:rsidR="00187736" w:rsidRDefault="00BB2935">
      <w:pPr>
        <w:spacing w:after="0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Приложение 103б</w:t>
      </w:r>
    </w:p>
    <w:p w:rsidR="00187736" w:rsidRDefault="00BB2935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:rsidR="00187736" w:rsidRDefault="00BB293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финансовых результатах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187736">
        <w:trPr>
          <w:trHeight w:val="182"/>
        </w:trPr>
        <w:tc>
          <w:tcPr>
            <w:tcW w:w="4390" w:type="dxa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квартала\год):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center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ФИО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center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center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:rsidR="00187736" w:rsidRDefault="00187736">
      <w:pPr>
        <w:spacing w:after="0"/>
        <w:rPr>
          <w:rFonts w:ascii="Garamond" w:hAnsi="Garamond"/>
        </w:rPr>
      </w:pPr>
    </w:p>
    <w:p w:rsidR="00187736" w:rsidRDefault="00BB2935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235"/>
        <w:gridCol w:w="1233"/>
        <w:gridCol w:w="1470"/>
        <w:gridCol w:w="1276"/>
      </w:tblGrid>
      <w:tr w:rsidR="00187736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</w:tr>
      <w:tr w:rsidR="00187736">
        <w:trPr>
          <w:trHeight w:val="174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Выручка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Себестоимость продаж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 xml:space="preserve"> в </w:t>
            </w:r>
            <w:proofErr w:type="spellStart"/>
            <w:r>
              <w:rPr>
                <w:rFonts w:ascii="Garamond" w:hAnsi="Garamond"/>
                <w:highlight w:val="yellow"/>
              </w:rPr>
              <w:t>т.ч</w:t>
            </w:r>
            <w:proofErr w:type="spellEnd"/>
            <w:r>
              <w:rPr>
                <w:rFonts w:ascii="Garamond" w:hAnsi="Garamond"/>
                <w:highlight w:val="yellow"/>
              </w:rPr>
              <w:t>. амортизационные отчисления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highlight w:val="yellow"/>
              </w:rPr>
              <w:t>2 121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Валовая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Коммерческие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Управленческие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на управляющую организацию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от продаж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от участия в других организациях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получению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уплате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Прочие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до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текущий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Прочее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Чистая прибыль (убыток)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отчетный период.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187736">
        <w:trPr>
          <w:trHeight w:val="25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период предыдущего года, аналогичный отчетному периоду.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:rsidR="00187736" w:rsidRDefault="00187736"/>
    <w:p w:rsidR="00187736" w:rsidRDefault="00BB2935">
      <w:pPr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Предлагаемая редакция </w:t>
      </w:r>
    </w:p>
    <w:p w:rsidR="00187736" w:rsidRDefault="00BB2935">
      <w:pPr>
        <w:spacing w:after="0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Приложение 103б</w:t>
      </w:r>
    </w:p>
    <w:p w:rsidR="00187736" w:rsidRDefault="00BB2935">
      <w:pPr>
        <w:spacing w:after="0"/>
        <w:ind w:left="4956" w:firstLine="708"/>
        <w:jc w:val="right"/>
        <w:rPr>
          <w:rFonts w:ascii="Garamond" w:hAnsi="Garamond"/>
        </w:rPr>
      </w:pPr>
      <w:r>
        <w:rPr>
          <w:rFonts w:ascii="Garamond" w:hAnsi="Garamond"/>
        </w:rPr>
        <w:t>к Регламенту финансовых расчетов</w:t>
      </w:r>
    </w:p>
    <w:p w:rsidR="00187736" w:rsidRDefault="00BB2935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Отчет о финансовых результатах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260"/>
      </w:tblGrid>
      <w:tr w:rsidR="00187736">
        <w:trPr>
          <w:trHeight w:val="182"/>
        </w:trPr>
        <w:tc>
          <w:tcPr>
            <w:tcW w:w="4390" w:type="dxa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Наименование организации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Код участника ОРЭ: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Период (№ квартала\год):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center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ФИО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center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Телефон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center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Должность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  <w:tr w:rsidR="00187736">
        <w:tc>
          <w:tcPr>
            <w:tcW w:w="4390" w:type="dxa"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Адрес электронной почты исполнителя:</w:t>
            </w:r>
          </w:p>
        </w:tc>
        <w:tc>
          <w:tcPr>
            <w:tcW w:w="3260" w:type="dxa"/>
          </w:tcPr>
          <w:p w:rsidR="00187736" w:rsidRDefault="00187736">
            <w:pPr>
              <w:spacing w:after="0"/>
              <w:rPr>
                <w:rFonts w:ascii="Garamond" w:hAnsi="Garamond"/>
                <w:b/>
                <w:bCs/>
              </w:rPr>
            </w:pPr>
          </w:p>
        </w:tc>
      </w:tr>
    </w:tbl>
    <w:p w:rsidR="00187736" w:rsidRDefault="00187736">
      <w:pPr>
        <w:spacing w:after="0"/>
        <w:rPr>
          <w:rFonts w:ascii="Garamond" w:hAnsi="Garamond"/>
        </w:rPr>
      </w:pPr>
    </w:p>
    <w:p w:rsidR="00187736" w:rsidRDefault="00BB2935">
      <w:pPr>
        <w:rPr>
          <w:rFonts w:ascii="Garamond" w:hAnsi="Garamond"/>
        </w:rPr>
      </w:pPr>
      <w:r>
        <w:rPr>
          <w:rFonts w:ascii="Garamond" w:hAnsi="Garamond"/>
        </w:rPr>
        <w:t>Единица измерения: тыс. руб.</w:t>
      </w:r>
    </w:p>
    <w:tbl>
      <w:tblPr>
        <w:tblW w:w="921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235"/>
        <w:gridCol w:w="1233"/>
        <w:gridCol w:w="1470"/>
        <w:gridCol w:w="1276"/>
      </w:tblGrid>
      <w:tr w:rsidR="00187736">
        <w:trPr>
          <w:trHeight w:val="25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Наименование показателя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Код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За ___20___г. </w:t>
            </w:r>
            <w:r>
              <w:rPr>
                <w:rFonts w:ascii="Garamond" w:hAnsi="Garamond"/>
                <w:b/>
                <w:bCs/>
                <w:vertAlign w:val="superscript"/>
              </w:rPr>
              <w:t>2</w:t>
            </w:r>
          </w:p>
        </w:tc>
      </w:tr>
      <w:tr w:rsidR="00187736">
        <w:trPr>
          <w:trHeight w:val="174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Выручка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20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Себестоимость продаж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2 120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Валовая прибыль (убыток)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2 100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Коммерческие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Управленческие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на управляющую организацию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2 221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от продаж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2 200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Доходы от участия в других организациях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получению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Проценты к уплате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доходы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Прочие расходы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2 350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Прибыль (убыток) до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2 300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в </w:t>
            </w:r>
            <w:proofErr w:type="spellStart"/>
            <w:r>
              <w:rPr>
                <w:rFonts w:ascii="Garamond" w:hAnsi="Garamond"/>
              </w:rPr>
              <w:t>т.ч</w:t>
            </w:r>
            <w:proofErr w:type="spellEnd"/>
            <w:r>
              <w:rPr>
                <w:rFonts w:ascii="Garamond" w:hAnsi="Garamond"/>
              </w:rPr>
              <w:t>. текущий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отложенный 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Прочее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2 460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Чистая прибыль (убыток)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2 400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</w:rPr>
            </w:pP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bCs/>
                <w:highlight w:val="yellow"/>
              </w:rPr>
            </w:pPr>
            <w:proofErr w:type="spellStart"/>
            <w:r>
              <w:rPr>
                <w:rFonts w:ascii="Garamond" w:hAnsi="Garamond"/>
                <w:bCs/>
                <w:highlight w:val="yellow"/>
              </w:rPr>
              <w:t>Справочно</w:t>
            </w:r>
            <w:proofErr w:type="spellEnd"/>
          </w:p>
          <w:p w:rsidR="00187736" w:rsidRDefault="00BB2935">
            <w:pPr>
              <w:spacing w:after="0"/>
              <w:rPr>
                <w:rFonts w:ascii="Garamond" w:hAnsi="Garamond"/>
                <w:bCs/>
                <w:highlight w:val="yellow"/>
              </w:rPr>
            </w:pPr>
            <w:r>
              <w:rPr>
                <w:rFonts w:ascii="Garamond" w:hAnsi="Garamond"/>
                <w:bCs/>
                <w:highlight w:val="yellow"/>
              </w:rPr>
              <w:t>Амортизационные отчисления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87736" w:rsidRDefault="00BB2935">
            <w:pPr>
              <w:spacing w:after="0"/>
              <w:jc w:val="right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  <w:highlight w:val="yellow"/>
              </w:rPr>
              <w:t>2 600а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 </w:t>
            </w:r>
          </w:p>
        </w:tc>
      </w:tr>
      <w:tr w:rsidR="00187736">
        <w:trPr>
          <w:trHeight w:val="25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lastRenderedPageBreak/>
              <w:t>1</w:t>
            </w:r>
            <w:r>
              <w:rPr>
                <w:rFonts w:ascii="Garamond" w:hAnsi="Garamond"/>
                <w:sz w:val="20"/>
              </w:rPr>
              <w:t xml:space="preserve"> Указывается отчетный период.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  <w:tr w:rsidR="00187736">
        <w:trPr>
          <w:trHeight w:val="255"/>
        </w:trPr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BB2935">
            <w:pPr>
              <w:spacing w:after="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vertAlign w:val="superscript"/>
              </w:rPr>
              <w:t>2</w:t>
            </w:r>
            <w:r>
              <w:rPr>
                <w:rFonts w:ascii="Garamond" w:hAnsi="Garamond"/>
                <w:sz w:val="20"/>
              </w:rPr>
              <w:t xml:space="preserve"> Указывается период предыдущего года, аналогичный отчетному периоду.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spacing w:after="0"/>
              <w:rPr>
                <w:rFonts w:ascii="Garamond" w:hAnsi="Garamond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7736" w:rsidRDefault="00187736">
            <w:pPr>
              <w:rPr>
                <w:rFonts w:ascii="Garamond" w:hAnsi="Garamond"/>
                <w:color w:val="000000"/>
                <w:sz w:val="20"/>
              </w:rPr>
            </w:pPr>
          </w:p>
        </w:tc>
      </w:tr>
    </w:tbl>
    <w:p w:rsidR="00187736" w:rsidRDefault="00BB2935">
      <w:r>
        <w:br w:type="page"/>
      </w:r>
    </w:p>
    <w:p w:rsidR="00187736" w:rsidRDefault="00187736">
      <w:pPr>
        <w:sectPr w:rsidR="00187736" w:rsidSect="004D279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187736" w:rsidRDefault="00BB2935" w:rsidP="001E00F6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3817E3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РЕГЛАМЕНТ МОНИТОРИНГА ЭНЕРГОСБЫТОВОЙ ДЕЯТЕЛЬНОСТИ ГАРАНТИРУЮЩИХ ПОСТАВЩИКОВ И ЭНЕРГОСБЫТОВЫХ ОРГАНИЗАЦИЙ </w:t>
      </w:r>
      <w:r w:rsidR="003817E3">
        <w:rPr>
          <w:rFonts w:ascii="Garamond" w:hAnsi="Garamond"/>
          <w:b/>
          <w:bCs/>
          <w:sz w:val="26"/>
          <w:szCs w:val="26"/>
        </w:rPr>
        <w:t>(Приложение </w:t>
      </w:r>
      <w:r w:rsidRPr="003817E3">
        <w:rPr>
          <w:rFonts w:ascii="Garamond" w:hAnsi="Garamond"/>
          <w:b/>
          <w:bCs/>
          <w:sz w:val="26"/>
          <w:szCs w:val="26"/>
        </w:rPr>
        <w:t>№ 29 к Договору о присоединении к торговой системе оптового рынка)</w:t>
      </w:r>
    </w:p>
    <w:p w:rsidR="001E00F6" w:rsidRPr="003817E3" w:rsidRDefault="001E00F6" w:rsidP="001E00F6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84"/>
        <w:gridCol w:w="7087"/>
      </w:tblGrid>
      <w:tr w:rsidR="00187736">
        <w:trPr>
          <w:trHeight w:val="435"/>
        </w:trPr>
        <w:tc>
          <w:tcPr>
            <w:tcW w:w="1008" w:type="dxa"/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187736" w:rsidRDefault="00BB29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Редакция, действующая на момент </w:t>
            </w:r>
          </w:p>
          <w:p w:rsidR="00187736" w:rsidRDefault="00BB29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187736" w:rsidRDefault="00BB2935">
            <w:pPr>
              <w:spacing w:after="0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187736" w:rsidRDefault="00BB2935">
            <w:pPr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187736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736" w:rsidRDefault="00C65634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>
              <w:rPr>
                <w:rFonts w:ascii="Garamond" w:hAnsi="Garamond" w:cs="Garamond"/>
                <w:b/>
                <w:bCs/>
                <w:lang w:val="en-US"/>
              </w:rPr>
              <w:t>4.2.4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6" w:rsidRDefault="00BB2935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Расчет фактического значения индикатора К6 осуществляется на основе данных форм </w:t>
            </w:r>
            <w:r>
              <w:rPr>
                <w:rFonts w:ascii="Garamond" w:hAnsi="Garamond"/>
              </w:rPr>
              <w:t xml:space="preserve">№ </w:t>
            </w:r>
            <w:r>
              <w:rPr>
                <w:rFonts w:ascii="Garamond" w:hAnsi="Garamond"/>
                <w:color w:val="000000"/>
              </w:rPr>
              <w:t xml:space="preserve">103а и </w:t>
            </w:r>
            <w:r>
              <w:rPr>
                <w:rFonts w:ascii="Garamond" w:hAnsi="Garamond"/>
              </w:rPr>
              <w:t xml:space="preserve">№ </w:t>
            </w:r>
            <w:r>
              <w:rPr>
                <w:rFonts w:ascii="Garamond" w:hAnsi="Garamond"/>
                <w:color w:val="000000"/>
              </w:rPr>
              <w:t xml:space="preserve">103б по </w:t>
            </w:r>
            <w:r>
              <w:rPr>
                <w:rFonts w:ascii="Garamond" w:hAnsi="Garamond"/>
              </w:rPr>
              <w:t>одной из следующих формул</w:t>
            </w:r>
            <w:r>
              <w:rPr>
                <w:rFonts w:ascii="Garamond" w:hAnsi="Garamond"/>
                <w:color w:val="000000"/>
              </w:rPr>
              <w:t>:</w:t>
            </w:r>
          </w:p>
          <w:p w:rsidR="00187736" w:rsidRDefault="00BB2935">
            <w:pPr>
              <w:pStyle w:val="a6"/>
              <w:widowControl w:val="0"/>
              <w:numPr>
                <w:ilvl w:val="0"/>
                <w:numId w:val="3"/>
              </w:numPr>
              <w:spacing w:before="120" w:after="120" w:line="240" w:lineRule="auto"/>
              <w:ind w:left="439" w:hanging="439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К6 = стр.1510 / [(стр. 2300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+ стр. 2330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 – стр. 2320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 + стр. </w:t>
            </w:r>
            <w:r>
              <w:rPr>
                <w:rFonts w:ascii="Garamond" w:hAnsi="Garamond"/>
                <w:highlight w:val="yellow"/>
              </w:rPr>
              <w:t>2121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значение))],</w:t>
            </w:r>
          </w:p>
          <w:p w:rsidR="00C65634" w:rsidRDefault="00BB2935">
            <w:pPr>
              <w:pStyle w:val="a6"/>
              <w:widowControl w:val="0"/>
              <w:spacing w:before="120" w:after="120" w:line="240" w:lineRule="auto"/>
              <w:ind w:left="864" w:hanging="425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где </w:t>
            </w:r>
            <w:r w:rsidR="00C65634">
              <w:rPr>
                <w:rFonts w:ascii="Garamond" w:hAnsi="Garamond"/>
              </w:rPr>
              <w:t>…</w:t>
            </w:r>
          </w:p>
          <w:p w:rsidR="00187736" w:rsidRDefault="00BB2935" w:rsidP="00C65634">
            <w:pPr>
              <w:pStyle w:val="a6"/>
              <w:widowControl w:val="0"/>
              <w:spacing w:before="120" w:after="120" w:line="240" w:lineRule="auto"/>
              <w:ind w:left="864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стр. </w:t>
            </w:r>
            <w:r>
              <w:rPr>
                <w:rFonts w:ascii="Garamond" w:hAnsi="Garamond"/>
                <w:highlight w:val="yellow"/>
              </w:rPr>
              <w:t>2121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 – амортизационные отчисления за предшествующие отчетной дате 4 квартала. Показатель формируется как сумма строки </w:t>
            </w:r>
            <w:r>
              <w:rPr>
                <w:rFonts w:ascii="Garamond" w:hAnsi="Garamond"/>
                <w:highlight w:val="yellow"/>
              </w:rPr>
              <w:t>2121</w:t>
            </w:r>
            <w:r>
              <w:rPr>
                <w:rFonts w:ascii="Garamond" w:hAnsi="Garamond"/>
              </w:rPr>
              <w:t xml:space="preserve"> (положительное значение) формы 103б за текущий квартал и разности </w:t>
            </w:r>
            <w:hyperlink r:id="rId6" w:history="1">
              <w:r>
                <w:rPr>
                  <w:rFonts w:ascii="Garamond" w:hAnsi="Garamond"/>
                  <w:highlight w:val="yellow"/>
                </w:rPr>
                <w:t>2121</w:t>
              </w:r>
            </w:hyperlink>
            <w:r>
              <w:rPr>
                <w:rFonts w:ascii="Garamond" w:hAnsi="Garamond"/>
              </w:rPr>
              <w:t xml:space="preserve"> (положительное значение) на конец прошлого года и аналогичный текущему период прошлого года;</w:t>
            </w:r>
          </w:p>
          <w:p w:rsidR="00187736" w:rsidRDefault="00BB2935">
            <w:pPr>
              <w:pStyle w:val="a6"/>
              <w:widowControl w:val="0"/>
              <w:numPr>
                <w:ilvl w:val="0"/>
                <w:numId w:val="3"/>
              </w:numPr>
              <w:spacing w:before="120" w:after="120" w:line="240" w:lineRule="auto"/>
              <w:ind w:left="439"/>
              <w:contextualSpacing w:val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в остальных случаях:</w:t>
            </w:r>
          </w:p>
          <w:p w:rsidR="00187736" w:rsidRDefault="00BB2935">
            <w:pPr>
              <w:pStyle w:val="a6"/>
              <w:widowControl w:val="0"/>
              <w:spacing w:before="120" w:after="120" w:line="240" w:lineRule="auto"/>
              <w:ind w:left="439"/>
              <w:contextualSpacing w:val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К6 = стр.1510 / [(стр. 2300 + стр. 2330 (положительное значение) – стр. 2320 (положительное значение) + стр. </w:t>
            </w:r>
            <w:r>
              <w:rPr>
                <w:rFonts w:ascii="Garamond" w:hAnsi="Garamond"/>
                <w:color w:val="000000"/>
                <w:highlight w:val="yellow"/>
              </w:rPr>
              <w:t>2121</w:t>
            </w:r>
            <w:r>
              <w:rPr>
                <w:rFonts w:ascii="Garamond" w:hAnsi="Garamond"/>
                <w:color w:val="000000"/>
              </w:rPr>
              <w:t xml:space="preserve"> (положительное значение)) * поправочный коэффициент периода], </w:t>
            </w:r>
          </w:p>
          <w:p w:rsidR="00C65634" w:rsidRDefault="00BB2935">
            <w:pPr>
              <w:pStyle w:val="a6"/>
              <w:widowControl w:val="0"/>
              <w:tabs>
                <w:tab w:val="left" w:pos="2552"/>
              </w:tabs>
              <w:spacing w:before="120" w:after="120" w:line="240" w:lineRule="auto"/>
              <w:ind w:left="2552" w:hanging="2113"/>
              <w:contextualSpacing w:val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где </w:t>
            </w:r>
            <w:r w:rsidR="00C65634">
              <w:rPr>
                <w:rFonts w:ascii="Garamond" w:hAnsi="Garamond"/>
                <w:color w:val="000000"/>
              </w:rPr>
              <w:t>…</w:t>
            </w:r>
          </w:p>
          <w:p w:rsidR="00187736" w:rsidRDefault="00BB2935" w:rsidP="00C65634">
            <w:pPr>
              <w:pStyle w:val="a6"/>
              <w:widowControl w:val="0"/>
              <w:tabs>
                <w:tab w:val="left" w:pos="2552"/>
              </w:tabs>
              <w:spacing w:before="120" w:after="120" w:line="240" w:lineRule="auto"/>
              <w:ind w:left="2552" w:hanging="1830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стр. </w:t>
            </w:r>
            <w:r>
              <w:rPr>
                <w:rFonts w:ascii="Garamond" w:hAnsi="Garamond"/>
                <w:color w:val="000000"/>
                <w:highlight w:val="yellow"/>
              </w:rPr>
              <w:t>2121</w:t>
            </w:r>
            <w:r>
              <w:rPr>
                <w:rFonts w:ascii="Garamond" w:hAnsi="Garamond"/>
                <w:color w:val="000000"/>
              </w:rPr>
              <w:t xml:space="preserve"> – амортизационные отчисления.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6" w:rsidRDefault="00BB2935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Расчет фактического значения индикатора К6 осуществляется на основе данных форм </w:t>
            </w:r>
            <w:r>
              <w:rPr>
                <w:rFonts w:ascii="Garamond" w:hAnsi="Garamond"/>
              </w:rPr>
              <w:t xml:space="preserve">№ </w:t>
            </w:r>
            <w:r>
              <w:rPr>
                <w:rFonts w:ascii="Garamond" w:hAnsi="Garamond"/>
                <w:color w:val="000000"/>
              </w:rPr>
              <w:t xml:space="preserve">103а и </w:t>
            </w:r>
            <w:r>
              <w:rPr>
                <w:rFonts w:ascii="Garamond" w:hAnsi="Garamond"/>
              </w:rPr>
              <w:t xml:space="preserve">№ </w:t>
            </w:r>
            <w:r>
              <w:rPr>
                <w:rFonts w:ascii="Garamond" w:hAnsi="Garamond"/>
                <w:color w:val="000000"/>
              </w:rPr>
              <w:t xml:space="preserve">103б по </w:t>
            </w:r>
            <w:r>
              <w:rPr>
                <w:rFonts w:ascii="Garamond" w:hAnsi="Garamond"/>
              </w:rPr>
              <w:t>одной из следующих формул</w:t>
            </w:r>
            <w:r>
              <w:rPr>
                <w:rFonts w:ascii="Garamond" w:hAnsi="Garamond"/>
                <w:color w:val="000000"/>
              </w:rPr>
              <w:t>:</w:t>
            </w:r>
          </w:p>
          <w:p w:rsidR="00187736" w:rsidRDefault="00BB2935" w:rsidP="00C65634">
            <w:pPr>
              <w:pStyle w:val="a6"/>
              <w:widowControl w:val="0"/>
              <w:numPr>
                <w:ilvl w:val="0"/>
                <w:numId w:val="4"/>
              </w:numPr>
              <w:spacing w:before="120" w:after="120" w:line="240" w:lineRule="auto"/>
              <w:ind w:left="459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К6 = стр.1510 / [(стр. 2300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+ стр. 2330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 – стр. 2320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 + стр. </w:t>
            </w:r>
            <w:r>
              <w:rPr>
                <w:rFonts w:ascii="Garamond" w:hAnsi="Garamond"/>
                <w:highlight w:val="yellow"/>
              </w:rPr>
              <w:t>2600а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значение))],</w:t>
            </w:r>
          </w:p>
          <w:p w:rsidR="00C65634" w:rsidRDefault="00BB2935">
            <w:pPr>
              <w:pStyle w:val="a6"/>
              <w:widowControl w:val="0"/>
              <w:spacing w:before="120" w:after="120" w:line="240" w:lineRule="auto"/>
              <w:ind w:left="864" w:hanging="425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где </w:t>
            </w:r>
            <w:r w:rsidR="00C65634">
              <w:rPr>
                <w:rFonts w:ascii="Garamond" w:hAnsi="Garamond"/>
              </w:rPr>
              <w:t>…</w:t>
            </w:r>
          </w:p>
          <w:p w:rsidR="00187736" w:rsidRDefault="00BB2935" w:rsidP="00C65634">
            <w:pPr>
              <w:pStyle w:val="a6"/>
              <w:widowControl w:val="0"/>
              <w:spacing w:before="120" w:after="120" w:line="240" w:lineRule="auto"/>
              <w:ind w:left="864" w:firstLine="20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стр. </w:t>
            </w:r>
            <w:r>
              <w:rPr>
                <w:rFonts w:ascii="Garamond" w:hAnsi="Garamond"/>
                <w:highlight w:val="yellow"/>
              </w:rPr>
              <w:t>2600а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пг</w:t>
            </w:r>
            <w:proofErr w:type="spellEnd"/>
            <w:r>
              <w:rPr>
                <w:rFonts w:ascii="Garamond" w:hAnsi="Garamond"/>
              </w:rPr>
              <w:t xml:space="preserve"> (положительное значение) – амортизационные отчисления за предшествующие отчетной дате 4 квартала. Показатель формируется как сумма строки </w:t>
            </w:r>
            <w:r>
              <w:rPr>
                <w:rFonts w:ascii="Garamond" w:hAnsi="Garamond"/>
                <w:highlight w:val="yellow"/>
              </w:rPr>
              <w:t>2600а</w:t>
            </w:r>
            <w:r>
              <w:rPr>
                <w:rFonts w:ascii="Garamond" w:hAnsi="Garamond"/>
              </w:rPr>
              <w:t xml:space="preserve"> (положительное значение) формы 103б за текущий квартал и разности </w:t>
            </w:r>
            <w:r>
              <w:rPr>
                <w:rFonts w:ascii="Garamond" w:hAnsi="Garamond"/>
                <w:highlight w:val="yellow"/>
              </w:rPr>
              <w:t>2600а</w:t>
            </w:r>
            <w:r>
              <w:rPr>
                <w:rFonts w:ascii="Garamond" w:hAnsi="Garamond"/>
              </w:rPr>
              <w:t xml:space="preserve"> (положительное значение) на конец прошлого года и аналогичный текущему период прошлого года;</w:t>
            </w:r>
          </w:p>
          <w:p w:rsidR="00187736" w:rsidRDefault="00BB2935" w:rsidP="00C65634">
            <w:pPr>
              <w:pStyle w:val="a6"/>
              <w:widowControl w:val="0"/>
              <w:numPr>
                <w:ilvl w:val="0"/>
                <w:numId w:val="4"/>
              </w:numPr>
              <w:spacing w:before="120" w:after="120" w:line="240" w:lineRule="auto"/>
              <w:ind w:left="439"/>
              <w:contextualSpacing w:val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в остальных случаях:</w:t>
            </w:r>
          </w:p>
          <w:p w:rsidR="00187736" w:rsidRDefault="00BB2935">
            <w:pPr>
              <w:pStyle w:val="a6"/>
              <w:widowControl w:val="0"/>
              <w:spacing w:before="120" w:after="120" w:line="240" w:lineRule="auto"/>
              <w:ind w:left="439"/>
              <w:contextualSpacing w:val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К6 = стр.1510 / [(стр. 2300 + стр. 2330 (положительное значение) – стр. 2320 (положительное значение) + стр. </w:t>
            </w:r>
            <w:r>
              <w:rPr>
                <w:rFonts w:ascii="Garamond" w:hAnsi="Garamond"/>
                <w:highlight w:val="yellow"/>
              </w:rPr>
              <w:t>2600а</w:t>
            </w:r>
            <w:r>
              <w:rPr>
                <w:rFonts w:ascii="Garamond" w:hAnsi="Garamond"/>
                <w:color w:val="000000"/>
              </w:rPr>
              <w:t xml:space="preserve"> (положительное значение)) * поправочный коэффициент периода], </w:t>
            </w:r>
          </w:p>
          <w:p w:rsidR="00C65634" w:rsidRDefault="00BB2935">
            <w:pPr>
              <w:spacing w:before="120" w:after="12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где </w:t>
            </w:r>
            <w:r w:rsidR="00C65634">
              <w:rPr>
                <w:rFonts w:ascii="Garamond" w:hAnsi="Garamond"/>
                <w:color w:val="000000"/>
              </w:rPr>
              <w:t>…</w:t>
            </w:r>
          </w:p>
          <w:p w:rsidR="00187736" w:rsidRDefault="00BB2935" w:rsidP="00C65634">
            <w:pPr>
              <w:spacing w:before="120" w:after="120"/>
              <w:ind w:left="31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стр. </w:t>
            </w:r>
            <w:r>
              <w:rPr>
                <w:rFonts w:ascii="Garamond" w:hAnsi="Garamond"/>
                <w:highlight w:val="yellow"/>
              </w:rPr>
              <w:t>2600а</w:t>
            </w:r>
            <w:r>
              <w:rPr>
                <w:rFonts w:ascii="Garamond" w:hAnsi="Garamond"/>
                <w:color w:val="000000"/>
              </w:rPr>
              <w:t xml:space="preserve"> – амортизационные отчисления.</w:t>
            </w:r>
          </w:p>
        </w:tc>
      </w:tr>
    </w:tbl>
    <w:p w:rsidR="00187736" w:rsidRDefault="00187736"/>
    <w:sectPr w:rsidR="001877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0B41A00"/>
    <w:lvl w:ilvl="0">
      <w:start w:val="1"/>
      <w:numFmt w:val="none"/>
      <w:pStyle w:val="1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1080"/>
        </w:tabs>
      </w:pPr>
      <w:rPr>
        <w:rFonts w:cs="Times New Roman" w:hint="default"/>
        <w:b w:val="0"/>
        <w:i w:val="0"/>
      </w:rPr>
    </w:lvl>
    <w:lvl w:ilvl="3">
      <w:start w:val="1"/>
      <w:numFmt w:val="decimal"/>
      <w:pStyle w:val="4"/>
      <w:lvlText w:val="%2.%3.%4"/>
      <w:lvlJc w:val="left"/>
      <w:pPr>
        <w:tabs>
          <w:tab w:val="num" w:pos="1260"/>
        </w:tabs>
        <w:ind w:left="1260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lowerRoman"/>
      <w:pStyle w:val="6"/>
      <w:lvlText w:val="%6)"/>
      <w:lvlJc w:val="left"/>
      <w:pPr>
        <w:tabs>
          <w:tab w:val="num" w:pos="1080"/>
        </w:tabs>
      </w:pPr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1" w15:restartNumberingAfterBreak="0">
    <w:nsid w:val="22EC6BB1"/>
    <w:multiLevelType w:val="hybridMultilevel"/>
    <w:tmpl w:val="5BC86390"/>
    <w:lvl w:ilvl="0" w:tplc="2DD0D1B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5D596F94"/>
    <w:multiLevelType w:val="hybridMultilevel"/>
    <w:tmpl w:val="5BC86390"/>
    <w:lvl w:ilvl="0" w:tplc="2DD0D1BE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36"/>
    <w:rsid w:val="00187736"/>
    <w:rsid w:val="001E00F6"/>
    <w:rsid w:val="003817E3"/>
    <w:rsid w:val="004D279E"/>
    <w:rsid w:val="00720268"/>
    <w:rsid w:val="00885386"/>
    <w:rsid w:val="00B412AB"/>
    <w:rsid w:val="00BB2935"/>
    <w:rsid w:val="00C65634"/>
    <w:rsid w:val="00F3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00C6E-54DC-44F8-82C1-DC437D4C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"/>
    <w:basedOn w:val="a"/>
    <w:next w:val="a"/>
    <w:link w:val="10"/>
    <w:qFormat/>
    <w:pPr>
      <w:numPr>
        <w:numId w:val="1"/>
      </w:numPr>
      <w:tabs>
        <w:tab w:val="left" w:pos="1134"/>
      </w:tabs>
      <w:spacing w:before="240" w:after="120" w:line="270" w:lineRule="atLeast"/>
      <w:outlineLvl w:val="0"/>
    </w:pPr>
    <w:rPr>
      <w:rFonts w:ascii="Garamond" w:eastAsia="Times New Roman" w:hAnsi="Garamond"/>
      <w:b/>
      <w:sz w:val="20"/>
      <w:szCs w:val="20"/>
      <w:lang w:val="x-none" w:eastAsia="ru-RU"/>
    </w:rPr>
  </w:style>
  <w:style w:type="paragraph" w:styleId="2">
    <w:name w:val="heading 2"/>
    <w:aliases w:val="h2,h21,Заголовок пункта (1.1),5,Reset numbering,222"/>
    <w:basedOn w:val="a"/>
    <w:next w:val="a"/>
    <w:link w:val="20"/>
    <w:qFormat/>
    <w:pPr>
      <w:keepNext/>
      <w:numPr>
        <w:ilvl w:val="1"/>
        <w:numId w:val="1"/>
      </w:numPr>
      <w:tabs>
        <w:tab w:val="left" w:pos="1134"/>
      </w:tabs>
      <w:spacing w:before="120" w:after="120" w:line="312" w:lineRule="exact"/>
      <w:outlineLvl w:val="1"/>
    </w:pPr>
    <w:rPr>
      <w:rFonts w:ascii="Garamond" w:eastAsia="Times New Roman" w:hAnsi="Garamond"/>
      <w:bCs/>
      <w:sz w:val="20"/>
      <w:szCs w:val="20"/>
      <w:lang w:val="x-none" w:eastAsia="ru-RU"/>
    </w:rPr>
  </w:style>
  <w:style w:type="paragraph" w:styleId="3">
    <w:name w:val="heading 3"/>
    <w:aliases w:val="Заголовок подпукта (1.1.1),Level 1 - 1,H3,o"/>
    <w:basedOn w:val="a"/>
    <w:next w:val="a"/>
    <w:link w:val="30"/>
    <w:qFormat/>
    <w:pPr>
      <w:numPr>
        <w:ilvl w:val="2"/>
        <w:numId w:val="1"/>
      </w:numPr>
      <w:tabs>
        <w:tab w:val="left" w:pos="1134"/>
      </w:tabs>
      <w:spacing w:before="120" w:line="270" w:lineRule="atLeast"/>
      <w:outlineLvl w:val="2"/>
    </w:pPr>
    <w:rPr>
      <w:rFonts w:ascii="NewsGoth BT" w:eastAsia="Times New Roman" w:hAnsi="NewsGoth BT"/>
      <w:b/>
      <w:sz w:val="20"/>
      <w:szCs w:val="20"/>
      <w:lang w:val="de-DE" w:eastAsia="x-none"/>
    </w:rPr>
  </w:style>
  <w:style w:type="paragraph" w:styleId="4">
    <w:name w:val="heading 4"/>
    <w:aliases w:val="H41,Sub-Minor,Level 2 - a"/>
    <w:basedOn w:val="a"/>
    <w:next w:val="a"/>
    <w:link w:val="40"/>
    <w:uiPriority w:val="9"/>
    <w:qFormat/>
    <w:pPr>
      <w:numPr>
        <w:ilvl w:val="3"/>
        <w:numId w:val="1"/>
      </w:numPr>
      <w:tabs>
        <w:tab w:val="left" w:pos="1134"/>
      </w:tabs>
      <w:spacing w:before="120" w:line="270" w:lineRule="atLeast"/>
      <w:outlineLvl w:val="3"/>
    </w:pPr>
    <w:rPr>
      <w:rFonts w:ascii="NewsGoth BT" w:eastAsia="Times New Roman" w:hAnsi="NewsGoth BT"/>
      <w:b/>
      <w:sz w:val="20"/>
      <w:szCs w:val="20"/>
      <w:lang w:val="de-DE" w:eastAsia="ru-RU"/>
    </w:rPr>
  </w:style>
  <w:style w:type="paragraph" w:styleId="5">
    <w:name w:val="heading 5"/>
    <w:aliases w:val="h5,h51,H5,H51,h52,test,Block Label,Level 3 - i"/>
    <w:basedOn w:val="a"/>
    <w:next w:val="a"/>
    <w:link w:val="50"/>
    <w:uiPriority w:val="99"/>
    <w:qFormat/>
    <w:pPr>
      <w:numPr>
        <w:ilvl w:val="4"/>
        <w:numId w:val="1"/>
      </w:numPr>
      <w:spacing w:before="240" w:after="60" w:line="270" w:lineRule="atLeast"/>
      <w:outlineLvl w:val="4"/>
    </w:pPr>
    <w:rPr>
      <w:rFonts w:ascii="Arial" w:eastAsia="Times New Roman" w:hAnsi="Arial"/>
      <w:sz w:val="20"/>
      <w:szCs w:val="20"/>
      <w:lang w:val="de-DE" w:eastAsia="ru-RU"/>
    </w:rPr>
  </w:style>
  <w:style w:type="paragraph" w:styleId="6">
    <w:name w:val="heading 6"/>
    <w:aliases w:val="Legal Level 1."/>
    <w:basedOn w:val="a"/>
    <w:next w:val="a"/>
    <w:link w:val="60"/>
    <w:uiPriority w:val="99"/>
    <w:qFormat/>
    <w:pPr>
      <w:numPr>
        <w:ilvl w:val="5"/>
        <w:numId w:val="1"/>
      </w:numPr>
      <w:spacing w:before="240" w:after="60" w:line="270" w:lineRule="atLeast"/>
      <w:outlineLvl w:val="5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pPr>
      <w:numPr>
        <w:ilvl w:val="6"/>
        <w:numId w:val="1"/>
      </w:numPr>
      <w:spacing w:before="240" w:after="60" w:line="270" w:lineRule="atLeast"/>
      <w:outlineLvl w:val="6"/>
    </w:pPr>
    <w:rPr>
      <w:rFonts w:ascii="Arial" w:eastAsia="Times New Roman" w:hAnsi="Arial"/>
      <w:sz w:val="20"/>
      <w:szCs w:val="20"/>
      <w:lang w:val="de-DE" w:eastAsia="ru-RU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pPr>
      <w:numPr>
        <w:ilvl w:val="7"/>
        <w:numId w:val="1"/>
      </w:numPr>
      <w:spacing w:before="240" w:after="60" w:line="270" w:lineRule="atLeast"/>
      <w:outlineLvl w:val="7"/>
    </w:pPr>
    <w:rPr>
      <w:rFonts w:ascii="Arial" w:eastAsia="Times New Roman" w:hAnsi="Arial"/>
      <w:i/>
      <w:sz w:val="20"/>
      <w:szCs w:val="20"/>
      <w:lang w:val="de-DE" w:eastAsia="ru-RU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pPr>
      <w:numPr>
        <w:ilvl w:val="8"/>
        <w:numId w:val="1"/>
      </w:numPr>
      <w:spacing w:before="240" w:after="60" w:line="270" w:lineRule="atLeast"/>
      <w:outlineLvl w:val="8"/>
    </w:pPr>
    <w:rPr>
      <w:rFonts w:ascii="Arial" w:eastAsia="Times New Roman" w:hAnsi="Arial"/>
      <w:i/>
      <w:sz w:val="18"/>
      <w:szCs w:val="20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0"/>
    <w:link w:val="2"/>
    <w:rPr>
      <w:rFonts w:ascii="Garamond" w:eastAsia="Times New Roman" w:hAnsi="Garamond" w:cs="Times New Roman"/>
      <w:bCs/>
      <w:sz w:val="20"/>
      <w:szCs w:val="20"/>
      <w:lang w:val="x-none" w:eastAsia="ru-RU"/>
    </w:rPr>
  </w:style>
  <w:style w:type="character" w:customStyle="1" w:styleId="30">
    <w:name w:val="Заголовок 3 Знак"/>
    <w:aliases w:val="Заголовок подпукта (1.1.1) Знак,Level 1 - 1 Знак,H3 Знак,o Знак"/>
    <w:basedOn w:val="a0"/>
    <w:link w:val="3"/>
    <w:rPr>
      <w:rFonts w:ascii="NewsGoth BT" w:eastAsia="Times New Roman" w:hAnsi="NewsGoth BT" w:cs="Times New Roman"/>
      <w:b/>
      <w:sz w:val="20"/>
      <w:szCs w:val="20"/>
      <w:lang w:val="de-DE" w:eastAsia="x-none"/>
    </w:rPr>
  </w:style>
  <w:style w:type="character" w:customStyle="1" w:styleId="40">
    <w:name w:val="Заголовок 4 Знак"/>
    <w:aliases w:val="H41 Знак,Sub-Minor Знак,Level 2 - a Знак"/>
    <w:basedOn w:val="a0"/>
    <w:link w:val="4"/>
    <w:uiPriority w:val="9"/>
    <w:rPr>
      <w:rFonts w:ascii="NewsGoth BT" w:eastAsia="Times New Roman" w:hAnsi="NewsGoth BT" w:cs="Times New Roman"/>
      <w:b/>
      <w:sz w:val="20"/>
      <w:szCs w:val="20"/>
      <w:lang w:val="de-DE"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Pr>
      <w:rFonts w:ascii="Arial" w:eastAsia="Times New Roman" w:hAnsi="Arial" w:cs="Times New Roman"/>
      <w:sz w:val="20"/>
      <w:szCs w:val="20"/>
      <w:lang w:val="de-DE" w:eastAsia="ru-RU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Pr>
      <w:rFonts w:ascii="Arial" w:eastAsia="Times New Roman" w:hAnsi="Arial" w:cs="Times New Roman"/>
      <w:i/>
      <w:sz w:val="20"/>
      <w:szCs w:val="20"/>
      <w:lang w:val="de-DE" w:eastAsia="ru-RU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Pr>
      <w:rFonts w:ascii="Arial" w:eastAsia="Times New Roman" w:hAnsi="Arial" w:cs="Times New Roman"/>
      <w:i/>
      <w:sz w:val="18"/>
      <w:szCs w:val="20"/>
      <w:lang w:val="de-DE" w:eastAsia="ru-RU"/>
    </w:rPr>
  </w:style>
  <w:style w:type="paragraph" w:styleId="a4">
    <w:name w:val="Body Text"/>
    <w:basedOn w:val="a"/>
    <w:link w:val="a5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1C6AE8BA2359926FF5B2E290AC7248AAA440AB65071DFCC2DE50D7DAD6A19D2EB1B25C6F7433714aAx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692E-26B0-4B83-AA4E-0A3E6BF0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ЦФР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 Артем Александрович</dc:creator>
  <cp:keywords/>
  <dc:description/>
  <cp:lastModifiedBy>Федяева Адиля Никитична</cp:lastModifiedBy>
  <cp:revision>25</cp:revision>
  <dcterms:created xsi:type="dcterms:W3CDTF">2020-04-27T06:28:00Z</dcterms:created>
  <dcterms:modified xsi:type="dcterms:W3CDTF">2020-06-18T08:32:00Z</dcterms:modified>
</cp:coreProperties>
</file>