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5DBAD" w14:textId="30F68A40" w:rsidR="00E4072F" w:rsidRDefault="00F7120C" w:rsidP="005917D1">
      <w:pPr>
        <w:widowControl w:val="0"/>
        <w:spacing w:after="0" w:line="240" w:lineRule="auto"/>
        <w:rPr>
          <w:rFonts w:ascii="Garamond" w:hAnsi="Garamond"/>
          <w:b/>
          <w:sz w:val="28"/>
          <w:szCs w:val="28"/>
        </w:rPr>
      </w:pPr>
      <w:r>
        <w:rPr>
          <w:rFonts w:ascii="Garamond" w:hAnsi="Garamond"/>
          <w:b/>
          <w:sz w:val="28"/>
          <w:szCs w:val="28"/>
          <w:lang w:val="en-US"/>
        </w:rPr>
        <w:t>VIII</w:t>
      </w:r>
      <w:r w:rsidRPr="00F7120C">
        <w:rPr>
          <w:rFonts w:ascii="Garamond" w:hAnsi="Garamond"/>
          <w:b/>
          <w:sz w:val="28"/>
          <w:szCs w:val="28"/>
        </w:rPr>
        <w:t xml:space="preserve">.4. </w:t>
      </w:r>
      <w:r w:rsidR="00D46B87">
        <w:rPr>
          <w:rFonts w:ascii="Garamond" w:hAnsi="Garamond"/>
          <w:b/>
          <w:sz w:val="28"/>
          <w:szCs w:val="28"/>
        </w:rPr>
        <w:t xml:space="preserve">Изменения, связанные </w:t>
      </w:r>
      <w:r w:rsidR="00CD41EB">
        <w:rPr>
          <w:rFonts w:ascii="Garamond" w:hAnsi="Garamond"/>
          <w:b/>
          <w:sz w:val="28"/>
          <w:szCs w:val="28"/>
        </w:rPr>
        <w:t>с</w:t>
      </w:r>
      <w:r w:rsidR="00875A06">
        <w:rPr>
          <w:rFonts w:ascii="Garamond" w:hAnsi="Garamond"/>
          <w:b/>
          <w:sz w:val="28"/>
          <w:szCs w:val="28"/>
        </w:rPr>
        <w:t xml:space="preserve"> </w:t>
      </w:r>
      <w:r w:rsidR="00FB7162">
        <w:rPr>
          <w:rFonts w:ascii="Garamond" w:hAnsi="Garamond"/>
          <w:b/>
          <w:sz w:val="28"/>
          <w:szCs w:val="28"/>
        </w:rPr>
        <w:t xml:space="preserve">особенностями функционирования </w:t>
      </w:r>
      <w:r w:rsidR="00F43014">
        <w:rPr>
          <w:rFonts w:ascii="Garamond" w:hAnsi="Garamond"/>
          <w:b/>
          <w:sz w:val="28"/>
          <w:szCs w:val="28"/>
        </w:rPr>
        <w:t xml:space="preserve">участников оптового рынка </w:t>
      </w:r>
      <w:r w:rsidR="007B2D0B">
        <w:rPr>
          <w:rFonts w:ascii="Garamond" w:hAnsi="Garamond"/>
          <w:b/>
          <w:sz w:val="28"/>
          <w:szCs w:val="28"/>
        </w:rPr>
        <w:t>при введении</w:t>
      </w:r>
      <w:r w:rsidR="00421801">
        <w:rPr>
          <w:rFonts w:ascii="Garamond" w:hAnsi="Garamond"/>
          <w:b/>
          <w:sz w:val="28"/>
          <w:szCs w:val="28"/>
        </w:rPr>
        <w:t xml:space="preserve"> в </w:t>
      </w:r>
      <w:r w:rsidR="004D601A" w:rsidRPr="004D601A">
        <w:rPr>
          <w:rFonts w:ascii="Garamond" w:hAnsi="Garamond"/>
          <w:b/>
          <w:sz w:val="28"/>
          <w:szCs w:val="28"/>
        </w:rPr>
        <w:t>отдельных субъектах Российской Федерации режима чрезвычайной ситуации федерального характера</w:t>
      </w:r>
      <w:r w:rsidR="004D601A">
        <w:rPr>
          <w:rFonts w:ascii="Garamond" w:hAnsi="Garamond"/>
          <w:b/>
          <w:sz w:val="28"/>
          <w:szCs w:val="28"/>
        </w:rPr>
        <w:t xml:space="preserve"> </w:t>
      </w:r>
      <w:r w:rsidR="001D3BCA">
        <w:rPr>
          <w:rFonts w:ascii="Garamond" w:hAnsi="Garamond"/>
          <w:b/>
          <w:sz w:val="28"/>
          <w:szCs w:val="28"/>
        </w:rPr>
        <w:t xml:space="preserve"> </w:t>
      </w:r>
      <w:r w:rsidR="00FB7162">
        <w:rPr>
          <w:rFonts w:ascii="Garamond" w:hAnsi="Garamond"/>
          <w:b/>
          <w:sz w:val="28"/>
          <w:szCs w:val="28"/>
        </w:rPr>
        <w:t xml:space="preserve">  </w:t>
      </w:r>
    </w:p>
    <w:p w14:paraId="59A4AB07" w14:textId="77777777" w:rsidR="00B2382D" w:rsidRDefault="00B2382D" w:rsidP="005917D1">
      <w:pPr>
        <w:widowControl w:val="0"/>
        <w:spacing w:after="0" w:line="240" w:lineRule="auto"/>
        <w:jc w:val="right"/>
        <w:rPr>
          <w:rFonts w:ascii="Garamond" w:hAnsi="Garamond"/>
          <w:b/>
          <w:sz w:val="28"/>
          <w:szCs w:val="28"/>
        </w:rPr>
      </w:pPr>
    </w:p>
    <w:p w14:paraId="1CB943EE" w14:textId="6D6BAA15" w:rsidR="00E4072F" w:rsidRPr="00F7120C" w:rsidRDefault="006975A5" w:rsidP="005917D1">
      <w:pPr>
        <w:widowControl w:val="0"/>
        <w:spacing w:after="0" w:line="240" w:lineRule="auto"/>
        <w:jc w:val="right"/>
        <w:rPr>
          <w:rFonts w:ascii="Garamond" w:hAnsi="Garamond"/>
          <w:b/>
          <w:sz w:val="28"/>
          <w:szCs w:val="28"/>
        </w:rPr>
      </w:pPr>
      <w:bookmarkStart w:id="0" w:name="_Hlk177141681"/>
      <w:r>
        <w:rPr>
          <w:rFonts w:ascii="Garamond" w:hAnsi="Garamond"/>
          <w:b/>
          <w:sz w:val="28"/>
          <w:szCs w:val="28"/>
        </w:rPr>
        <w:t xml:space="preserve">Приложение № </w:t>
      </w:r>
      <w:r w:rsidR="00F7120C">
        <w:rPr>
          <w:rFonts w:ascii="Garamond" w:hAnsi="Garamond"/>
          <w:b/>
          <w:sz w:val="28"/>
          <w:szCs w:val="28"/>
        </w:rPr>
        <w:t>8.4.1</w:t>
      </w:r>
    </w:p>
    <w:bookmarkEnd w:id="0"/>
    <w:p w14:paraId="0A6FD143" w14:textId="77777777" w:rsidR="00E4072F" w:rsidRDefault="00E4072F" w:rsidP="005917D1">
      <w:pPr>
        <w:widowControl w:val="0"/>
        <w:spacing w:after="0" w:line="240" w:lineRule="auto"/>
        <w:jc w:val="right"/>
        <w:rPr>
          <w:rFonts w:ascii="Garamond" w:hAnsi="Garamond"/>
          <w:b/>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E4072F" w14:paraId="76D477FC" w14:textId="77777777" w:rsidTr="00DE5088">
        <w:trPr>
          <w:trHeight w:val="1013"/>
        </w:trPr>
        <w:tc>
          <w:tcPr>
            <w:tcW w:w="14596" w:type="dxa"/>
            <w:tcBorders>
              <w:top w:val="single" w:sz="4" w:space="0" w:color="auto"/>
              <w:left w:val="single" w:sz="4" w:space="0" w:color="auto"/>
              <w:bottom w:val="single" w:sz="4" w:space="0" w:color="auto"/>
              <w:right w:val="single" w:sz="4" w:space="0" w:color="auto"/>
            </w:tcBorders>
          </w:tcPr>
          <w:p w14:paraId="7EBBBBF8" w14:textId="77777777" w:rsidR="00E4072F" w:rsidRPr="008143B8" w:rsidRDefault="00D46B87" w:rsidP="005917D1">
            <w:pPr>
              <w:widowControl w:val="0"/>
              <w:tabs>
                <w:tab w:val="left" w:pos="0"/>
                <w:tab w:val="left" w:pos="3420"/>
              </w:tabs>
              <w:spacing w:after="0" w:line="240" w:lineRule="auto"/>
              <w:rPr>
                <w:rFonts w:ascii="Garamond" w:hAnsi="Garamond"/>
                <w:sz w:val="24"/>
                <w:szCs w:val="24"/>
              </w:rPr>
            </w:pPr>
            <w:r w:rsidRPr="00640552">
              <w:rPr>
                <w:rFonts w:ascii="Garamond" w:hAnsi="Garamond"/>
                <w:b/>
                <w:sz w:val="24"/>
                <w:szCs w:val="24"/>
              </w:rPr>
              <w:t xml:space="preserve">Инициатор: </w:t>
            </w:r>
            <w:r w:rsidR="00FF5088" w:rsidRPr="008B4821">
              <w:rPr>
                <w:rFonts w:ascii="Garamond" w:hAnsi="Garamond"/>
                <w:sz w:val="24"/>
                <w:szCs w:val="24"/>
              </w:rPr>
              <w:t>АО «АтомЭнергоСбыт»</w:t>
            </w:r>
            <w:r w:rsidR="008B4821">
              <w:rPr>
                <w:rFonts w:ascii="Garamond" w:hAnsi="Garamond"/>
                <w:sz w:val="24"/>
                <w:szCs w:val="24"/>
              </w:rPr>
              <w:t>.</w:t>
            </w:r>
            <w:r w:rsidR="00FF5088">
              <w:rPr>
                <w:rFonts w:ascii="Garamond" w:hAnsi="Garamond"/>
                <w:b/>
                <w:sz w:val="24"/>
                <w:szCs w:val="24"/>
              </w:rPr>
              <w:t xml:space="preserve"> </w:t>
            </w:r>
          </w:p>
          <w:p w14:paraId="032727FC" w14:textId="0AADD3BB" w:rsidR="006975A5" w:rsidRPr="00031D16" w:rsidRDefault="00D46B87" w:rsidP="005917D1">
            <w:pPr>
              <w:autoSpaceDE w:val="0"/>
              <w:autoSpaceDN w:val="0"/>
              <w:adjustRightInd w:val="0"/>
              <w:spacing w:after="0" w:line="240" w:lineRule="auto"/>
              <w:jc w:val="both"/>
              <w:outlineLvl w:val="0"/>
              <w:rPr>
                <w:rFonts w:ascii="Garamond" w:hAnsi="Garamond"/>
                <w:sz w:val="24"/>
                <w:szCs w:val="24"/>
              </w:rPr>
            </w:pPr>
            <w:r>
              <w:rPr>
                <w:rFonts w:ascii="Garamond" w:hAnsi="Garamond"/>
                <w:b/>
                <w:sz w:val="24"/>
                <w:szCs w:val="24"/>
              </w:rPr>
              <w:t xml:space="preserve">Обоснование: </w:t>
            </w:r>
            <w:r w:rsidR="00D84011">
              <w:rPr>
                <w:rFonts w:ascii="Garamond" w:hAnsi="Garamond"/>
                <w:sz w:val="24"/>
                <w:szCs w:val="24"/>
              </w:rPr>
              <w:t xml:space="preserve">предлагается внести изменения в </w:t>
            </w:r>
            <w:r w:rsidR="00031D16" w:rsidRPr="00031D16">
              <w:rPr>
                <w:rFonts w:ascii="Garamond" w:hAnsi="Garamond"/>
                <w:sz w:val="24"/>
                <w:szCs w:val="24"/>
              </w:rPr>
              <w:t>Порядок установления соответствия систем учета электроэнергии техническим требованиям оптового рынка (Приложение № 11.3 к Положению о порядке получения статуса субъекта оптового рынка и ведения реестра субъектов оптового рынка)</w:t>
            </w:r>
            <w:r w:rsidR="004331CF">
              <w:rPr>
                <w:rFonts w:ascii="Garamond" w:hAnsi="Garamond"/>
                <w:sz w:val="24"/>
                <w:szCs w:val="24"/>
              </w:rPr>
              <w:t xml:space="preserve"> в связи с </w:t>
            </w:r>
            <w:r w:rsidR="004331CF" w:rsidRPr="00031D16">
              <w:rPr>
                <w:rFonts w:ascii="Garamond" w:hAnsi="Garamond"/>
                <w:sz w:val="24"/>
                <w:szCs w:val="24"/>
              </w:rPr>
              <w:t xml:space="preserve">введением в отдельных субъектах Российской Федерации режима чрезвычайной ситуации федерального </w:t>
            </w:r>
            <w:r w:rsidR="004D601A" w:rsidRPr="00031D16">
              <w:rPr>
                <w:rFonts w:ascii="Garamond" w:hAnsi="Garamond"/>
                <w:sz w:val="24"/>
                <w:szCs w:val="24"/>
              </w:rPr>
              <w:t>характера</w:t>
            </w:r>
            <w:r w:rsidR="004331CF" w:rsidRPr="00031D16">
              <w:rPr>
                <w:rFonts w:ascii="Garamond" w:hAnsi="Garamond"/>
                <w:sz w:val="24"/>
                <w:szCs w:val="24"/>
              </w:rPr>
              <w:t xml:space="preserve">. </w:t>
            </w:r>
          </w:p>
          <w:p w14:paraId="1035B103" w14:textId="22F85E46" w:rsidR="004E03C7" w:rsidRPr="00031D16" w:rsidRDefault="00D46B87" w:rsidP="005917D1">
            <w:pPr>
              <w:autoSpaceDE w:val="0"/>
              <w:autoSpaceDN w:val="0"/>
              <w:adjustRightInd w:val="0"/>
              <w:spacing w:after="0" w:line="240" w:lineRule="auto"/>
              <w:jc w:val="both"/>
              <w:outlineLvl w:val="0"/>
              <w:rPr>
                <w:rFonts w:ascii="Garamond" w:hAnsi="Garamond"/>
                <w:sz w:val="24"/>
                <w:szCs w:val="24"/>
              </w:rPr>
            </w:pPr>
            <w:r w:rsidRPr="00031D16">
              <w:rPr>
                <w:rFonts w:ascii="Garamond" w:hAnsi="Garamond"/>
                <w:b/>
                <w:sz w:val="24"/>
                <w:szCs w:val="24"/>
              </w:rPr>
              <w:t>Дата вступления в силу:</w:t>
            </w:r>
            <w:r w:rsidRPr="00031D16">
              <w:rPr>
                <w:rFonts w:ascii="Garamond" w:hAnsi="Garamond"/>
                <w:sz w:val="24"/>
                <w:szCs w:val="24"/>
              </w:rPr>
              <w:t xml:space="preserve"> </w:t>
            </w:r>
            <w:r w:rsidR="004331CF" w:rsidRPr="00031D16">
              <w:rPr>
                <w:rFonts w:ascii="Garamond" w:hAnsi="Garamond"/>
                <w:sz w:val="24"/>
                <w:szCs w:val="24"/>
              </w:rPr>
              <w:t xml:space="preserve">с </w:t>
            </w:r>
            <w:r w:rsidR="00002176">
              <w:rPr>
                <w:rFonts w:ascii="Garamond" w:hAnsi="Garamond"/>
                <w:sz w:val="24"/>
                <w:szCs w:val="24"/>
              </w:rPr>
              <w:t>24 сентября 2024 года</w:t>
            </w:r>
            <w:r w:rsidR="004331CF" w:rsidRPr="00031D16">
              <w:rPr>
                <w:rFonts w:ascii="Garamond" w:hAnsi="Garamond"/>
                <w:sz w:val="24"/>
                <w:szCs w:val="24"/>
              </w:rPr>
              <w:t xml:space="preserve"> и действуют </w:t>
            </w:r>
            <w:r w:rsidR="00C13274" w:rsidRPr="003A04C6">
              <w:rPr>
                <w:rFonts w:ascii="Garamond" w:hAnsi="Garamond"/>
                <w:sz w:val="24"/>
                <w:szCs w:val="24"/>
              </w:rPr>
              <w:t>п</w:t>
            </w:r>
            <w:r w:rsidR="004331CF" w:rsidRPr="003A04C6">
              <w:rPr>
                <w:rFonts w:ascii="Garamond" w:hAnsi="Garamond"/>
                <w:sz w:val="24"/>
                <w:szCs w:val="24"/>
              </w:rPr>
              <w:t xml:space="preserve">о </w:t>
            </w:r>
            <w:r w:rsidR="00002176">
              <w:rPr>
                <w:rFonts w:ascii="Garamond" w:hAnsi="Garamond"/>
                <w:sz w:val="24"/>
                <w:szCs w:val="24"/>
              </w:rPr>
              <w:t>31 декабря 2024 года</w:t>
            </w:r>
            <w:r w:rsidR="004331CF" w:rsidRPr="00031D16">
              <w:rPr>
                <w:rFonts w:ascii="Garamond" w:hAnsi="Garamond"/>
                <w:sz w:val="24"/>
                <w:szCs w:val="24"/>
              </w:rPr>
              <w:t xml:space="preserve"> (включительно)</w:t>
            </w:r>
            <w:r w:rsidR="00A85488">
              <w:rPr>
                <w:rFonts w:ascii="Garamond" w:hAnsi="Garamond"/>
                <w:sz w:val="24"/>
                <w:szCs w:val="24"/>
              </w:rPr>
              <w:t>.</w:t>
            </w:r>
          </w:p>
        </w:tc>
      </w:tr>
    </w:tbl>
    <w:p w14:paraId="500C02B8" w14:textId="77777777" w:rsidR="00E4072F" w:rsidRDefault="00E4072F" w:rsidP="005917D1">
      <w:pPr>
        <w:spacing w:after="0" w:line="240" w:lineRule="auto"/>
        <w:rPr>
          <w:rFonts w:ascii="Garamond" w:hAnsi="Garamond"/>
        </w:rPr>
      </w:pPr>
    </w:p>
    <w:p w14:paraId="77D13691" w14:textId="7107F5F4" w:rsidR="00DE5088" w:rsidRDefault="00DE5088" w:rsidP="005917D1">
      <w:pPr>
        <w:autoSpaceDE w:val="0"/>
        <w:autoSpaceDN w:val="0"/>
        <w:spacing w:after="0" w:line="240" w:lineRule="auto"/>
        <w:rPr>
          <w:rFonts w:ascii="Garamond" w:hAnsi="Garamond"/>
          <w:b/>
          <w:sz w:val="26"/>
          <w:szCs w:val="26"/>
        </w:rPr>
      </w:pPr>
      <w:r w:rsidRPr="00CE743D">
        <w:rPr>
          <w:rFonts w:ascii="Garamond" w:hAnsi="Garamond"/>
          <w:b/>
          <w:sz w:val="26"/>
          <w:szCs w:val="26"/>
        </w:rPr>
        <w:t xml:space="preserve">Предложения по изменениям и дополнениям в </w:t>
      </w:r>
      <w:r>
        <w:rPr>
          <w:rFonts w:ascii="Garamond" w:hAnsi="Garamond"/>
          <w:b/>
          <w:sz w:val="26"/>
          <w:szCs w:val="26"/>
        </w:rPr>
        <w:t>ПОРЯДОК УСТАНОВЛЕНИЯ СООТВЕТСТВИЯ АИИС КУЭ ТЕХНИЧЕСКИМ ТРЕБОВАНИЯМ ОПТОВОГО РЫНКА И ПРИСВОЕНИЯ КЛАССА АИИС КУЭ</w:t>
      </w:r>
      <w:r w:rsidRPr="00CE743D">
        <w:rPr>
          <w:rFonts w:ascii="Garamond" w:hAnsi="Garamond"/>
          <w:b/>
          <w:sz w:val="26"/>
          <w:szCs w:val="26"/>
        </w:rPr>
        <w:t xml:space="preserve"> (Приложение № 11</w:t>
      </w:r>
      <w:r>
        <w:rPr>
          <w:rFonts w:ascii="Garamond" w:hAnsi="Garamond"/>
          <w:b/>
          <w:sz w:val="26"/>
          <w:szCs w:val="26"/>
        </w:rPr>
        <w:t>.3</w:t>
      </w:r>
      <w:r w:rsidRPr="00CE743D">
        <w:rPr>
          <w:rFonts w:ascii="Garamond" w:hAnsi="Garamond"/>
          <w:b/>
          <w:sz w:val="26"/>
          <w:szCs w:val="26"/>
        </w:rPr>
        <w:t xml:space="preserve"> к </w:t>
      </w:r>
      <w:r w:rsidRPr="00A74BE2">
        <w:rPr>
          <w:rFonts w:ascii="Garamond" w:hAnsi="Garamond"/>
          <w:b/>
          <w:sz w:val="26"/>
          <w:szCs w:val="26"/>
        </w:rPr>
        <w:t>Положению о порядке получения статуса субъекта оптового рынка и ведения реестра субъектов оптового рынка</w:t>
      </w:r>
      <w:r w:rsidRPr="00CE743D">
        <w:rPr>
          <w:rFonts w:ascii="Garamond" w:hAnsi="Garamond"/>
          <w:b/>
          <w:sz w:val="26"/>
          <w:szCs w:val="26"/>
        </w:rPr>
        <w:t>)</w:t>
      </w:r>
    </w:p>
    <w:p w14:paraId="59738FF8" w14:textId="77777777" w:rsidR="005917D1" w:rsidRPr="00CE743D" w:rsidRDefault="005917D1" w:rsidP="005917D1">
      <w:pPr>
        <w:autoSpaceDE w:val="0"/>
        <w:autoSpaceDN w:val="0"/>
        <w:spacing w:after="0" w:line="240" w:lineRule="auto"/>
        <w:rPr>
          <w:rFonts w:ascii="Garamond" w:hAnsi="Garamond"/>
          <w:b/>
          <w:sz w:val="26"/>
          <w:szCs w:val="26"/>
        </w:rPr>
      </w:pPr>
    </w:p>
    <w:tbl>
      <w:tblPr>
        <w:tblW w:w="146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691"/>
        <w:gridCol w:w="6946"/>
      </w:tblGrid>
      <w:tr w:rsidR="00DE5088" w:rsidRPr="00077A4C" w14:paraId="57E8B4AD" w14:textId="77777777" w:rsidTr="00DE5088">
        <w:tc>
          <w:tcPr>
            <w:tcW w:w="1031" w:type="dxa"/>
            <w:vAlign w:val="center"/>
          </w:tcPr>
          <w:p w14:paraId="30273DD5" w14:textId="77777777" w:rsidR="00DE5088" w:rsidRPr="00077A4C" w:rsidRDefault="00DE5088" w:rsidP="005917D1">
            <w:pPr>
              <w:widowControl w:val="0"/>
              <w:spacing w:after="0" w:line="240" w:lineRule="auto"/>
              <w:jc w:val="center"/>
              <w:rPr>
                <w:rFonts w:ascii="Garamond" w:hAnsi="Garamond"/>
                <w:b/>
              </w:rPr>
            </w:pPr>
            <w:r w:rsidRPr="00077A4C">
              <w:rPr>
                <w:rFonts w:ascii="Garamond" w:hAnsi="Garamond"/>
                <w:b/>
              </w:rPr>
              <w:t>№</w:t>
            </w:r>
          </w:p>
          <w:p w14:paraId="6C7BD03F" w14:textId="77777777" w:rsidR="00DE5088" w:rsidRPr="00077A4C" w:rsidRDefault="00DE5088" w:rsidP="005917D1">
            <w:pPr>
              <w:widowControl w:val="0"/>
              <w:spacing w:after="0" w:line="240" w:lineRule="auto"/>
              <w:jc w:val="center"/>
              <w:rPr>
                <w:rFonts w:ascii="Garamond" w:hAnsi="Garamond"/>
                <w:b/>
              </w:rPr>
            </w:pPr>
            <w:r w:rsidRPr="00077A4C">
              <w:rPr>
                <w:rFonts w:ascii="Garamond" w:hAnsi="Garamond"/>
                <w:b/>
              </w:rPr>
              <w:t>пункта</w:t>
            </w:r>
          </w:p>
        </w:tc>
        <w:tc>
          <w:tcPr>
            <w:tcW w:w="6691" w:type="dxa"/>
            <w:vAlign w:val="center"/>
          </w:tcPr>
          <w:p w14:paraId="64F0DFBE" w14:textId="77777777" w:rsidR="00DE5088" w:rsidRDefault="00DE5088" w:rsidP="005917D1">
            <w:pPr>
              <w:widowControl w:val="0"/>
              <w:spacing w:after="0" w:line="240" w:lineRule="auto"/>
              <w:jc w:val="center"/>
              <w:rPr>
                <w:rFonts w:ascii="Garamond" w:hAnsi="Garamond"/>
                <w:b/>
              </w:rPr>
            </w:pPr>
            <w:r w:rsidRPr="00077A4C">
              <w:rPr>
                <w:rFonts w:ascii="Garamond" w:hAnsi="Garamond"/>
                <w:b/>
              </w:rPr>
              <w:t xml:space="preserve">Редакция, действующая на момент </w:t>
            </w:r>
          </w:p>
          <w:p w14:paraId="07C47ABB" w14:textId="77777777" w:rsidR="00DE5088" w:rsidRPr="00077A4C" w:rsidRDefault="00DE5088" w:rsidP="005917D1">
            <w:pPr>
              <w:widowControl w:val="0"/>
              <w:spacing w:after="0" w:line="240" w:lineRule="auto"/>
              <w:jc w:val="center"/>
              <w:rPr>
                <w:rFonts w:ascii="Garamond" w:hAnsi="Garamond"/>
              </w:rPr>
            </w:pPr>
            <w:r w:rsidRPr="00077A4C">
              <w:rPr>
                <w:rFonts w:ascii="Garamond" w:hAnsi="Garamond"/>
                <w:b/>
              </w:rPr>
              <w:t>вступления в силу изменений</w:t>
            </w:r>
          </w:p>
        </w:tc>
        <w:tc>
          <w:tcPr>
            <w:tcW w:w="6946" w:type="dxa"/>
          </w:tcPr>
          <w:p w14:paraId="17A51155" w14:textId="77777777" w:rsidR="00DE5088" w:rsidRPr="00077A4C" w:rsidRDefault="00DE5088" w:rsidP="005917D1">
            <w:pPr>
              <w:widowControl w:val="0"/>
              <w:spacing w:after="0" w:line="240" w:lineRule="auto"/>
              <w:jc w:val="center"/>
              <w:rPr>
                <w:rFonts w:ascii="Garamond" w:hAnsi="Garamond"/>
                <w:b/>
              </w:rPr>
            </w:pPr>
            <w:r w:rsidRPr="00077A4C">
              <w:rPr>
                <w:rFonts w:ascii="Garamond" w:hAnsi="Garamond"/>
                <w:b/>
              </w:rPr>
              <w:t>Предлагаемая редакция</w:t>
            </w:r>
          </w:p>
          <w:p w14:paraId="3296A29A" w14:textId="77777777" w:rsidR="00DE5088" w:rsidRPr="00077A4C" w:rsidRDefault="00DE5088" w:rsidP="005917D1">
            <w:pPr>
              <w:widowControl w:val="0"/>
              <w:spacing w:after="0" w:line="240" w:lineRule="auto"/>
              <w:jc w:val="center"/>
              <w:rPr>
                <w:rFonts w:ascii="Garamond" w:hAnsi="Garamond"/>
              </w:rPr>
            </w:pPr>
            <w:r w:rsidRPr="00077A4C">
              <w:rPr>
                <w:rFonts w:ascii="Garamond" w:hAnsi="Garamond"/>
              </w:rPr>
              <w:t>(изменения выделены цветом)</w:t>
            </w:r>
          </w:p>
        </w:tc>
      </w:tr>
      <w:tr w:rsidR="00DE5088" w:rsidRPr="00077A4C" w14:paraId="3B4D6BB4" w14:textId="77777777" w:rsidTr="00C52250">
        <w:trPr>
          <w:trHeight w:val="841"/>
        </w:trPr>
        <w:tc>
          <w:tcPr>
            <w:tcW w:w="1031" w:type="dxa"/>
            <w:vAlign w:val="center"/>
          </w:tcPr>
          <w:p w14:paraId="15683CAC" w14:textId="77777777" w:rsidR="00DE5088" w:rsidRPr="00077A4C" w:rsidRDefault="00DE5088" w:rsidP="00B92519">
            <w:pPr>
              <w:widowControl w:val="0"/>
              <w:spacing w:after="120" w:line="22" w:lineRule="atLeast"/>
              <w:jc w:val="center"/>
              <w:rPr>
                <w:rFonts w:ascii="Garamond" w:hAnsi="Garamond"/>
                <w:b/>
              </w:rPr>
            </w:pPr>
            <w:r w:rsidRPr="00077A4C">
              <w:rPr>
                <w:rFonts w:ascii="Garamond" w:hAnsi="Garamond"/>
                <w:b/>
              </w:rPr>
              <w:t>1.6</w:t>
            </w:r>
          </w:p>
        </w:tc>
        <w:tc>
          <w:tcPr>
            <w:tcW w:w="6691" w:type="dxa"/>
            <w:vAlign w:val="center"/>
          </w:tcPr>
          <w:p w14:paraId="5AEC5492" w14:textId="77777777" w:rsidR="00DE5088" w:rsidRPr="005F754A" w:rsidRDefault="00DE5088" w:rsidP="00905A19">
            <w:pPr>
              <w:pStyle w:val="af4"/>
              <w:tabs>
                <w:tab w:val="left" w:pos="1080"/>
                <w:tab w:val="num" w:pos="1380"/>
              </w:tabs>
              <w:spacing w:after="0" w:line="22" w:lineRule="atLeast"/>
              <w:ind w:right="-1" w:firstLine="354"/>
              <w:jc w:val="both"/>
              <w:rPr>
                <w:rFonts w:ascii="Garamond" w:hAnsi="Garamond"/>
                <w:color w:val="000000"/>
              </w:rPr>
            </w:pPr>
            <w:r w:rsidRPr="005F754A">
              <w:rPr>
                <w:rFonts w:ascii="Garamond" w:hAnsi="Garamond"/>
              </w:rPr>
              <w:t>Акт</w:t>
            </w:r>
            <w:r w:rsidRPr="005F754A">
              <w:rPr>
                <w:rFonts w:ascii="Garamond" w:hAnsi="Garamond"/>
                <w:color w:val="000000"/>
              </w:rPr>
              <w:t xml:space="preserve"> о соответствии АИИС КУЭ по сечению коммерческого учета прекращает свое действие:</w:t>
            </w:r>
          </w:p>
          <w:p w14:paraId="377546D2" w14:textId="77777777" w:rsidR="00DE5088"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5F754A">
              <w:rPr>
                <w:rFonts w:ascii="Garamond" w:hAnsi="Garamond"/>
              </w:rPr>
              <w:t xml:space="preserve">c даты окончания срока действия; </w:t>
            </w:r>
          </w:p>
          <w:p w14:paraId="292AC1B4" w14:textId="77777777" w:rsidR="00DE5088" w:rsidRPr="00264A2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t>в указанных в Положении о реестре случаях, в связи с изменением действующего состава точек поставки или точек измерений в указанном сечении коммерческого учета – с даты вступления в силу изменений действующего состава точек поставки или точек измерений;</w:t>
            </w:r>
          </w:p>
          <w:p w14:paraId="6855E0F1" w14:textId="77777777" w:rsidR="00DE5088" w:rsidRPr="00264A2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t>в указанном в Положении о реестре случае, в связи с изменением наименования ранее зарегистрированной ГТП (сечения) – с даты вступления в силу изменений в регистрационную информацию в части изменения наименования ГТП (сечения);</w:t>
            </w:r>
          </w:p>
          <w:p w14:paraId="41A3737D" w14:textId="77777777" w:rsidR="00DE5088" w:rsidRPr="00264A2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t xml:space="preserve">в указанных в Положении о реестре случаях, в связи с выявленным несоответствием ПСИ по действующему составу точек поставки и точек измерений в </w:t>
            </w:r>
            <w:r w:rsidRPr="003F2898">
              <w:rPr>
                <w:rFonts w:ascii="Garamond" w:hAnsi="Garamond"/>
              </w:rPr>
              <w:t>части типов (модификаций) приборов учета / признака включения в АИИС с документацией, на основани</w:t>
            </w:r>
            <w:r w:rsidRPr="00264A25">
              <w:rPr>
                <w:rFonts w:ascii="Garamond" w:hAnsi="Garamond"/>
              </w:rPr>
              <w:t>и которой оформлен Акт о соответствии АИИС КУЭ, – с даты вступления в действие ПСИ;</w:t>
            </w:r>
          </w:p>
          <w:p w14:paraId="36925881" w14:textId="77777777" w:rsidR="00DE5088" w:rsidRPr="008518BF"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lastRenderedPageBreak/>
              <w:t xml:space="preserve">с даты отмены ранее принятого решения о предоставлении субъекту оптового рынка права участия в торговле электрической энергией и (или) мощностью на оптовом рынке с использованием соответствующей ГТП в порядке, </w:t>
            </w:r>
            <w:r w:rsidRPr="008518BF">
              <w:rPr>
                <w:rFonts w:ascii="Garamond" w:hAnsi="Garamond"/>
              </w:rPr>
              <w:t xml:space="preserve">предусмотренном Положением о реестре; </w:t>
            </w:r>
          </w:p>
          <w:p w14:paraId="275A1B64" w14:textId="77777777" w:rsidR="00DE5088" w:rsidRPr="00994C91"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8518BF">
              <w:rPr>
                <w:rFonts w:ascii="Garamond" w:hAnsi="Garamond"/>
              </w:rPr>
              <w:t xml:space="preserve">с даты получения права участия в торговле на оптовом рынке по соответствующей ГТП – в отношении Акта о соответствии АИИС КУЭ, ранее выданного в отношении нового сечения коммерческого учета, входящего в состав новой либо изменяемой ГТП, в случаях, предусмотренных подп. «д» п. 4.1.1.1 Положения о реестре при регистрации ПСИ в связи с внесением изменений в </w:t>
            </w:r>
            <w:r w:rsidRPr="00994C91">
              <w:rPr>
                <w:rFonts w:ascii="Garamond" w:hAnsi="Garamond"/>
              </w:rPr>
              <w:t>регистрационную информацию в соответствии с п. 4.3.2 Положения о реестре;</w:t>
            </w:r>
          </w:p>
          <w:p w14:paraId="46D98C97" w14:textId="77777777" w:rsidR="00DE5088" w:rsidRPr="00994C91"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994C91">
              <w:rPr>
                <w:rFonts w:ascii="Garamond" w:hAnsi="Garamond"/>
              </w:rPr>
              <w:t xml:space="preserve"> с даты отмены действия Акта о согласовании ГТП в порядке, предусмотренном Положением о реестре;</w:t>
            </w:r>
          </w:p>
          <w:p w14:paraId="22F35EB7" w14:textId="77777777" w:rsidR="00DE5088" w:rsidRPr="00264A2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994C91">
              <w:rPr>
                <w:rFonts w:ascii="Garamond" w:hAnsi="Garamond"/>
              </w:rPr>
              <w:t>с даты лишения заявителя статуса субъекта оптового рынка электрической энергии и мощности</w:t>
            </w:r>
            <w:r w:rsidRPr="00264A25">
              <w:rPr>
                <w:rFonts w:ascii="Garamond" w:hAnsi="Garamond"/>
              </w:rPr>
              <w:t xml:space="preserve"> </w:t>
            </w:r>
            <w:r>
              <w:rPr>
                <w:rFonts w:ascii="Garamond" w:hAnsi="Garamond"/>
              </w:rPr>
              <w:t>и (</w:t>
            </w:r>
            <w:r w:rsidRPr="00264A25">
              <w:rPr>
                <w:rFonts w:ascii="Garamond" w:hAnsi="Garamond"/>
              </w:rPr>
              <w:t>или</w:t>
            </w:r>
            <w:r>
              <w:rPr>
                <w:rFonts w:ascii="Garamond" w:hAnsi="Garamond"/>
              </w:rPr>
              <w:t>)</w:t>
            </w:r>
            <w:r w:rsidRPr="00264A25">
              <w:rPr>
                <w:rFonts w:ascii="Garamond" w:hAnsi="Garamond"/>
              </w:rPr>
              <w:t xml:space="preserve"> права участия в торговле на оптовом рынке с использованием ГТП, включающей соответствующее сечение коммерческого учета;</w:t>
            </w:r>
          </w:p>
          <w:p w14:paraId="6D854E7F" w14:textId="77777777" w:rsidR="00DE5088" w:rsidRPr="006B63C7"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t>с даты вступления в действие ПСИ с изменением регистрационной информации в части наименований точек поставки (без изменения состава и месторасположения точек поставки, входящих в состав согласованных ГТП) и (или) в части изменения наименования точек измерений, изменения состава и месторасположения точек измерений, входящих в состав согласованных ГТП</w:t>
            </w:r>
            <w:r>
              <w:rPr>
                <w:rFonts w:ascii="Garamond" w:hAnsi="Garamond"/>
              </w:rPr>
              <w:t>;</w:t>
            </w:r>
          </w:p>
          <w:p w14:paraId="2E214AEF" w14:textId="77777777" w:rsidR="00DE5088" w:rsidRPr="00197A61"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197A61">
              <w:rPr>
                <w:rFonts w:ascii="Garamond" w:hAnsi="Garamond"/>
              </w:rPr>
              <w:t xml:space="preserve">с 1-го числа месяца, следующего за месяцем, в отношении которого принят к расчетам корректирующий акт учета (оборота) </w:t>
            </w:r>
            <w:r w:rsidRPr="005E71EF">
              <w:rPr>
                <w:rFonts w:ascii="Garamond" w:hAnsi="Garamond"/>
              </w:rPr>
              <w:t xml:space="preserve">по ГТП генерации или корректирующий акт учета перетоков по сечению коммерческого учета (макеты 51075), при выполнении условий, предусмотренных </w:t>
            </w:r>
            <w:r w:rsidRPr="005E71EF">
              <w:rPr>
                <w:rFonts w:ascii="Garamond" w:hAnsi="Garamond"/>
                <w:i/>
              </w:rPr>
              <w:t>Регламентом коммерческого учета электроэнергии и мощности</w:t>
            </w:r>
            <w:r w:rsidRPr="00197A61">
              <w:rPr>
                <w:rFonts w:ascii="Garamond" w:hAnsi="Garamond"/>
              </w:rPr>
              <w:t xml:space="preserve"> (Приложение № 11 к </w:t>
            </w:r>
            <w:r w:rsidRPr="00197A61">
              <w:rPr>
                <w:rFonts w:ascii="Garamond" w:hAnsi="Garamond"/>
                <w:i/>
              </w:rPr>
              <w:t>Договору о присоединении к торговой системе оптового рынка</w:t>
            </w:r>
            <w:r w:rsidRPr="00197A61">
              <w:rPr>
                <w:rFonts w:ascii="Garamond" w:hAnsi="Garamond"/>
              </w:rPr>
              <w:t>);</w:t>
            </w:r>
          </w:p>
          <w:p w14:paraId="4E4482C6" w14:textId="77777777" w:rsidR="00DE5088" w:rsidRPr="00264A2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t xml:space="preserve">в указанных в Положении о реестре случаях, в связи с внесением изменений в регистрационную информацию без изменения </w:t>
            </w:r>
            <w:r w:rsidRPr="00264A25">
              <w:rPr>
                <w:rFonts w:ascii="Garamond" w:hAnsi="Garamond"/>
              </w:rPr>
              <w:lastRenderedPageBreak/>
              <w:t>состава точек поставки и точек измерений – с даты вступления в силу изменений в регистрационную информацию;</w:t>
            </w:r>
          </w:p>
          <w:p w14:paraId="3559B880" w14:textId="77777777" w:rsidR="00DE5088" w:rsidRPr="006B63C7"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6B63C7">
              <w:rPr>
                <w:rFonts w:ascii="Garamond" w:hAnsi="Garamond"/>
              </w:rPr>
              <w:t>по действующему составу точек поставки и точек измерений Акт о соответствии АИИС КУЭ прекращает свое действие с даты вступления в действие в соответствии с п. 1.10 настоящего Порядка Акта о соответствии АИИС КУЭ, полученного в порядке, предусмотренном пп. 2.7, 3.1, 3.2 и 3.4 настоящего Порядка, по указанному составу точек поставки и точек измерений;</w:t>
            </w:r>
          </w:p>
          <w:p w14:paraId="4E07E6C8" w14:textId="77777777" w:rsidR="00DE5088" w:rsidRPr="009D2F29"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t xml:space="preserve">в случае поступления в КО от заявителя заявления о прекращении действия Акта о </w:t>
            </w:r>
            <w:r w:rsidRPr="009D2F29">
              <w:rPr>
                <w:rFonts w:ascii="Garamond" w:hAnsi="Garamond"/>
              </w:rPr>
              <w:t>соответствии АИИС КУЭ заявителя – с даты направления соответствующего уведомления заявителю;</w:t>
            </w:r>
          </w:p>
          <w:p w14:paraId="202D7028" w14:textId="77777777" w:rsidR="00DE5088" w:rsidRPr="006C3AC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9D2F29">
              <w:rPr>
                <w:rFonts w:ascii="Garamond" w:hAnsi="Garamond"/>
              </w:rPr>
              <w:t xml:space="preserve">в случае получения от Федерального агентства по техническому регулированию и метрологии (Росстандарта) и (или) его подведомственных организаций либо юридических лиц и индивидуальных предпринимателей, аккредитованных в порядке, предусмотренном законодательством Российской Федерации, на выполнение работ и (или) оказание услуг в области обеспечения единства измерений, сведений о несоответствии АИИС КУЭ (компонентов АИИС КУЭ) субъекта ОРЭМ либо документов на АИИС КУЭ (компоненты АИИС КУЭ), на основании которых оформлен Акт о соответствии АИИС КУЭ, действующему законодательству Российской Федерации в части обеспечения единства измерений либо сведений о том, что в вышеуказанные документы на АИИС КУЭ (компоненты АИИС КУЭ) на момент подачи комплекта документов для проведения процедуры установления соответствия АИИС КУЭ </w:t>
            </w:r>
            <w:r w:rsidRPr="006C3AC5">
              <w:rPr>
                <w:rFonts w:ascii="Garamond" w:hAnsi="Garamond"/>
              </w:rPr>
              <w:t>техническим требованиям оптового рынка были внесены изменения, – с даты направления КО соответствующего уведомления субъекту ОРЭМ;</w:t>
            </w:r>
          </w:p>
          <w:p w14:paraId="0A347EC8" w14:textId="77777777" w:rsidR="00DE5088"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6C3AC5">
              <w:rPr>
                <w:rFonts w:ascii="Garamond" w:hAnsi="Garamond"/>
              </w:rPr>
              <w:t xml:space="preserve">в указанных в </w:t>
            </w:r>
            <w:r w:rsidRPr="006C3AC5">
              <w:rPr>
                <w:rFonts w:ascii="Garamond" w:hAnsi="Garamond"/>
                <w:i/>
              </w:rPr>
              <w:t xml:space="preserve">Регламенте проведения проверок систем коммерческого учета субъектов оптового рынка </w:t>
            </w:r>
            <w:r w:rsidRPr="006C3AC5">
              <w:rPr>
                <w:rFonts w:ascii="Garamond" w:hAnsi="Garamond"/>
              </w:rPr>
              <w:t xml:space="preserve">(Приложение № 18 к </w:t>
            </w:r>
            <w:r w:rsidRPr="006C3AC5">
              <w:rPr>
                <w:rFonts w:ascii="Garamond" w:hAnsi="Garamond"/>
                <w:i/>
              </w:rPr>
              <w:t>Договору о присоединении к торговой системе оптового рынка</w:t>
            </w:r>
            <w:r w:rsidRPr="006C3AC5">
              <w:rPr>
                <w:rFonts w:ascii="Garamond" w:hAnsi="Garamond"/>
              </w:rPr>
              <w:t xml:space="preserve">) случаях, в связи с выявленным несоответствием АИИС КУЭ требованиям Правил оптового рынка электрической энергии (мощности), утвержденных постановлением Правительства РФ от 27.12.2010 № 1172 (далее – Правила оптового рынка), либо в связи со вступлением в действие нового Акта о соответствии АИИС КУЭ в порядке, предусмотренном вышеуказанным </w:t>
            </w:r>
            <w:r w:rsidRPr="006C3AC5">
              <w:rPr>
                <w:rFonts w:ascii="Garamond" w:hAnsi="Garamond"/>
              </w:rPr>
              <w:lastRenderedPageBreak/>
              <w:t>Регламентом, по результатам проведения проверки, завершившейся установлением соответствия АИИС КУЭ требованиям Правил оптового рынка</w:t>
            </w:r>
            <w:r>
              <w:rPr>
                <w:rFonts w:ascii="Garamond" w:hAnsi="Garamond"/>
              </w:rPr>
              <w:t>;</w:t>
            </w:r>
          </w:p>
          <w:p w14:paraId="1AF086BD" w14:textId="77777777" w:rsidR="00DE5088" w:rsidRPr="00AB72C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AB72C5">
              <w:rPr>
                <w:rFonts w:ascii="Garamond" w:hAnsi="Garamond"/>
              </w:rPr>
              <w:t xml:space="preserve">с даты исключения временного сечения КУ в порядке, предусмотренном </w:t>
            </w:r>
            <w:r w:rsidRPr="00AB72C5">
              <w:rPr>
                <w:rFonts w:ascii="Garamond" w:hAnsi="Garamond"/>
                <w:i/>
              </w:rPr>
              <w:t xml:space="preserve">Регламентом допуска к торговой системе оптового рынка </w:t>
            </w:r>
            <w:r w:rsidRPr="00AB72C5">
              <w:rPr>
                <w:rFonts w:ascii="Garamond" w:hAnsi="Garamond"/>
              </w:rPr>
              <w:t>(Приложение № 1 к</w:t>
            </w:r>
            <w:r w:rsidRPr="00AB72C5">
              <w:rPr>
                <w:rFonts w:ascii="Garamond" w:hAnsi="Garamond"/>
                <w:i/>
              </w:rPr>
              <w:t xml:space="preserve"> Договору о присоединении к торговой системе оптового рынка).</w:t>
            </w:r>
          </w:p>
          <w:p w14:paraId="186DD076" w14:textId="77777777" w:rsidR="00DE5088" w:rsidRPr="00DE5088" w:rsidRDefault="00DE5088" w:rsidP="00905A19">
            <w:pPr>
              <w:pStyle w:val="a3"/>
              <w:pBdr>
                <w:top w:val="nil"/>
                <w:left w:val="nil"/>
                <w:bottom w:val="nil"/>
                <w:right w:val="nil"/>
                <w:between w:val="nil"/>
                <w:bar w:val="nil"/>
              </w:pBdr>
              <w:tabs>
                <w:tab w:val="left" w:pos="1080"/>
              </w:tabs>
              <w:spacing w:after="120" w:line="22" w:lineRule="atLeast"/>
              <w:ind w:left="0" w:firstLine="600"/>
              <w:jc w:val="both"/>
              <w:rPr>
                <w:szCs w:val="22"/>
                <w:lang w:val="ru-RU"/>
              </w:rPr>
            </w:pPr>
            <w:r w:rsidRPr="00DE5088">
              <w:rPr>
                <w:szCs w:val="22"/>
                <w:lang w:val="ru-RU"/>
              </w:rPr>
              <w:t xml:space="preserve">В случае прекращения действия Акта о соответствии АИИС КУЭ в связи с выявленным несоответствием АИИС КУЭ требованиям Правил оптового рынка на основании </w:t>
            </w:r>
            <w:r w:rsidRPr="00DE5088">
              <w:rPr>
                <w:i/>
                <w:szCs w:val="22"/>
                <w:lang w:val="ru-RU"/>
              </w:rPr>
              <w:t>Регламента проведения проверок систем коммерческого учета субъектов оптового рынка</w:t>
            </w:r>
            <w:r w:rsidRPr="00DE5088">
              <w:rPr>
                <w:szCs w:val="22"/>
                <w:lang w:val="ru-RU"/>
              </w:rPr>
              <w:t xml:space="preserve"> (Приложение № 18 к </w:t>
            </w:r>
            <w:r w:rsidRPr="00DE5088">
              <w:rPr>
                <w:i/>
                <w:szCs w:val="22"/>
                <w:lang w:val="ru-RU"/>
              </w:rPr>
              <w:t>Договору о присоединении к торговой системе оптового рынка</w:t>
            </w:r>
            <w:r w:rsidRPr="00DE5088">
              <w:rPr>
                <w:szCs w:val="22"/>
                <w:lang w:val="ru-RU"/>
              </w:rPr>
              <w:t xml:space="preserve">) или согласно п. 2.7.4.2 Положения о реестре (в случае направления корректирующего акта учета (оборота) или корректирующего акта учета перетоков (макет 51075) с указанием причины № 1), прекращается действие Акта о соответствии АИИС КУЭ, оформленного на его основании в порядке, предусмотренном разделом 3 настоящего Порядка или п. 4.1.1.1 Положения о реестре, а также последующих </w:t>
            </w:r>
            <w:r w:rsidRPr="00DE5088">
              <w:rPr>
                <w:szCs w:val="22"/>
                <w:highlight w:val="yellow"/>
                <w:lang w:val="ru-RU"/>
              </w:rPr>
              <w:t>а</w:t>
            </w:r>
            <w:r w:rsidRPr="00DE5088">
              <w:rPr>
                <w:szCs w:val="22"/>
                <w:lang w:val="ru-RU"/>
              </w:rPr>
              <w:t>ктов о соответствии АИИС КУЭ, оформленных в указанном порядке на основании прекративших действие.</w:t>
            </w:r>
          </w:p>
          <w:p w14:paraId="47E30380" w14:textId="77777777" w:rsidR="00DE5088" w:rsidRPr="00885173" w:rsidRDefault="00DE5088" w:rsidP="00905A19">
            <w:pPr>
              <w:pStyle w:val="af4"/>
              <w:tabs>
                <w:tab w:val="left" w:pos="960"/>
              </w:tabs>
              <w:autoSpaceDE w:val="0"/>
              <w:autoSpaceDN w:val="0"/>
              <w:spacing w:line="22" w:lineRule="atLeast"/>
              <w:ind w:firstLine="600"/>
              <w:jc w:val="both"/>
              <w:rPr>
                <w:rFonts w:ascii="Garamond" w:hAnsi="Garamond" w:cs="Calibri"/>
              </w:rPr>
            </w:pPr>
            <w:r w:rsidRPr="00575309">
              <w:rPr>
                <w:rFonts w:ascii="Garamond" w:hAnsi="Garamond"/>
              </w:rPr>
              <w:t xml:space="preserve">В случае прекращения действия Акта о соответствии АИИС КУЭ, выданного </w:t>
            </w:r>
            <w:r w:rsidRPr="00575309">
              <w:rPr>
                <w:rFonts w:ascii="Garamond" w:hAnsi="Garamond" w:cs="Calibri"/>
              </w:rPr>
              <w:t xml:space="preserve">в отношении сечения коммерческого учета и (или) группы точек поставки генерации, в состав которых входят точки поставки (точки измерений), расположенные на объектах </w:t>
            </w:r>
            <w:r w:rsidRPr="00885173">
              <w:rPr>
                <w:rFonts w:ascii="Garamond" w:hAnsi="Garamond" w:cs="Calibri"/>
              </w:rPr>
              <w:t xml:space="preserve">электроэнергетики на территориях следующих административно-территориальных единиц: </w:t>
            </w:r>
          </w:p>
          <w:p w14:paraId="6B0A2E06" w14:textId="77777777" w:rsidR="00DE5088" w:rsidRPr="00885173" w:rsidRDefault="00DE5088" w:rsidP="00905A19">
            <w:pPr>
              <w:pStyle w:val="af4"/>
              <w:numPr>
                <w:ilvl w:val="0"/>
                <w:numId w:val="28"/>
              </w:numPr>
              <w:tabs>
                <w:tab w:val="left" w:pos="709"/>
              </w:tabs>
              <w:autoSpaceDE w:val="0"/>
              <w:autoSpaceDN w:val="0"/>
              <w:spacing w:line="22" w:lineRule="atLeast"/>
              <w:ind w:left="709" w:hanging="463"/>
              <w:jc w:val="both"/>
              <w:rPr>
                <w:rFonts w:ascii="Garamond" w:hAnsi="Garamond" w:cs="Calibri"/>
              </w:rPr>
            </w:pPr>
            <w:r w:rsidRPr="00885173">
              <w:rPr>
                <w:rFonts w:ascii="Garamond" w:hAnsi="Garamond" w:cs="Calibri"/>
              </w:rPr>
              <w:t>Белгородской области – Белгородский, Борисовский, Валуйский, Волоконовский, Грайворонский, Краснояружский и Шебекинский районы, а также город областного значения Белгород;</w:t>
            </w:r>
          </w:p>
          <w:p w14:paraId="009484EF" w14:textId="77777777" w:rsidR="00DE5088" w:rsidRPr="00885173" w:rsidRDefault="00DE5088" w:rsidP="00905A19">
            <w:pPr>
              <w:pStyle w:val="af4"/>
              <w:numPr>
                <w:ilvl w:val="0"/>
                <w:numId w:val="28"/>
              </w:numPr>
              <w:tabs>
                <w:tab w:val="left" w:pos="709"/>
              </w:tabs>
              <w:autoSpaceDE w:val="0"/>
              <w:autoSpaceDN w:val="0"/>
              <w:spacing w:line="22" w:lineRule="atLeast"/>
              <w:ind w:left="709" w:hanging="463"/>
              <w:jc w:val="both"/>
              <w:rPr>
                <w:rFonts w:ascii="Garamond" w:hAnsi="Garamond" w:cs="Calibri"/>
              </w:rPr>
            </w:pPr>
            <w:r w:rsidRPr="00885173">
              <w:rPr>
                <w:rFonts w:ascii="Garamond" w:hAnsi="Garamond" w:cs="Calibri"/>
              </w:rPr>
              <w:t xml:space="preserve">Курской области – Беловский, Глушковский, Кореневский, Рыльский, Суджанский </w:t>
            </w:r>
            <w:r w:rsidRPr="00E37DB7">
              <w:rPr>
                <w:rFonts w:ascii="Garamond" w:hAnsi="Garamond" w:cs="Calibri"/>
                <w:highlight w:val="yellow"/>
              </w:rPr>
              <w:t>и</w:t>
            </w:r>
            <w:r w:rsidRPr="00885173">
              <w:rPr>
                <w:rFonts w:ascii="Garamond" w:hAnsi="Garamond" w:cs="Calibri"/>
              </w:rPr>
              <w:t xml:space="preserve"> Хомутовский районы;</w:t>
            </w:r>
          </w:p>
          <w:p w14:paraId="5CBC75E7" w14:textId="77777777" w:rsidR="00DE5088" w:rsidRPr="00885173" w:rsidRDefault="00DE5088" w:rsidP="00905A19">
            <w:pPr>
              <w:pStyle w:val="af4"/>
              <w:numPr>
                <w:ilvl w:val="0"/>
                <w:numId w:val="28"/>
              </w:numPr>
              <w:tabs>
                <w:tab w:val="left" w:pos="709"/>
              </w:tabs>
              <w:autoSpaceDE w:val="0"/>
              <w:autoSpaceDN w:val="0"/>
              <w:spacing w:line="22" w:lineRule="atLeast"/>
              <w:ind w:left="709" w:hanging="463"/>
              <w:jc w:val="both"/>
              <w:rPr>
                <w:rFonts w:ascii="Garamond" w:hAnsi="Garamond" w:cs="Calibri"/>
              </w:rPr>
            </w:pPr>
            <w:r w:rsidRPr="00885173">
              <w:rPr>
                <w:rFonts w:ascii="Garamond" w:hAnsi="Garamond" w:cs="Calibri"/>
              </w:rPr>
              <w:t>Брянской области – Климовский, Погарский, Севский, Стародубский, Суземский и Трубчевский районы –</w:t>
            </w:r>
          </w:p>
          <w:p w14:paraId="4503F7C9" w14:textId="77777777" w:rsidR="00DE5088" w:rsidRPr="00DE5088" w:rsidRDefault="00DE5088" w:rsidP="00905A19">
            <w:pPr>
              <w:pStyle w:val="a3"/>
              <w:pBdr>
                <w:top w:val="nil"/>
                <w:left w:val="nil"/>
                <w:bottom w:val="nil"/>
                <w:right w:val="nil"/>
                <w:between w:val="nil"/>
                <w:bar w:val="nil"/>
              </w:pBdr>
              <w:tabs>
                <w:tab w:val="left" w:pos="1080"/>
              </w:tabs>
              <w:spacing w:after="120" w:line="22" w:lineRule="atLeast"/>
              <w:ind w:left="0"/>
              <w:jc w:val="both"/>
              <w:rPr>
                <w:rFonts w:eastAsia="Garamond" w:cs="Garamond"/>
                <w:szCs w:val="22"/>
                <w:lang w:val="ru-RU"/>
              </w:rPr>
            </w:pPr>
            <w:r w:rsidRPr="00DE5088">
              <w:rPr>
                <w:rFonts w:cs="Calibri"/>
                <w:szCs w:val="22"/>
                <w:lang w:val="ru-RU"/>
              </w:rPr>
              <w:lastRenderedPageBreak/>
              <w:t xml:space="preserve">субъект оптового рынка вправе заявить о невозможности выполнить требования по подтверждению соответствия систем коммерческого учета техническим требованиям оптового рынка в таком сечении коммерческого учета и (или) группе точек поставки генерации путем направления в Совет рынка официального письма. В указанном письме должны быть также указаны код такого сечения / группы точек поставки генерации, субъект Российской Федерации и административно-территориальная единица, на территории которых расположены объекты электроэнергетики, входящие в соответствующее сечение и (или) группу точек поставки генерации. Копию направленного в Совет рынка письма необходимо также направить на электронную почту </w:t>
            </w:r>
            <w:r w:rsidRPr="00575309">
              <w:rPr>
                <w:rFonts w:cs="Calibri"/>
                <w:szCs w:val="22"/>
              </w:rPr>
              <w:t>KU</w:t>
            </w:r>
            <w:r w:rsidRPr="00DE5088">
              <w:rPr>
                <w:rFonts w:cs="Calibri"/>
                <w:szCs w:val="22"/>
                <w:lang w:val="ru-RU"/>
              </w:rPr>
              <w:t>_</w:t>
            </w:r>
            <w:r w:rsidRPr="00575309">
              <w:rPr>
                <w:rFonts w:cs="Calibri"/>
                <w:szCs w:val="22"/>
              </w:rPr>
              <w:t>DK</w:t>
            </w:r>
            <w:r w:rsidRPr="00DE5088">
              <w:rPr>
                <w:rFonts w:cs="Calibri"/>
                <w:szCs w:val="22"/>
                <w:lang w:val="ru-RU"/>
              </w:rPr>
              <w:t>@</w:t>
            </w:r>
            <w:r w:rsidRPr="00575309">
              <w:rPr>
                <w:rFonts w:cs="Calibri"/>
                <w:szCs w:val="22"/>
              </w:rPr>
              <w:t>np</w:t>
            </w:r>
            <w:r w:rsidRPr="00DE5088">
              <w:rPr>
                <w:rFonts w:cs="Calibri"/>
                <w:szCs w:val="22"/>
                <w:lang w:val="ru-RU"/>
              </w:rPr>
              <w:t>-</w:t>
            </w:r>
            <w:proofErr w:type="spellStart"/>
            <w:r w:rsidRPr="00575309">
              <w:rPr>
                <w:rFonts w:cs="Calibri"/>
                <w:szCs w:val="22"/>
              </w:rPr>
              <w:t>sr</w:t>
            </w:r>
            <w:proofErr w:type="spellEnd"/>
            <w:r w:rsidRPr="00DE5088">
              <w:rPr>
                <w:rFonts w:cs="Calibri"/>
                <w:szCs w:val="22"/>
                <w:lang w:val="ru-RU"/>
              </w:rPr>
              <w:t>.</w:t>
            </w:r>
            <w:proofErr w:type="spellStart"/>
            <w:r w:rsidRPr="00575309">
              <w:rPr>
                <w:rFonts w:cs="Calibri"/>
                <w:szCs w:val="22"/>
              </w:rPr>
              <w:t>ru</w:t>
            </w:r>
            <w:proofErr w:type="spellEnd"/>
            <w:r w:rsidRPr="00DE5088">
              <w:rPr>
                <w:rFonts w:cs="Calibri"/>
                <w:szCs w:val="22"/>
                <w:lang w:val="ru-RU"/>
              </w:rPr>
              <w:t xml:space="preserve">. При соблюдении указанных условий к субъекту оптового рынка не применяются санкции, предусмотренные ст. 33.6 </w:t>
            </w:r>
            <w:r w:rsidRPr="00DE5088">
              <w:rPr>
                <w:rFonts w:cs="Calibri"/>
                <w:i/>
                <w:szCs w:val="22"/>
                <w:lang w:val="ru-RU"/>
              </w:rPr>
              <w:t>Положения о применении санкций на оптовом рынке электрической энергии и мощности</w:t>
            </w:r>
            <w:r w:rsidRPr="00DE5088">
              <w:rPr>
                <w:rFonts w:cs="Calibri"/>
                <w:szCs w:val="22"/>
                <w:lang w:val="ru-RU"/>
              </w:rPr>
              <w:t xml:space="preserve"> (Приложение №</w:t>
            </w:r>
            <w:r w:rsidRPr="00575309">
              <w:rPr>
                <w:rFonts w:cs="Calibri"/>
                <w:szCs w:val="22"/>
              </w:rPr>
              <w:t> </w:t>
            </w:r>
            <w:r w:rsidRPr="00DE5088">
              <w:rPr>
                <w:rFonts w:cs="Calibri"/>
                <w:szCs w:val="22"/>
                <w:lang w:val="ru-RU"/>
              </w:rPr>
              <w:t>21 к</w:t>
            </w:r>
            <w:r w:rsidRPr="00DE5088">
              <w:rPr>
                <w:rFonts w:cs="Calibri"/>
                <w:i/>
                <w:szCs w:val="22"/>
                <w:lang w:val="ru-RU"/>
              </w:rPr>
              <w:t xml:space="preserve"> Договору о присоединении к торговой системе оптового рынка</w:t>
            </w:r>
            <w:r w:rsidRPr="00DE5088">
              <w:rPr>
                <w:rFonts w:cs="Calibri"/>
                <w:szCs w:val="22"/>
                <w:lang w:val="ru-RU"/>
              </w:rPr>
              <w:t>).</w:t>
            </w:r>
          </w:p>
        </w:tc>
        <w:tc>
          <w:tcPr>
            <w:tcW w:w="6946" w:type="dxa"/>
          </w:tcPr>
          <w:p w14:paraId="4445A94B" w14:textId="77777777" w:rsidR="00DE5088" w:rsidRPr="005F754A" w:rsidRDefault="00DE5088" w:rsidP="00905A19">
            <w:pPr>
              <w:pStyle w:val="af4"/>
              <w:tabs>
                <w:tab w:val="left" w:pos="1080"/>
                <w:tab w:val="num" w:pos="1380"/>
              </w:tabs>
              <w:spacing w:after="0" w:line="22" w:lineRule="atLeast"/>
              <w:ind w:right="-1" w:firstLine="629"/>
              <w:jc w:val="both"/>
              <w:rPr>
                <w:rFonts w:ascii="Garamond" w:hAnsi="Garamond"/>
                <w:color w:val="000000"/>
              </w:rPr>
            </w:pPr>
            <w:r w:rsidRPr="005F754A">
              <w:rPr>
                <w:rFonts w:ascii="Garamond" w:hAnsi="Garamond"/>
              </w:rPr>
              <w:lastRenderedPageBreak/>
              <w:t>Акт</w:t>
            </w:r>
            <w:r w:rsidRPr="005F754A">
              <w:rPr>
                <w:rFonts w:ascii="Garamond" w:hAnsi="Garamond"/>
                <w:color w:val="000000"/>
              </w:rPr>
              <w:t xml:space="preserve"> о соответствии АИИС КУЭ по сечению коммерческого учета прекращает свое действие:</w:t>
            </w:r>
          </w:p>
          <w:p w14:paraId="3F7C82D4" w14:textId="77777777" w:rsidR="00DE5088"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5F754A">
              <w:rPr>
                <w:rFonts w:ascii="Garamond" w:hAnsi="Garamond"/>
              </w:rPr>
              <w:t xml:space="preserve">c даты окончания срока действия; </w:t>
            </w:r>
          </w:p>
          <w:p w14:paraId="26B3DE07" w14:textId="77777777" w:rsidR="00DE5088" w:rsidRPr="00264A2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t>в указанных в Положении о реестре случаях, в связи с изменением действующего состава точек поставки или точек измерений в указанном сечении коммерческого учета – с даты вступления в силу изменений действующего состава точек поставки или точек измерений;</w:t>
            </w:r>
          </w:p>
          <w:p w14:paraId="5D59724E" w14:textId="77777777" w:rsidR="00DE5088" w:rsidRPr="00264A2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t>в указанном в Положении о реестре случае, в связи с изменением наименования ранее зарегистрированной ГТП (сечения) – с даты вступления в силу изменений в регистрационную информацию в части изменения наименования ГТП (сечения);</w:t>
            </w:r>
          </w:p>
          <w:p w14:paraId="4B830A47" w14:textId="77777777" w:rsidR="00DE5088" w:rsidRPr="00264A2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t xml:space="preserve">в указанных в Положении о реестре случаях, в связи с выявленным несоответствием ПСИ по действующему составу точек поставки и точек измерений в </w:t>
            </w:r>
            <w:r w:rsidRPr="003F2898">
              <w:rPr>
                <w:rFonts w:ascii="Garamond" w:hAnsi="Garamond"/>
              </w:rPr>
              <w:t>части типов (модификаций) приборов учета / признака включения в АИИС с документацией, на основани</w:t>
            </w:r>
            <w:r w:rsidRPr="00264A25">
              <w:rPr>
                <w:rFonts w:ascii="Garamond" w:hAnsi="Garamond"/>
              </w:rPr>
              <w:t>и которой оформлен Акт о соответствии АИИС КУЭ, – с даты вступления в действие ПСИ;</w:t>
            </w:r>
          </w:p>
          <w:p w14:paraId="7D2E2DDD" w14:textId="77777777" w:rsidR="00DE5088" w:rsidRPr="008518BF"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lastRenderedPageBreak/>
              <w:t xml:space="preserve">с даты отмены ранее принятого решения о предоставлении субъекту оптового рынка права участия в торговле электрической энергией и (или) мощностью на оптовом рынке с использованием соответствующей ГТП в порядке, </w:t>
            </w:r>
            <w:r w:rsidRPr="008518BF">
              <w:rPr>
                <w:rFonts w:ascii="Garamond" w:hAnsi="Garamond"/>
              </w:rPr>
              <w:t xml:space="preserve">предусмотренном Положением о реестре; </w:t>
            </w:r>
          </w:p>
          <w:p w14:paraId="6FA282F3" w14:textId="77777777" w:rsidR="00DE5088" w:rsidRPr="00994C91"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8518BF">
              <w:rPr>
                <w:rFonts w:ascii="Garamond" w:hAnsi="Garamond"/>
              </w:rPr>
              <w:t xml:space="preserve">с даты получения права участия в торговле на оптовом рынке по соответствующей ГТП – в отношении Акта о соответствии АИИС КУЭ, ранее выданного в отношении нового сечения коммерческого учета, входящего в состав новой либо изменяемой ГТП, в случаях, предусмотренных подп. «д» п. 4.1.1.1 Положения о реестре при регистрации ПСИ в связи с внесением изменений в </w:t>
            </w:r>
            <w:r w:rsidRPr="00994C91">
              <w:rPr>
                <w:rFonts w:ascii="Garamond" w:hAnsi="Garamond"/>
              </w:rPr>
              <w:t>регистрационную информацию в соответствии с п. 4.3.2 Положения о реестре;</w:t>
            </w:r>
          </w:p>
          <w:p w14:paraId="4886944C" w14:textId="77777777" w:rsidR="00DE5088" w:rsidRPr="00994C91"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994C91">
              <w:rPr>
                <w:rFonts w:ascii="Garamond" w:hAnsi="Garamond"/>
              </w:rPr>
              <w:t xml:space="preserve"> с даты отмены действия Акта о согласовании ГТП в порядке, предусмотренном Положением о реестре;</w:t>
            </w:r>
          </w:p>
          <w:p w14:paraId="6DF3F05D" w14:textId="77777777" w:rsidR="00DE5088" w:rsidRPr="00264A2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994C91">
              <w:rPr>
                <w:rFonts w:ascii="Garamond" w:hAnsi="Garamond"/>
              </w:rPr>
              <w:t>с даты лишения заявителя статуса субъекта оптового рынка электрической энергии и мощности</w:t>
            </w:r>
            <w:r w:rsidRPr="00264A25">
              <w:rPr>
                <w:rFonts w:ascii="Garamond" w:hAnsi="Garamond"/>
              </w:rPr>
              <w:t xml:space="preserve"> </w:t>
            </w:r>
            <w:r>
              <w:rPr>
                <w:rFonts w:ascii="Garamond" w:hAnsi="Garamond"/>
              </w:rPr>
              <w:t>и (</w:t>
            </w:r>
            <w:r w:rsidRPr="00264A25">
              <w:rPr>
                <w:rFonts w:ascii="Garamond" w:hAnsi="Garamond"/>
              </w:rPr>
              <w:t>или</w:t>
            </w:r>
            <w:r>
              <w:rPr>
                <w:rFonts w:ascii="Garamond" w:hAnsi="Garamond"/>
              </w:rPr>
              <w:t>)</w:t>
            </w:r>
            <w:r w:rsidRPr="00264A25">
              <w:rPr>
                <w:rFonts w:ascii="Garamond" w:hAnsi="Garamond"/>
              </w:rPr>
              <w:t xml:space="preserve"> права участия в торговле на оптовом рынке с использованием ГТП, включающей соответствующее сечение коммерческого учета;</w:t>
            </w:r>
          </w:p>
          <w:p w14:paraId="425907F0" w14:textId="77777777" w:rsidR="00DE5088" w:rsidRPr="006B63C7"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t>с даты вступления в действие ПСИ с изменением регистрационной информации в части наименований точек поставки (без изменения состава и месторасположения точек поставки, входящих в состав согласованных ГТП) и (или) в части изменения наименования точек измерений, изменения состава и месторасположения точек измерений, входящих в состав согласованных ГТП</w:t>
            </w:r>
            <w:r>
              <w:rPr>
                <w:rFonts w:ascii="Garamond" w:hAnsi="Garamond"/>
              </w:rPr>
              <w:t>;</w:t>
            </w:r>
          </w:p>
          <w:p w14:paraId="6C92483E" w14:textId="77777777" w:rsidR="00DE5088" w:rsidRPr="00197A61"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197A61">
              <w:rPr>
                <w:rFonts w:ascii="Garamond" w:hAnsi="Garamond"/>
              </w:rPr>
              <w:t xml:space="preserve">с 1-го числа месяца, следующего за месяцем, в отношении которого принят к расчетам корректирующий акт учета (оборота) </w:t>
            </w:r>
            <w:r w:rsidRPr="005E71EF">
              <w:rPr>
                <w:rFonts w:ascii="Garamond" w:hAnsi="Garamond"/>
              </w:rPr>
              <w:t xml:space="preserve">по ГТП генерации или корректирующий акт учета перетоков по сечению коммерческого учета (макеты 51075), при выполнении условий, предусмотренных </w:t>
            </w:r>
            <w:r w:rsidRPr="005E71EF">
              <w:rPr>
                <w:rFonts w:ascii="Garamond" w:hAnsi="Garamond"/>
                <w:i/>
              </w:rPr>
              <w:t>Регламентом коммерческого учета электроэнергии и мощности</w:t>
            </w:r>
            <w:r w:rsidRPr="00197A61">
              <w:rPr>
                <w:rFonts w:ascii="Garamond" w:hAnsi="Garamond"/>
              </w:rPr>
              <w:t xml:space="preserve"> (Приложение № 11 к </w:t>
            </w:r>
            <w:r w:rsidRPr="00197A61">
              <w:rPr>
                <w:rFonts w:ascii="Garamond" w:hAnsi="Garamond"/>
                <w:i/>
              </w:rPr>
              <w:t>Договору о присоединении к торговой системе оптового рынка</w:t>
            </w:r>
            <w:r w:rsidRPr="00197A61">
              <w:rPr>
                <w:rFonts w:ascii="Garamond" w:hAnsi="Garamond"/>
              </w:rPr>
              <w:t>);</w:t>
            </w:r>
          </w:p>
          <w:p w14:paraId="42EA6C5B" w14:textId="77777777" w:rsidR="00DE5088" w:rsidRPr="00264A2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t xml:space="preserve">в указанных в Положении о реестре случаях, в связи с внесением изменений в регистрационную информацию без изменения </w:t>
            </w:r>
            <w:r w:rsidRPr="00264A25">
              <w:rPr>
                <w:rFonts w:ascii="Garamond" w:hAnsi="Garamond"/>
              </w:rPr>
              <w:lastRenderedPageBreak/>
              <w:t>состава точек поставки и точек измерений – с даты вступления в силу изменений в регистрационную информацию;</w:t>
            </w:r>
          </w:p>
          <w:p w14:paraId="364BC663" w14:textId="77777777" w:rsidR="00DE5088" w:rsidRPr="006B63C7"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6B63C7">
              <w:rPr>
                <w:rFonts w:ascii="Garamond" w:hAnsi="Garamond"/>
              </w:rPr>
              <w:t>по действующему составу точек поставки и точек измерений Акт о соответствии АИИС КУЭ прекращает свое действие с даты вступления в действие в соответствии с п. 1.10 настоящего Порядка Акта о соответствии АИИС КУЭ, полученного в порядке, предусмотренном пп. 2.7, 3.1, 3.2 и 3.4 настоящего Порядка, по указанному составу точек поставки и точек измерений;</w:t>
            </w:r>
          </w:p>
          <w:p w14:paraId="140689F3" w14:textId="77777777" w:rsidR="00DE5088" w:rsidRPr="009D2F29"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264A25">
              <w:rPr>
                <w:rFonts w:ascii="Garamond" w:hAnsi="Garamond"/>
              </w:rPr>
              <w:t xml:space="preserve">в случае поступления в КО от заявителя заявления о прекращении действия Акта о </w:t>
            </w:r>
            <w:r w:rsidRPr="009D2F29">
              <w:rPr>
                <w:rFonts w:ascii="Garamond" w:hAnsi="Garamond"/>
              </w:rPr>
              <w:t>соответствии АИИС КУЭ заявителя – с даты направления соответствующего уведомления заявителю;</w:t>
            </w:r>
          </w:p>
          <w:p w14:paraId="59E6FBC7" w14:textId="77777777" w:rsidR="00DE5088" w:rsidRPr="006C3AC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9D2F29">
              <w:rPr>
                <w:rFonts w:ascii="Garamond" w:hAnsi="Garamond"/>
              </w:rPr>
              <w:t xml:space="preserve">в случае получения от Федерального агентства по техническому регулированию и метрологии (Росстандарта) и (или) его подведомственных организаций либо юридических лиц и индивидуальных предпринимателей, аккредитованных в порядке, предусмотренном законодательством Российской Федерации, на выполнение работ и (или) оказание услуг в области обеспечения единства измерений, сведений о несоответствии АИИС КУЭ (компонентов АИИС КУЭ) субъекта ОРЭМ либо документов на АИИС КУЭ (компоненты АИИС КУЭ), на основании которых оформлен Акт о соответствии АИИС КУЭ, действующему законодательству Российской Федерации в части обеспечения единства измерений либо сведений о том, что в вышеуказанные документы на АИИС КУЭ (компоненты АИИС КУЭ) на момент подачи комплекта документов для проведения процедуры установления соответствия АИИС КУЭ </w:t>
            </w:r>
            <w:r w:rsidRPr="006C3AC5">
              <w:rPr>
                <w:rFonts w:ascii="Garamond" w:hAnsi="Garamond"/>
              </w:rPr>
              <w:t>техническим требованиям оптового рынка были внесены изменения, – с даты направления КО соответствующего уведомления субъекту ОРЭМ;</w:t>
            </w:r>
          </w:p>
          <w:p w14:paraId="0D55EC98" w14:textId="77777777" w:rsidR="00DE5088"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6C3AC5">
              <w:rPr>
                <w:rFonts w:ascii="Garamond" w:hAnsi="Garamond"/>
              </w:rPr>
              <w:t xml:space="preserve">в указанных в </w:t>
            </w:r>
            <w:r w:rsidRPr="006C3AC5">
              <w:rPr>
                <w:rFonts w:ascii="Garamond" w:hAnsi="Garamond"/>
                <w:i/>
              </w:rPr>
              <w:t xml:space="preserve">Регламенте проведения проверок систем коммерческого учета субъектов оптового рынка </w:t>
            </w:r>
            <w:r w:rsidRPr="006C3AC5">
              <w:rPr>
                <w:rFonts w:ascii="Garamond" w:hAnsi="Garamond"/>
              </w:rPr>
              <w:t xml:space="preserve">(Приложение № 18 к </w:t>
            </w:r>
            <w:r w:rsidRPr="006C3AC5">
              <w:rPr>
                <w:rFonts w:ascii="Garamond" w:hAnsi="Garamond"/>
                <w:i/>
              </w:rPr>
              <w:t>Договору о присоединении к торговой системе оптового рынка</w:t>
            </w:r>
            <w:r w:rsidRPr="006C3AC5">
              <w:rPr>
                <w:rFonts w:ascii="Garamond" w:hAnsi="Garamond"/>
              </w:rPr>
              <w:t xml:space="preserve">) случаях, в связи с выявленным несоответствием АИИС КУЭ требованиям Правил оптового рынка электрической энергии (мощности), утвержденных постановлением Правительства РФ от 27.12.2010 № 1172 (далее – Правила оптового рынка), либо в связи со вступлением в действие нового Акта о соответствии АИИС КУЭ в порядке, предусмотренном вышеуказанным Регламентом, по </w:t>
            </w:r>
            <w:r w:rsidRPr="006C3AC5">
              <w:rPr>
                <w:rFonts w:ascii="Garamond" w:hAnsi="Garamond"/>
              </w:rPr>
              <w:lastRenderedPageBreak/>
              <w:t>результатам проведения проверки, завершившейся установлением соответствия АИИС КУЭ тр</w:t>
            </w:r>
            <w:r>
              <w:rPr>
                <w:rFonts w:ascii="Garamond" w:hAnsi="Garamond"/>
              </w:rPr>
              <w:t>ебованиям Правил оптового рынка;</w:t>
            </w:r>
          </w:p>
          <w:p w14:paraId="34623AE4" w14:textId="77777777" w:rsidR="00DE5088" w:rsidRPr="00AB72C5" w:rsidRDefault="00DE5088" w:rsidP="00905A19">
            <w:pPr>
              <w:pStyle w:val="af4"/>
              <w:numPr>
                <w:ilvl w:val="0"/>
                <w:numId w:val="29"/>
              </w:numPr>
              <w:tabs>
                <w:tab w:val="num" w:pos="240"/>
                <w:tab w:val="left" w:pos="993"/>
                <w:tab w:val="left" w:pos="1080"/>
              </w:tabs>
              <w:spacing w:line="22" w:lineRule="atLeast"/>
              <w:ind w:left="0" w:firstLine="600"/>
              <w:jc w:val="both"/>
              <w:rPr>
                <w:rFonts w:ascii="Garamond" w:hAnsi="Garamond"/>
              </w:rPr>
            </w:pPr>
            <w:r w:rsidRPr="00AB72C5">
              <w:rPr>
                <w:rFonts w:ascii="Garamond" w:hAnsi="Garamond"/>
              </w:rPr>
              <w:t xml:space="preserve">с даты исключения временного сечения КУ в порядке, предусмотренном </w:t>
            </w:r>
            <w:r w:rsidRPr="00AB72C5">
              <w:rPr>
                <w:rFonts w:ascii="Garamond" w:hAnsi="Garamond"/>
                <w:i/>
              </w:rPr>
              <w:t xml:space="preserve">Регламентом допуска к торговой системе оптового рынка </w:t>
            </w:r>
            <w:r w:rsidRPr="00AB72C5">
              <w:rPr>
                <w:rFonts w:ascii="Garamond" w:hAnsi="Garamond"/>
              </w:rPr>
              <w:t>(Приложение № 1 к</w:t>
            </w:r>
            <w:r w:rsidRPr="00AB72C5">
              <w:rPr>
                <w:rFonts w:ascii="Garamond" w:hAnsi="Garamond"/>
                <w:i/>
              </w:rPr>
              <w:t xml:space="preserve"> Договору о присоединении к торговой системе оптового рынка).</w:t>
            </w:r>
          </w:p>
          <w:p w14:paraId="377A1518" w14:textId="77777777" w:rsidR="00DE5088" w:rsidRPr="00DE5088" w:rsidRDefault="00DE5088" w:rsidP="00905A19">
            <w:pPr>
              <w:pStyle w:val="a3"/>
              <w:pBdr>
                <w:top w:val="nil"/>
                <w:left w:val="nil"/>
                <w:bottom w:val="nil"/>
                <w:right w:val="nil"/>
                <w:between w:val="nil"/>
                <w:bar w:val="nil"/>
              </w:pBdr>
              <w:tabs>
                <w:tab w:val="left" w:pos="1080"/>
              </w:tabs>
              <w:spacing w:after="120" w:line="22" w:lineRule="atLeast"/>
              <w:ind w:left="0" w:firstLine="600"/>
              <w:jc w:val="both"/>
              <w:rPr>
                <w:szCs w:val="22"/>
                <w:lang w:val="ru-RU"/>
              </w:rPr>
            </w:pPr>
            <w:r w:rsidRPr="00DE5088">
              <w:rPr>
                <w:szCs w:val="22"/>
                <w:lang w:val="ru-RU"/>
              </w:rPr>
              <w:t xml:space="preserve">В случае прекращения действия Акта о соответствии АИИС КУЭ в связи с выявленным несоответствием АИИС КУЭ требованиям Правил оптового рынка на основании </w:t>
            </w:r>
            <w:r w:rsidRPr="00DE5088">
              <w:rPr>
                <w:i/>
                <w:szCs w:val="22"/>
                <w:lang w:val="ru-RU"/>
              </w:rPr>
              <w:t>Регламента проведения проверок систем коммерческого учета субъектов оптового рынка</w:t>
            </w:r>
            <w:r w:rsidRPr="00DE5088">
              <w:rPr>
                <w:szCs w:val="22"/>
                <w:lang w:val="ru-RU"/>
              </w:rPr>
              <w:t xml:space="preserve"> (Приложение № 18 к </w:t>
            </w:r>
            <w:r w:rsidRPr="00DE5088">
              <w:rPr>
                <w:i/>
                <w:szCs w:val="22"/>
                <w:lang w:val="ru-RU"/>
              </w:rPr>
              <w:t>Договору о присоединении к торговой системе оптового рынка</w:t>
            </w:r>
            <w:r w:rsidRPr="00DE5088">
              <w:rPr>
                <w:szCs w:val="22"/>
                <w:lang w:val="ru-RU"/>
              </w:rPr>
              <w:t xml:space="preserve">) или согласно п. 2.7.4.2 Положения о реестре (в случае направления корректирующего акта учета (оборота) или корректирующего акта учета перетоков (макет 51075) с указанием причины № 1), прекращается действие Акта о соответствии АИИС КУЭ, оформленного на его основании в порядке, предусмотренном разделом 3 настоящего Порядка или п. 4.1.1.1 Положения о реестре, а также последующих </w:t>
            </w:r>
            <w:r w:rsidRPr="00DE5088">
              <w:rPr>
                <w:szCs w:val="22"/>
                <w:highlight w:val="yellow"/>
                <w:lang w:val="ru-RU"/>
              </w:rPr>
              <w:t>А</w:t>
            </w:r>
            <w:r w:rsidRPr="00DE5088">
              <w:rPr>
                <w:szCs w:val="22"/>
                <w:lang w:val="ru-RU"/>
              </w:rPr>
              <w:t>ктов о соответствии АИИС КУЭ, оформленных в указанном порядке на основании прекративших действие.</w:t>
            </w:r>
          </w:p>
          <w:p w14:paraId="61881282" w14:textId="77777777" w:rsidR="00DE5088" w:rsidRPr="00885173" w:rsidRDefault="00DE5088" w:rsidP="00905A19">
            <w:pPr>
              <w:pStyle w:val="af4"/>
              <w:tabs>
                <w:tab w:val="left" w:pos="960"/>
              </w:tabs>
              <w:autoSpaceDE w:val="0"/>
              <w:autoSpaceDN w:val="0"/>
              <w:spacing w:line="22" w:lineRule="atLeast"/>
              <w:ind w:firstLine="600"/>
              <w:jc w:val="both"/>
              <w:rPr>
                <w:rFonts w:ascii="Garamond" w:hAnsi="Garamond" w:cs="Calibri"/>
              </w:rPr>
            </w:pPr>
            <w:r w:rsidRPr="00575309">
              <w:rPr>
                <w:rFonts w:ascii="Garamond" w:hAnsi="Garamond"/>
              </w:rPr>
              <w:t xml:space="preserve">В случае прекращения действия Акта о соответствии АИИС КУЭ, выданного </w:t>
            </w:r>
            <w:r w:rsidRPr="00575309">
              <w:rPr>
                <w:rFonts w:ascii="Garamond" w:hAnsi="Garamond" w:cs="Calibri"/>
              </w:rPr>
              <w:t xml:space="preserve">в отношении сечения коммерческого учета и (или) группы точек поставки генерации, в состав которых входят точки поставки (точки измерений), расположенные на объектах </w:t>
            </w:r>
            <w:r w:rsidRPr="00885173">
              <w:rPr>
                <w:rFonts w:ascii="Garamond" w:hAnsi="Garamond" w:cs="Calibri"/>
              </w:rPr>
              <w:t xml:space="preserve">электроэнергетики на территориях следующих административно-территориальных единиц: </w:t>
            </w:r>
          </w:p>
          <w:p w14:paraId="3C3AE86F" w14:textId="77777777" w:rsidR="00513E83" w:rsidRDefault="00DE5088" w:rsidP="00513E83">
            <w:pPr>
              <w:pStyle w:val="af4"/>
              <w:numPr>
                <w:ilvl w:val="0"/>
                <w:numId w:val="28"/>
              </w:numPr>
              <w:tabs>
                <w:tab w:val="left" w:pos="709"/>
              </w:tabs>
              <w:autoSpaceDE w:val="0"/>
              <w:autoSpaceDN w:val="0"/>
              <w:spacing w:after="0" w:line="22" w:lineRule="atLeast"/>
              <w:ind w:left="709" w:hanging="463"/>
              <w:jc w:val="both"/>
              <w:rPr>
                <w:rFonts w:ascii="Garamond" w:hAnsi="Garamond" w:cs="Calibri"/>
              </w:rPr>
            </w:pPr>
            <w:r w:rsidRPr="00885173">
              <w:rPr>
                <w:rFonts w:ascii="Garamond" w:hAnsi="Garamond" w:cs="Calibri"/>
              </w:rPr>
              <w:t>Белгородской области – Белгородский, Борисовский, Валуйский, Волоконовский, Грайворонский, Краснояружский и Шебекинский районы, а также город областного значения Белгород;</w:t>
            </w:r>
          </w:p>
          <w:p w14:paraId="3AF3B0AF" w14:textId="77777777" w:rsidR="00DE5088" w:rsidRPr="00513E83" w:rsidRDefault="00DE5088" w:rsidP="00513E83">
            <w:pPr>
              <w:pStyle w:val="af4"/>
              <w:numPr>
                <w:ilvl w:val="0"/>
                <w:numId w:val="28"/>
              </w:numPr>
              <w:tabs>
                <w:tab w:val="left" w:pos="709"/>
              </w:tabs>
              <w:autoSpaceDE w:val="0"/>
              <w:autoSpaceDN w:val="0"/>
              <w:spacing w:line="22" w:lineRule="atLeast"/>
              <w:ind w:left="709" w:hanging="463"/>
              <w:jc w:val="both"/>
              <w:rPr>
                <w:rFonts w:ascii="Garamond" w:hAnsi="Garamond" w:cs="Calibri"/>
              </w:rPr>
            </w:pPr>
            <w:r w:rsidRPr="00513E83">
              <w:rPr>
                <w:rFonts w:ascii="Garamond" w:hAnsi="Garamond" w:cstheme="minorHAnsi"/>
              </w:rPr>
              <w:t>Курской области – Беловский, Глушковский, Кореневский, Рыльский, Суджанский</w:t>
            </w:r>
            <w:r w:rsidRPr="00513E83">
              <w:rPr>
                <w:rFonts w:ascii="Garamond" w:hAnsi="Garamond" w:cstheme="minorHAnsi"/>
                <w:highlight w:val="yellow"/>
              </w:rPr>
              <w:t>,</w:t>
            </w:r>
            <w:r w:rsidRPr="00513E83">
              <w:rPr>
                <w:rFonts w:ascii="Garamond" w:hAnsi="Garamond" w:cstheme="minorHAnsi"/>
              </w:rPr>
              <w:t xml:space="preserve"> Хомутовский</w:t>
            </w:r>
            <w:r w:rsidRPr="00513E83">
              <w:rPr>
                <w:rFonts w:ascii="Garamond" w:hAnsi="Garamond" w:cstheme="minorHAnsi"/>
                <w:highlight w:val="yellow"/>
              </w:rPr>
              <w:t>, Большесолдатский и Льговский</w:t>
            </w:r>
            <w:r w:rsidRPr="00513E83">
              <w:rPr>
                <w:rFonts w:ascii="Garamond" w:hAnsi="Garamond" w:cstheme="minorHAnsi"/>
              </w:rPr>
              <w:t xml:space="preserve"> районы;</w:t>
            </w:r>
          </w:p>
          <w:p w14:paraId="31CDF28E" w14:textId="77777777" w:rsidR="00DE5088" w:rsidRPr="00885173" w:rsidRDefault="00DE5088" w:rsidP="00905A19">
            <w:pPr>
              <w:pStyle w:val="af4"/>
              <w:numPr>
                <w:ilvl w:val="0"/>
                <w:numId w:val="28"/>
              </w:numPr>
              <w:tabs>
                <w:tab w:val="left" w:pos="709"/>
              </w:tabs>
              <w:autoSpaceDE w:val="0"/>
              <w:autoSpaceDN w:val="0"/>
              <w:spacing w:line="22" w:lineRule="atLeast"/>
              <w:ind w:left="709" w:hanging="463"/>
              <w:jc w:val="both"/>
              <w:rPr>
                <w:rFonts w:ascii="Garamond" w:hAnsi="Garamond" w:cs="Calibri"/>
              </w:rPr>
            </w:pPr>
            <w:r w:rsidRPr="00885173">
              <w:rPr>
                <w:rFonts w:ascii="Garamond" w:hAnsi="Garamond" w:cs="Calibri"/>
              </w:rPr>
              <w:t>Брянской области – Климовский, Погарский, Севский, Стародубский, Суземский и Трубчевский районы –</w:t>
            </w:r>
          </w:p>
          <w:p w14:paraId="44DF0847" w14:textId="77777777" w:rsidR="00DE5088" w:rsidRPr="00E37DB7" w:rsidRDefault="00DE5088" w:rsidP="00905A19">
            <w:pPr>
              <w:pStyle w:val="af4"/>
              <w:tabs>
                <w:tab w:val="left" w:pos="1080"/>
                <w:tab w:val="num" w:pos="1380"/>
              </w:tabs>
              <w:spacing w:line="22" w:lineRule="atLeast"/>
              <w:ind w:right="-1"/>
              <w:jc w:val="both"/>
              <w:rPr>
                <w:rFonts w:ascii="Garamond" w:hAnsi="Garamond"/>
              </w:rPr>
            </w:pPr>
            <w:r w:rsidRPr="00885173">
              <w:rPr>
                <w:rFonts w:ascii="Garamond" w:hAnsi="Garamond" w:cs="Calibri"/>
              </w:rPr>
              <w:lastRenderedPageBreak/>
              <w:t>субъект оптового рынка вправе заявить о невозможности выполнить</w:t>
            </w:r>
            <w:r w:rsidRPr="00575309">
              <w:rPr>
                <w:rFonts w:ascii="Garamond" w:hAnsi="Garamond" w:cs="Calibri"/>
              </w:rPr>
              <w:t xml:space="preserve"> требования по подтверждению соответствия систем коммерческого учета техническим требованиям оптового рынка в таком сечении коммерческого учета и (или) группе точек поставки генерации путем направления в Совет рынка официального письма. В указанном письме должны быть также указаны код такого сечения / группы точек поставки генерации, субъект Российской Федерации и административно-территориальная единица, на территории которых расположены объекты электроэнергетики, входящие в соответствующее сечение и (или) группу точек поставки генерации. Копию направленного в Совет рынка письма необходимо также направить на электронную почту KU_DK@np-sr.ru. При соблюдении указанных условий к субъекту оптового рынка не применяются санкции, предусмотренные ст. 33.6 </w:t>
            </w:r>
            <w:r w:rsidRPr="00575309">
              <w:rPr>
                <w:rFonts w:ascii="Garamond" w:hAnsi="Garamond" w:cs="Calibri"/>
                <w:i/>
              </w:rPr>
              <w:t>Положения о применении санкций на оптовом рынке электрической энергии и мощности</w:t>
            </w:r>
            <w:r w:rsidRPr="00575309">
              <w:rPr>
                <w:rFonts w:ascii="Garamond" w:hAnsi="Garamond" w:cs="Calibri"/>
              </w:rPr>
              <w:t xml:space="preserve"> (Приложение № 21 к</w:t>
            </w:r>
            <w:r w:rsidRPr="00575309">
              <w:rPr>
                <w:rFonts w:ascii="Garamond" w:hAnsi="Garamond" w:cs="Calibri"/>
                <w:i/>
              </w:rPr>
              <w:t xml:space="preserve"> Договору о присоединении к торговой системе оптового рынка</w:t>
            </w:r>
            <w:r w:rsidRPr="00575309">
              <w:rPr>
                <w:rFonts w:ascii="Garamond" w:hAnsi="Garamond" w:cs="Calibri"/>
              </w:rPr>
              <w:t>).</w:t>
            </w:r>
          </w:p>
        </w:tc>
      </w:tr>
    </w:tbl>
    <w:p w14:paraId="24299F0D" w14:textId="77777777" w:rsidR="00317250" w:rsidRDefault="00317250" w:rsidP="00317250"/>
    <w:p w14:paraId="08F5B69C" w14:textId="0AE8BF12" w:rsidR="00F7120C" w:rsidRDefault="00F7120C" w:rsidP="00F7120C">
      <w:pPr>
        <w:widowControl w:val="0"/>
        <w:spacing w:after="0" w:line="240" w:lineRule="auto"/>
        <w:jc w:val="right"/>
        <w:rPr>
          <w:rFonts w:ascii="Garamond" w:hAnsi="Garamond"/>
          <w:b/>
          <w:sz w:val="28"/>
          <w:szCs w:val="28"/>
        </w:rPr>
      </w:pPr>
      <w:r>
        <w:rPr>
          <w:rFonts w:ascii="Garamond" w:hAnsi="Garamond"/>
          <w:b/>
          <w:sz w:val="28"/>
          <w:szCs w:val="28"/>
        </w:rPr>
        <w:t>Приложение № 8.4.2</w:t>
      </w:r>
    </w:p>
    <w:p w14:paraId="454B2E87" w14:textId="77777777" w:rsidR="00F7120C" w:rsidRPr="00F7120C" w:rsidRDefault="00F7120C" w:rsidP="00F7120C">
      <w:pPr>
        <w:widowControl w:val="0"/>
        <w:spacing w:after="0" w:line="240" w:lineRule="auto"/>
        <w:jc w:val="right"/>
        <w:rPr>
          <w:rFonts w:ascii="Garamond" w:hAnsi="Garamond"/>
          <w:b/>
          <w:sz w:val="28"/>
          <w:szCs w:val="28"/>
        </w:rPr>
      </w:pPr>
    </w:p>
    <w:p w14:paraId="5DC22830" w14:textId="0E13E49B" w:rsidR="00B56D9E" w:rsidRPr="00D76031" w:rsidRDefault="00B56D9E" w:rsidP="00327F44">
      <w:pPr>
        <w:pBdr>
          <w:top w:val="single" w:sz="4" w:space="1" w:color="auto"/>
          <w:left w:val="single" w:sz="4" w:space="4" w:color="auto"/>
          <w:bottom w:val="single" w:sz="4" w:space="1" w:color="auto"/>
          <w:right w:val="single" w:sz="4" w:space="0" w:color="auto"/>
        </w:pBdr>
        <w:spacing w:after="0" w:line="240" w:lineRule="auto"/>
        <w:jc w:val="both"/>
        <w:rPr>
          <w:rFonts w:ascii="Garamond" w:hAnsi="Garamond"/>
          <w:sz w:val="24"/>
          <w:szCs w:val="24"/>
        </w:rPr>
      </w:pPr>
      <w:r w:rsidRPr="00D76031">
        <w:rPr>
          <w:rFonts w:ascii="Garamond" w:hAnsi="Garamond"/>
          <w:b/>
          <w:sz w:val="24"/>
          <w:szCs w:val="24"/>
        </w:rPr>
        <w:t xml:space="preserve">Обоснование: </w:t>
      </w:r>
      <w:r w:rsidR="00D76031">
        <w:rPr>
          <w:rFonts w:ascii="Garamond" w:hAnsi="Garamond"/>
          <w:sz w:val="24"/>
          <w:szCs w:val="24"/>
        </w:rPr>
        <w:t xml:space="preserve">предлагается внести изменения </w:t>
      </w:r>
      <w:r w:rsidR="00865E53">
        <w:rPr>
          <w:rFonts w:ascii="Garamond" w:hAnsi="Garamond"/>
          <w:sz w:val="24"/>
          <w:szCs w:val="24"/>
        </w:rPr>
        <w:t xml:space="preserve">в </w:t>
      </w:r>
      <w:r w:rsidR="00D76031" w:rsidRPr="00D76031">
        <w:rPr>
          <w:rFonts w:ascii="Garamond" w:hAnsi="Garamond"/>
          <w:sz w:val="24"/>
          <w:szCs w:val="24"/>
        </w:rPr>
        <w:t>Регламент подачи ценовых заявок участниками оптового рынка (Приложение № 5 Договору о присоединении к торговой системе оптового рынка)</w:t>
      </w:r>
      <w:r w:rsidR="00D76031">
        <w:rPr>
          <w:rFonts w:ascii="Garamond" w:hAnsi="Garamond"/>
          <w:sz w:val="24"/>
          <w:szCs w:val="24"/>
        </w:rPr>
        <w:t xml:space="preserve"> </w:t>
      </w:r>
      <w:r w:rsidR="00D76031" w:rsidRPr="00D76031">
        <w:rPr>
          <w:rFonts w:ascii="Garamond" w:hAnsi="Garamond"/>
          <w:sz w:val="24"/>
          <w:szCs w:val="24"/>
        </w:rPr>
        <w:t xml:space="preserve">в связи с введением в отдельных субъектах Российской Федерации режима чрезвычайной </w:t>
      </w:r>
      <w:r w:rsidR="00D76031">
        <w:rPr>
          <w:rFonts w:ascii="Garamond" w:hAnsi="Garamond"/>
          <w:sz w:val="24"/>
          <w:szCs w:val="24"/>
        </w:rPr>
        <w:t>ситуации федерального характера.</w:t>
      </w:r>
    </w:p>
    <w:p w14:paraId="7C8C9AEA" w14:textId="57E671F4" w:rsidR="00327F44" w:rsidRPr="00513E83" w:rsidRDefault="00B56D9E" w:rsidP="00513E83">
      <w:pPr>
        <w:pBdr>
          <w:top w:val="single" w:sz="4" w:space="1" w:color="auto"/>
          <w:left w:val="single" w:sz="4" w:space="4" w:color="auto"/>
          <w:bottom w:val="single" w:sz="4" w:space="1" w:color="auto"/>
          <w:right w:val="single" w:sz="4" w:space="0" w:color="auto"/>
        </w:pBdr>
        <w:spacing w:after="0" w:line="240" w:lineRule="auto"/>
        <w:jc w:val="both"/>
        <w:rPr>
          <w:rFonts w:ascii="Garamond" w:hAnsi="Garamond" w:cs="Garamond"/>
          <w:bCs/>
          <w:sz w:val="24"/>
          <w:szCs w:val="24"/>
        </w:rPr>
      </w:pPr>
      <w:r w:rsidRPr="00D76031">
        <w:rPr>
          <w:rFonts w:ascii="Garamond" w:hAnsi="Garamond" w:cs="Garamond"/>
          <w:b/>
          <w:bCs/>
          <w:sz w:val="24"/>
          <w:szCs w:val="24"/>
        </w:rPr>
        <w:t xml:space="preserve">Дата вступления в силу: </w:t>
      </w:r>
      <w:r w:rsidR="00D76031" w:rsidRPr="00D76031">
        <w:rPr>
          <w:rFonts w:ascii="Garamond" w:hAnsi="Garamond"/>
          <w:color w:val="000000"/>
          <w:sz w:val="24"/>
          <w:szCs w:val="24"/>
        </w:rPr>
        <w:t xml:space="preserve">с </w:t>
      </w:r>
      <w:r w:rsidR="00002176">
        <w:rPr>
          <w:rFonts w:ascii="Garamond" w:hAnsi="Garamond"/>
          <w:color w:val="000000"/>
          <w:sz w:val="24"/>
          <w:szCs w:val="24"/>
        </w:rPr>
        <w:t>24 сентября 2024 года и</w:t>
      </w:r>
      <w:r w:rsidR="008D1232">
        <w:rPr>
          <w:rFonts w:ascii="Garamond" w:hAnsi="Garamond"/>
          <w:color w:val="000000"/>
          <w:sz w:val="24"/>
          <w:szCs w:val="24"/>
        </w:rPr>
        <w:t xml:space="preserve"> распространяют</w:t>
      </w:r>
      <w:r w:rsidR="00002176">
        <w:rPr>
          <w:rFonts w:ascii="Garamond" w:hAnsi="Garamond"/>
          <w:color w:val="000000"/>
          <w:sz w:val="24"/>
          <w:szCs w:val="24"/>
        </w:rPr>
        <w:t xml:space="preserve"> свое действие</w:t>
      </w:r>
      <w:r w:rsidR="008D1232">
        <w:rPr>
          <w:rFonts w:ascii="Garamond" w:hAnsi="Garamond"/>
          <w:color w:val="000000"/>
          <w:sz w:val="24"/>
          <w:szCs w:val="24"/>
        </w:rPr>
        <w:t xml:space="preserve"> на отношения</w:t>
      </w:r>
      <w:r w:rsidR="002919D2">
        <w:rPr>
          <w:rFonts w:ascii="Garamond" w:hAnsi="Garamond"/>
          <w:color w:val="000000"/>
          <w:sz w:val="24"/>
          <w:szCs w:val="24"/>
        </w:rPr>
        <w:t xml:space="preserve"> сторон по Договору о присоединении</w:t>
      </w:r>
      <w:r w:rsidR="00002176">
        <w:rPr>
          <w:rFonts w:ascii="Garamond" w:hAnsi="Garamond"/>
          <w:color w:val="000000"/>
          <w:sz w:val="24"/>
          <w:szCs w:val="24"/>
        </w:rPr>
        <w:t xml:space="preserve"> к торговой системе оптового рынка</w:t>
      </w:r>
      <w:r w:rsidR="008D1232">
        <w:rPr>
          <w:rFonts w:ascii="Garamond" w:hAnsi="Garamond"/>
          <w:color w:val="000000"/>
          <w:sz w:val="24"/>
          <w:szCs w:val="24"/>
        </w:rPr>
        <w:t xml:space="preserve">, возникшие с </w:t>
      </w:r>
      <w:r w:rsidR="00002176">
        <w:rPr>
          <w:rFonts w:ascii="Garamond" w:hAnsi="Garamond"/>
          <w:color w:val="000000"/>
          <w:sz w:val="24"/>
          <w:szCs w:val="24"/>
        </w:rPr>
        <w:t xml:space="preserve">1 августа </w:t>
      </w:r>
      <w:r w:rsidR="008D1232">
        <w:rPr>
          <w:rFonts w:ascii="Garamond" w:hAnsi="Garamond"/>
          <w:color w:val="000000"/>
          <w:sz w:val="24"/>
          <w:szCs w:val="24"/>
        </w:rPr>
        <w:t>2024</w:t>
      </w:r>
      <w:r w:rsidR="00002176">
        <w:rPr>
          <w:rFonts w:ascii="Garamond" w:hAnsi="Garamond"/>
          <w:color w:val="000000"/>
          <w:sz w:val="24"/>
          <w:szCs w:val="24"/>
        </w:rPr>
        <w:t xml:space="preserve"> года</w:t>
      </w:r>
      <w:r w:rsidR="00AC1C39">
        <w:rPr>
          <w:rFonts w:ascii="Garamond" w:hAnsi="Garamond"/>
          <w:color w:val="000000"/>
          <w:sz w:val="24"/>
          <w:szCs w:val="24"/>
        </w:rPr>
        <w:t>,</w:t>
      </w:r>
      <w:r w:rsidR="00D76031" w:rsidRPr="00D76031">
        <w:rPr>
          <w:rFonts w:ascii="Garamond" w:hAnsi="Garamond"/>
          <w:color w:val="000000"/>
          <w:sz w:val="24"/>
          <w:szCs w:val="24"/>
        </w:rPr>
        <w:t xml:space="preserve"> и </w:t>
      </w:r>
      <w:r w:rsidR="00D76031" w:rsidRPr="00B2382D">
        <w:rPr>
          <w:rFonts w:ascii="Garamond" w:hAnsi="Garamond"/>
          <w:color w:val="000000"/>
          <w:sz w:val="24"/>
          <w:szCs w:val="24"/>
        </w:rPr>
        <w:t xml:space="preserve">действуют </w:t>
      </w:r>
      <w:r w:rsidR="00C13274" w:rsidRPr="00B2382D">
        <w:rPr>
          <w:rFonts w:ascii="Garamond" w:hAnsi="Garamond"/>
          <w:color w:val="000000"/>
          <w:sz w:val="24"/>
          <w:szCs w:val="24"/>
        </w:rPr>
        <w:t>п</w:t>
      </w:r>
      <w:r w:rsidR="00461F87" w:rsidRPr="00B2382D">
        <w:rPr>
          <w:rFonts w:ascii="Garamond" w:hAnsi="Garamond"/>
          <w:color w:val="000000"/>
          <w:sz w:val="24"/>
          <w:szCs w:val="24"/>
        </w:rPr>
        <w:t>о</w:t>
      </w:r>
      <w:r w:rsidR="00FB646D" w:rsidRPr="00B2382D">
        <w:rPr>
          <w:rFonts w:ascii="Garamond" w:hAnsi="Garamond"/>
          <w:color w:val="000000"/>
          <w:sz w:val="24"/>
          <w:szCs w:val="24"/>
        </w:rPr>
        <w:t xml:space="preserve"> </w:t>
      </w:r>
      <w:r w:rsidR="00002176">
        <w:rPr>
          <w:rFonts w:ascii="Garamond" w:hAnsi="Garamond"/>
          <w:color w:val="000000"/>
          <w:sz w:val="24"/>
          <w:szCs w:val="24"/>
        </w:rPr>
        <w:t xml:space="preserve">31 января </w:t>
      </w:r>
      <w:r w:rsidR="00FB646D" w:rsidRPr="00B2382D">
        <w:rPr>
          <w:rFonts w:ascii="Garamond" w:hAnsi="Garamond"/>
          <w:color w:val="000000"/>
          <w:sz w:val="24"/>
          <w:szCs w:val="24"/>
        </w:rPr>
        <w:t>2025</w:t>
      </w:r>
      <w:r w:rsidR="00002176">
        <w:rPr>
          <w:rFonts w:ascii="Garamond" w:hAnsi="Garamond"/>
          <w:color w:val="000000"/>
          <w:sz w:val="24"/>
          <w:szCs w:val="24"/>
        </w:rPr>
        <w:t xml:space="preserve"> года</w:t>
      </w:r>
      <w:r w:rsidR="00461F87" w:rsidRPr="00B2382D">
        <w:rPr>
          <w:rFonts w:ascii="Garamond" w:hAnsi="Garamond"/>
          <w:color w:val="000000"/>
          <w:sz w:val="24"/>
          <w:szCs w:val="24"/>
        </w:rPr>
        <w:t xml:space="preserve"> </w:t>
      </w:r>
      <w:r w:rsidR="00D76031" w:rsidRPr="00B2382D">
        <w:rPr>
          <w:rFonts w:ascii="Garamond" w:hAnsi="Garamond"/>
          <w:color w:val="000000"/>
          <w:sz w:val="24"/>
          <w:szCs w:val="24"/>
        </w:rPr>
        <w:t>(включительно).</w:t>
      </w:r>
    </w:p>
    <w:p w14:paraId="3379878C" w14:textId="77777777" w:rsidR="00367249" w:rsidRDefault="00367249" w:rsidP="00367249">
      <w:pPr>
        <w:pStyle w:val="2"/>
        <w:spacing w:before="0" w:line="240" w:lineRule="auto"/>
        <w:rPr>
          <w:rFonts w:ascii="Garamond" w:eastAsia="Batang" w:hAnsi="Garamond" w:cs="Times New Roman"/>
          <w:b/>
          <w:color w:val="auto"/>
        </w:rPr>
      </w:pPr>
    </w:p>
    <w:p w14:paraId="39200F46" w14:textId="4AF3C5C5" w:rsidR="00D9004B" w:rsidRDefault="00D9004B" w:rsidP="00367249">
      <w:pPr>
        <w:pStyle w:val="2"/>
        <w:spacing w:before="0" w:line="240" w:lineRule="auto"/>
        <w:rPr>
          <w:rFonts w:ascii="Garamond" w:eastAsia="Batang" w:hAnsi="Garamond" w:cs="Times New Roman"/>
          <w:b/>
          <w:color w:val="auto"/>
        </w:rPr>
      </w:pPr>
      <w:r w:rsidRPr="00D9004B">
        <w:rPr>
          <w:rFonts w:ascii="Garamond" w:eastAsia="Batang" w:hAnsi="Garamond" w:cs="Times New Roman"/>
          <w:b/>
          <w:color w:val="auto"/>
        </w:rPr>
        <w:t xml:space="preserve">Предложения по изменениям и дополнениям в РЕГЛАМЕНТ </w:t>
      </w:r>
      <w:r w:rsidR="00D96D38">
        <w:rPr>
          <w:rFonts w:ascii="Garamond" w:eastAsia="Batang" w:hAnsi="Garamond" w:cs="Times New Roman"/>
          <w:b/>
          <w:color w:val="auto"/>
        </w:rPr>
        <w:t>ПОДАЧИ ЦЕНОВЫХ ЗАЯВОК УЧАСТНИКАМИ</w:t>
      </w:r>
      <w:r w:rsidRPr="00D9004B">
        <w:rPr>
          <w:rFonts w:ascii="Garamond" w:eastAsia="Batang" w:hAnsi="Garamond" w:cs="Times New Roman"/>
          <w:b/>
          <w:color w:val="auto"/>
        </w:rPr>
        <w:t xml:space="preserve"> ОПТОВОГО РЫНКА (Приложение № 5 к Договору о присоединении к торговой системе оптового рынка)</w:t>
      </w:r>
    </w:p>
    <w:p w14:paraId="04F701CB" w14:textId="77777777" w:rsidR="00367249" w:rsidRPr="00367249" w:rsidRDefault="00367249" w:rsidP="00367249">
      <w:pPr>
        <w:spacing w:after="0" w:line="240" w:lineRule="auto"/>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6718"/>
        <w:gridCol w:w="6804"/>
      </w:tblGrid>
      <w:tr w:rsidR="00D9004B" w:rsidRPr="00914920" w14:paraId="5DAA1163" w14:textId="77777777" w:rsidTr="00D76031">
        <w:trPr>
          <w:trHeight w:val="579"/>
          <w:tblHeader/>
        </w:trPr>
        <w:tc>
          <w:tcPr>
            <w:tcW w:w="1108" w:type="dxa"/>
            <w:tcBorders>
              <w:top w:val="single" w:sz="4" w:space="0" w:color="auto"/>
              <w:left w:val="single" w:sz="4" w:space="0" w:color="auto"/>
              <w:bottom w:val="single" w:sz="4" w:space="0" w:color="auto"/>
              <w:right w:val="single" w:sz="4" w:space="0" w:color="auto"/>
            </w:tcBorders>
            <w:vAlign w:val="center"/>
            <w:hideMark/>
          </w:tcPr>
          <w:p w14:paraId="1DF6CB78" w14:textId="77777777" w:rsidR="00D9004B" w:rsidRPr="00914920" w:rsidRDefault="00D9004B" w:rsidP="00071A02">
            <w:pPr>
              <w:spacing w:after="0" w:line="240" w:lineRule="auto"/>
              <w:jc w:val="center"/>
              <w:rPr>
                <w:rFonts w:ascii="Garamond" w:hAnsi="Garamond"/>
                <w:b/>
                <w:bCs/>
              </w:rPr>
            </w:pPr>
            <w:r w:rsidRPr="00914920">
              <w:rPr>
                <w:rFonts w:ascii="Garamond" w:hAnsi="Garamond"/>
                <w:b/>
                <w:bCs/>
              </w:rPr>
              <w:t>№ пункта</w:t>
            </w:r>
          </w:p>
        </w:tc>
        <w:tc>
          <w:tcPr>
            <w:tcW w:w="6718" w:type="dxa"/>
            <w:tcBorders>
              <w:top w:val="single" w:sz="4" w:space="0" w:color="auto"/>
              <w:left w:val="single" w:sz="4" w:space="0" w:color="auto"/>
              <w:bottom w:val="single" w:sz="4" w:space="0" w:color="auto"/>
              <w:right w:val="single" w:sz="4" w:space="0" w:color="auto"/>
            </w:tcBorders>
            <w:vAlign w:val="center"/>
            <w:hideMark/>
          </w:tcPr>
          <w:p w14:paraId="1FE888AC" w14:textId="77777777" w:rsidR="00D9004B" w:rsidRPr="00914920" w:rsidRDefault="00D9004B" w:rsidP="00071A02">
            <w:pPr>
              <w:spacing w:after="0" w:line="240" w:lineRule="auto"/>
              <w:jc w:val="center"/>
              <w:rPr>
                <w:rFonts w:ascii="Garamond" w:hAnsi="Garamond" w:cs="Garamond"/>
                <w:b/>
                <w:bCs/>
              </w:rPr>
            </w:pPr>
            <w:r w:rsidRPr="00914920">
              <w:rPr>
                <w:rFonts w:ascii="Garamond" w:hAnsi="Garamond" w:cs="Garamond"/>
                <w:b/>
                <w:bCs/>
              </w:rPr>
              <w:t xml:space="preserve">Редакция, действующая на момент </w:t>
            </w:r>
          </w:p>
          <w:p w14:paraId="36CFEC4D" w14:textId="77777777" w:rsidR="00D9004B" w:rsidRPr="00914920" w:rsidRDefault="00D9004B" w:rsidP="00071A02">
            <w:pPr>
              <w:spacing w:after="0" w:line="240" w:lineRule="auto"/>
              <w:jc w:val="center"/>
              <w:rPr>
                <w:rFonts w:ascii="Garamond" w:hAnsi="Garamond"/>
                <w:b/>
                <w:bCs/>
              </w:rPr>
            </w:pPr>
            <w:r w:rsidRPr="00914920">
              <w:rPr>
                <w:rFonts w:ascii="Garamond" w:hAnsi="Garamond" w:cs="Garamond"/>
                <w:b/>
                <w:bCs/>
              </w:rPr>
              <w:t>вступления в силу изменений</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1A91A31" w14:textId="77777777" w:rsidR="00D9004B" w:rsidRPr="00914920" w:rsidRDefault="00D9004B" w:rsidP="00071A02">
            <w:pPr>
              <w:spacing w:after="0" w:line="240" w:lineRule="auto"/>
              <w:jc w:val="center"/>
              <w:rPr>
                <w:rFonts w:ascii="Garamond" w:hAnsi="Garamond" w:cs="Garamond"/>
                <w:b/>
                <w:bCs/>
              </w:rPr>
            </w:pPr>
            <w:r w:rsidRPr="00914920">
              <w:rPr>
                <w:rFonts w:ascii="Garamond" w:hAnsi="Garamond" w:cs="Garamond"/>
                <w:b/>
                <w:bCs/>
              </w:rPr>
              <w:t>Предлагаемая редакция</w:t>
            </w:r>
          </w:p>
          <w:p w14:paraId="2F5EA9EF" w14:textId="77777777" w:rsidR="00D9004B" w:rsidRPr="00914920" w:rsidRDefault="00D9004B" w:rsidP="00071A02">
            <w:pPr>
              <w:spacing w:after="0" w:line="240" w:lineRule="auto"/>
              <w:jc w:val="center"/>
              <w:rPr>
                <w:rFonts w:ascii="Garamond" w:hAnsi="Garamond"/>
                <w:b/>
                <w:bCs/>
              </w:rPr>
            </w:pPr>
            <w:r w:rsidRPr="00914920">
              <w:rPr>
                <w:rFonts w:ascii="Garamond" w:hAnsi="Garamond" w:cs="Garamond"/>
              </w:rPr>
              <w:t>(изменения выделены цветом)</w:t>
            </w:r>
          </w:p>
        </w:tc>
      </w:tr>
      <w:tr w:rsidR="00D9004B" w:rsidRPr="00914920" w14:paraId="6C03FD28" w14:textId="77777777" w:rsidTr="00D76031">
        <w:trPr>
          <w:trHeight w:val="579"/>
        </w:trPr>
        <w:tc>
          <w:tcPr>
            <w:tcW w:w="1108" w:type="dxa"/>
            <w:tcBorders>
              <w:top w:val="single" w:sz="4" w:space="0" w:color="auto"/>
              <w:left w:val="single" w:sz="4" w:space="0" w:color="auto"/>
              <w:bottom w:val="single" w:sz="4" w:space="0" w:color="auto"/>
              <w:right w:val="single" w:sz="4" w:space="0" w:color="auto"/>
            </w:tcBorders>
            <w:vAlign w:val="center"/>
            <w:hideMark/>
          </w:tcPr>
          <w:p w14:paraId="6069DB74" w14:textId="3AE4651B" w:rsidR="00D9004B" w:rsidRPr="00914920" w:rsidRDefault="006B5958" w:rsidP="006B5958">
            <w:pPr>
              <w:widowControl w:val="0"/>
              <w:spacing w:before="120" w:after="120" w:line="240" w:lineRule="auto"/>
              <w:jc w:val="center"/>
              <w:rPr>
                <w:rFonts w:ascii="Garamond" w:hAnsi="Garamond"/>
                <w:b/>
              </w:rPr>
            </w:pPr>
            <w:r>
              <w:rPr>
                <w:rFonts w:ascii="Garamond" w:hAnsi="Garamond"/>
                <w:b/>
              </w:rPr>
              <w:t>Приложение</w:t>
            </w:r>
            <w:r w:rsidR="00D9004B">
              <w:rPr>
                <w:rFonts w:ascii="Garamond" w:hAnsi="Garamond"/>
                <w:b/>
              </w:rPr>
              <w:t xml:space="preserve"> 5</w:t>
            </w:r>
            <w:r w:rsidR="00071A02">
              <w:rPr>
                <w:rFonts w:ascii="Garamond" w:hAnsi="Garamond"/>
                <w:b/>
              </w:rPr>
              <w:t>, п. 2.2</w:t>
            </w:r>
          </w:p>
        </w:tc>
        <w:tc>
          <w:tcPr>
            <w:tcW w:w="6718" w:type="dxa"/>
            <w:tcBorders>
              <w:top w:val="single" w:sz="4" w:space="0" w:color="auto"/>
              <w:left w:val="single" w:sz="4" w:space="0" w:color="auto"/>
              <w:bottom w:val="single" w:sz="4" w:space="0" w:color="auto"/>
              <w:right w:val="single" w:sz="4" w:space="0" w:color="auto"/>
            </w:tcBorders>
          </w:tcPr>
          <w:p w14:paraId="5814DED6" w14:textId="77777777" w:rsidR="00D9004B" w:rsidRPr="00195511" w:rsidRDefault="00D9004B" w:rsidP="006B5958">
            <w:pPr>
              <w:widowControl w:val="0"/>
              <w:adjustRightInd w:val="0"/>
              <w:spacing w:before="120" w:after="120" w:line="240" w:lineRule="auto"/>
              <w:ind w:left="88" w:firstLine="567"/>
              <w:jc w:val="both"/>
              <w:textAlignment w:val="baseline"/>
              <w:rPr>
                <w:rFonts w:ascii="Garamond" w:hAnsi="Garamond"/>
              </w:rPr>
            </w:pPr>
            <w:r w:rsidRPr="00195511">
              <w:rPr>
                <w:rFonts w:ascii="Garamond" w:hAnsi="Garamond"/>
              </w:rPr>
              <w:t xml:space="preserve">Основанием для применения меры оперативного воздействия, указанной в п. 1.2, является отличие абсолютной величины разницы планового почасового потребления </w:t>
            </w:r>
            <w:r w:rsidRPr="00195511">
              <w:rPr>
                <w:rFonts w:ascii="Garamond" w:hAnsi="Garamond"/>
                <w:color w:val="000000"/>
              </w:rPr>
              <w:t xml:space="preserve">(увеличенного на определенную в соответствии с </w:t>
            </w:r>
            <w:bookmarkStart w:id="1" w:name="163"/>
            <w:r w:rsidRPr="00195511">
              <w:rPr>
                <w:rFonts w:ascii="Garamond" w:hAnsi="Garamond"/>
                <w:i/>
                <w:color w:val="000000"/>
              </w:rPr>
              <w:fldChar w:fldCharType="begin"/>
            </w:r>
            <w:r w:rsidRPr="00195511">
              <w:rPr>
                <w:rFonts w:ascii="Garamond" w:hAnsi="Garamond"/>
                <w:i/>
                <w:color w:val="000000"/>
              </w:rPr>
              <w:instrText xml:space="preserve"> HYPERLINK "http://www.np-sr.ru/norem/marketregulation/joining/marketnorem/currentedition/index.htm?ssFolderId=163" </w:instrText>
            </w:r>
            <w:r w:rsidRPr="00195511">
              <w:rPr>
                <w:rFonts w:ascii="Garamond" w:hAnsi="Garamond"/>
                <w:i/>
                <w:color w:val="000000"/>
              </w:rPr>
              <w:fldChar w:fldCharType="separate"/>
            </w:r>
            <w:r w:rsidRPr="00195511">
              <w:rPr>
                <w:rFonts w:ascii="Garamond" w:hAnsi="Garamond"/>
                <w:i/>
                <w:color w:val="000000"/>
              </w:rPr>
              <w:t xml:space="preserve">Регламентом расчета плановых объемов производства и </w:t>
            </w:r>
            <w:r w:rsidRPr="00195511">
              <w:rPr>
                <w:rFonts w:ascii="Garamond" w:hAnsi="Garamond"/>
                <w:i/>
                <w:color w:val="000000"/>
              </w:rPr>
              <w:lastRenderedPageBreak/>
              <w:t>потребления и расчета стоимости электроэнергии на сутки вперед</w:t>
            </w:r>
            <w:r w:rsidRPr="00195511">
              <w:rPr>
                <w:rFonts w:ascii="Garamond" w:hAnsi="Garamond"/>
                <w:i/>
                <w:color w:val="000000"/>
              </w:rPr>
              <w:fldChar w:fldCharType="end"/>
            </w:r>
            <w:bookmarkEnd w:id="1"/>
            <w:r w:rsidRPr="00195511">
              <w:rPr>
                <w:rFonts w:ascii="Garamond" w:hAnsi="Garamond"/>
                <w:color w:val="000000"/>
              </w:rPr>
              <w:t xml:space="preserve"> (Приложение № 8 к</w:t>
            </w:r>
            <w:r w:rsidRPr="00195511">
              <w:rPr>
                <w:rFonts w:ascii="Garamond" w:hAnsi="Garamond"/>
                <w:i/>
                <w:color w:val="000000"/>
              </w:rPr>
              <w:t xml:space="preserve"> Договору о присоединении к торговой системе оптового рынка</w:t>
            </w:r>
            <w:r w:rsidRPr="00195511">
              <w:rPr>
                <w:rFonts w:ascii="Garamond" w:hAnsi="Garamond"/>
                <w:iCs/>
                <w:color w:val="000000"/>
              </w:rPr>
              <w:t xml:space="preserve">) </w:t>
            </w:r>
            <w:r w:rsidRPr="00195511">
              <w:rPr>
                <w:rFonts w:ascii="Garamond" w:hAnsi="Garamond"/>
                <w:color w:val="000000"/>
              </w:rPr>
              <w:t>величину плановых нагрузочных потерь в энергорайоне, соответствующей данной ГТП, – для ГТП потребления типа «Система») в</w:t>
            </w:r>
            <w:r w:rsidRPr="00195511">
              <w:rPr>
                <w:rFonts w:ascii="Garamond" w:hAnsi="Garamond"/>
              </w:rPr>
              <w:t xml:space="preserve"> ГТП потребления, скорректированного на суммарную величину внешних инициатив </w:t>
            </w:r>
            <w:r w:rsidRPr="00195511">
              <w:rPr>
                <w:rFonts w:ascii="Garamond" w:hAnsi="Garamond"/>
                <w:color w:val="000000"/>
              </w:rPr>
              <w:t>и отклонений по собственной инициативе, обусловленных действиями агрегаторов управления изменением режима потребления электрической энергии в рамках оказания соответствующих услуг</w:t>
            </w:r>
            <w:r w:rsidRPr="00195511">
              <w:rPr>
                <w:rFonts w:ascii="Garamond" w:hAnsi="Garamond"/>
              </w:rPr>
              <w:t>, для данной ГТП (</w:t>
            </w:r>
            <w:r w:rsidRPr="00195511">
              <w:rPr>
                <w:rFonts w:ascii="Garamond" w:hAnsi="Garamond"/>
                <w:position w:val="-14"/>
              </w:rPr>
              <w:object w:dxaOrig="8540" w:dyaOrig="400" w14:anchorId="5FA89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pt;height:15.5pt" o:ole="">
                  <v:imagedata r:id="rId8" o:title=""/>
                </v:shape>
                <o:OLEObject Type="Embed" ProgID="Equation.3" ShapeID="_x0000_i1025" DrawAspect="Content" ObjectID="_1788658314" r:id="rId9"/>
              </w:object>
            </w:r>
            <w:r w:rsidRPr="00195511">
              <w:rPr>
                <w:rFonts w:ascii="Garamond" w:hAnsi="Garamond"/>
              </w:rPr>
              <w:t xml:space="preserve">), и фактического почасового потребления электрической энергии по данной ГТП в течение периода </w:t>
            </w:r>
            <w:r w:rsidRPr="00195511">
              <w:rPr>
                <w:rFonts w:ascii="Garamond" w:hAnsi="Garamond"/>
                <w:i/>
                <w:lang w:val="en-US"/>
              </w:rPr>
              <w:t>T</w:t>
            </w:r>
            <w:r w:rsidRPr="00195511">
              <w:rPr>
                <w:rFonts w:ascii="Garamond" w:hAnsi="Garamond"/>
              </w:rPr>
              <w:t>:</w:t>
            </w:r>
          </w:p>
          <w:p w14:paraId="33B58E96" w14:textId="77777777" w:rsidR="00D9004B" w:rsidRPr="00195511" w:rsidRDefault="00D9004B" w:rsidP="006B5958">
            <w:pPr>
              <w:widowControl w:val="0"/>
              <w:adjustRightInd w:val="0"/>
              <w:spacing w:before="120" w:after="120" w:line="240" w:lineRule="auto"/>
              <w:ind w:left="567"/>
              <w:jc w:val="both"/>
              <w:textAlignment w:val="baseline"/>
              <w:rPr>
                <w:rFonts w:ascii="Garamond" w:hAnsi="Garamond"/>
              </w:rPr>
            </w:pPr>
            <w:r w:rsidRPr="00195511">
              <w:rPr>
                <w:rFonts w:ascii="Garamond" w:hAnsi="Garamond"/>
              </w:rPr>
              <w:t xml:space="preserve">– для ГТП потребления гарантирующего поставщика: более чем на 15 % от абсолютной величины фактического почасового потребления электрической энергии </w:t>
            </w:r>
            <w:r w:rsidRPr="00195511">
              <w:rPr>
                <w:rFonts w:ascii="Garamond" w:hAnsi="Garamond"/>
                <w:color w:val="000000"/>
              </w:rPr>
              <w:t xml:space="preserve">(но не менее 15 МВт∙ч) </w:t>
            </w:r>
            <w:r w:rsidRPr="00195511">
              <w:rPr>
                <w:rFonts w:ascii="Garamond" w:hAnsi="Garamond"/>
              </w:rPr>
              <w:t xml:space="preserve">по данной ГТП более чем в </w:t>
            </w:r>
            <w:r w:rsidRPr="00195511">
              <w:rPr>
                <w:rFonts w:ascii="Garamond" w:hAnsi="Garamond"/>
              </w:rPr>
              <w:object w:dxaOrig="880" w:dyaOrig="620" w14:anchorId="60DFEBB8">
                <v:shape id="_x0000_i1026" type="#_x0000_t75" style="width:44.5pt;height:31pt" o:ole="">
                  <v:imagedata r:id="rId10" o:title=""/>
                </v:shape>
                <o:OLEObject Type="Embed" ProgID="Equation.3" ShapeID="_x0000_i1026" DrawAspect="Content" ObjectID="_1788658315" r:id="rId11"/>
              </w:object>
            </w:r>
            <w:r w:rsidRPr="00195511">
              <w:rPr>
                <w:rFonts w:ascii="Garamond" w:hAnsi="Garamond"/>
              </w:rPr>
              <w:t xml:space="preserve"> часах ;</w:t>
            </w:r>
          </w:p>
          <w:p w14:paraId="572BD7F9" w14:textId="77777777" w:rsidR="00D9004B" w:rsidRPr="00195511" w:rsidRDefault="00D9004B" w:rsidP="006B5958">
            <w:pPr>
              <w:widowControl w:val="0"/>
              <w:adjustRightInd w:val="0"/>
              <w:spacing w:before="120" w:after="120" w:line="240" w:lineRule="auto"/>
              <w:ind w:left="567"/>
              <w:jc w:val="both"/>
              <w:textAlignment w:val="baseline"/>
              <w:rPr>
                <w:rFonts w:ascii="Garamond" w:hAnsi="Garamond"/>
              </w:rPr>
            </w:pPr>
            <w:r w:rsidRPr="00195511">
              <w:rPr>
                <w:rFonts w:ascii="Garamond" w:hAnsi="Garamond"/>
              </w:rPr>
              <w:t xml:space="preserve">– для ГТП потребления иных участников: более чем на 50 % от абсолютной величины фактического почасового потребления электрической энергии </w:t>
            </w:r>
            <w:r w:rsidRPr="00195511">
              <w:rPr>
                <w:rFonts w:ascii="Garamond" w:hAnsi="Garamond"/>
                <w:color w:val="000000"/>
              </w:rPr>
              <w:t xml:space="preserve">(но не менее 1 МВт∙ч) </w:t>
            </w:r>
            <w:r w:rsidRPr="00195511">
              <w:rPr>
                <w:rFonts w:ascii="Garamond" w:hAnsi="Garamond"/>
              </w:rPr>
              <w:t xml:space="preserve">по данной ГТП более чем в </w:t>
            </w:r>
            <w:r w:rsidRPr="00195511">
              <w:rPr>
                <w:rFonts w:ascii="Garamond" w:hAnsi="Garamond"/>
              </w:rPr>
              <w:object w:dxaOrig="880" w:dyaOrig="620" w14:anchorId="0962EBFB">
                <v:shape id="_x0000_i1027" type="#_x0000_t75" style="width:44.5pt;height:31pt" o:ole="">
                  <v:imagedata r:id="rId10" o:title=""/>
                </v:shape>
                <o:OLEObject Type="Embed" ProgID="Equation.3" ShapeID="_x0000_i1027" DrawAspect="Content" ObjectID="_1788658316" r:id="rId12"/>
              </w:object>
            </w:r>
            <w:r w:rsidRPr="00195511">
              <w:rPr>
                <w:rFonts w:ascii="Garamond" w:hAnsi="Garamond"/>
              </w:rPr>
              <w:t xml:space="preserve"> часах;</w:t>
            </w:r>
          </w:p>
          <w:p w14:paraId="4809503C" w14:textId="77777777" w:rsidR="00D9004B" w:rsidRPr="00195511" w:rsidRDefault="00D9004B" w:rsidP="006B5958">
            <w:pPr>
              <w:widowControl w:val="0"/>
              <w:adjustRightInd w:val="0"/>
              <w:spacing w:before="120" w:after="120" w:line="240" w:lineRule="auto"/>
              <w:ind w:left="567"/>
              <w:jc w:val="both"/>
              <w:textAlignment w:val="baseline"/>
              <w:rPr>
                <w:rFonts w:ascii="Garamond" w:hAnsi="Garamond"/>
              </w:rPr>
            </w:pPr>
            <w:r w:rsidRPr="00195511">
              <w:rPr>
                <w:rFonts w:ascii="Garamond" w:hAnsi="Garamond"/>
              </w:rPr>
              <w:t xml:space="preserve">– для ГТП потребления поставщика: </w:t>
            </w:r>
          </w:p>
          <w:p w14:paraId="2857F367" w14:textId="2F044933" w:rsidR="00D9004B" w:rsidRPr="00D9004B" w:rsidRDefault="00D9004B" w:rsidP="006B5958">
            <w:pPr>
              <w:pStyle w:val="a3"/>
              <w:widowControl w:val="0"/>
              <w:numPr>
                <w:ilvl w:val="0"/>
                <w:numId w:val="26"/>
              </w:numPr>
              <w:adjustRightInd w:val="0"/>
              <w:spacing w:before="120" w:after="120"/>
              <w:ind w:left="567" w:firstLine="0"/>
              <w:contextualSpacing w:val="0"/>
              <w:jc w:val="both"/>
              <w:textAlignment w:val="baseline"/>
              <w:rPr>
                <w:szCs w:val="22"/>
                <w:lang w:val="ru-RU"/>
              </w:rPr>
            </w:pPr>
            <w:r w:rsidRPr="00D9004B">
              <w:rPr>
                <w:szCs w:val="22"/>
                <w:lang w:val="ru-RU"/>
              </w:rPr>
              <w:t>более чем на максимальную величину из 5 МВт∙ч и 25</w:t>
            </w:r>
            <w:r w:rsidRPr="00195511">
              <w:rPr>
                <w:szCs w:val="22"/>
              </w:rPr>
              <w:t> </w:t>
            </w:r>
            <w:r w:rsidRPr="00D9004B">
              <w:rPr>
                <w:szCs w:val="22"/>
                <w:lang w:val="ru-RU"/>
              </w:rPr>
              <w:t xml:space="preserve">% от абсолютной величины фактического почасового потребления электрической энергии по данной ГТП (в часы, когда </w:t>
            </w:r>
            <w:r w:rsidRPr="00D9004B">
              <w:rPr>
                <w:color w:val="000000"/>
                <w:szCs w:val="22"/>
                <w:lang w:val="ru-RU"/>
              </w:rPr>
              <w:t xml:space="preserve">все ГОУ (каждый из которых взаимно-однозначно соответствует ГТП генерации ГЭС (объекту управления типа ГЭС, отнесенному к ГТП потребления с регулируемой нагрузкой)), отнесенные к указанному ГОУ более высокого уровня данной ГЭС, </w:t>
            </w:r>
            <w:r w:rsidRPr="00D9004B">
              <w:rPr>
                <w:szCs w:val="22"/>
                <w:lang w:val="ru-RU"/>
              </w:rPr>
              <w:t xml:space="preserve">объединены системой АРЧМ и </w:t>
            </w:r>
            <w:r w:rsidRPr="00D9004B">
              <w:rPr>
                <w:color w:val="000000"/>
                <w:szCs w:val="22"/>
                <w:lang w:val="ru-RU"/>
              </w:rPr>
              <w:t xml:space="preserve">находятся под ее управляющим воздействием </w:t>
            </w:r>
            <w:r w:rsidRPr="00D9004B">
              <w:rPr>
                <w:szCs w:val="22"/>
                <w:lang w:val="ru-RU"/>
              </w:rPr>
              <w:t>(СО</w:t>
            </w:r>
            <w:r w:rsidRPr="00D9004B">
              <w:rPr>
                <w:color w:val="000000"/>
                <w:szCs w:val="22"/>
                <w:lang w:val="ru-RU"/>
              </w:rPr>
              <w:t xml:space="preserve"> присвоен и передан КО в согласованном </w:t>
            </w:r>
            <w:r w:rsidRPr="00D9004B">
              <w:rPr>
                <w:color w:val="000000"/>
                <w:szCs w:val="22"/>
                <w:lang w:val="ru-RU"/>
              </w:rPr>
              <w:lastRenderedPageBreak/>
              <w:t xml:space="preserve">формате признак </w:t>
            </w:r>
            <w:r w:rsidRPr="00D9004B">
              <w:rPr>
                <w:rFonts w:cs="Calibri"/>
                <w:szCs w:val="22"/>
                <w:lang w:val="ru-RU"/>
              </w:rPr>
              <w:t>отнесения отклонений на внешнюю инициативу, сформированный на основе признака</w:t>
            </w:r>
            <w:r w:rsidRPr="00D9004B">
              <w:rPr>
                <w:color w:val="000000"/>
                <w:szCs w:val="22"/>
                <w:lang w:val="ru-RU"/>
              </w:rPr>
              <w:t xml:space="preserve"> участия в регулировании в соответствии с подпунктом «в» п. 2.2.3</w:t>
            </w:r>
            <w:r w:rsidRPr="00D9004B">
              <w:rPr>
                <w:i/>
                <w:color w:val="000000"/>
                <w:szCs w:val="22"/>
                <w:lang w:val="ru-RU"/>
              </w:rPr>
              <w:t xml:space="preserve"> Регламента определения объемов, инициатив и стоимости отклонений </w:t>
            </w:r>
            <w:r w:rsidRPr="00D9004B">
              <w:rPr>
                <w:color w:val="000000"/>
                <w:szCs w:val="22"/>
                <w:lang w:val="ru-RU"/>
              </w:rPr>
              <w:t>(Приложение № 12 к</w:t>
            </w:r>
            <w:r w:rsidRPr="00D9004B">
              <w:rPr>
                <w:i/>
                <w:color w:val="000000"/>
                <w:szCs w:val="22"/>
                <w:lang w:val="ru-RU"/>
              </w:rPr>
              <w:t xml:space="preserve"> Договору о присоединении к торговой системе оптового рынка</w:t>
            </w:r>
            <w:r w:rsidRPr="00D9004B">
              <w:rPr>
                <w:color w:val="000000"/>
                <w:szCs w:val="22"/>
                <w:lang w:val="ru-RU"/>
              </w:rPr>
              <w:t>), в которые отношение суммарного по абсолютной величине по всем соответствующим ГТП генерации отклонения по внешней инициативе к суммарному по всем соответствующим ГТП генерации объему планового почасового производства превышает 10</w:t>
            </w:r>
            <w:r w:rsidRPr="00195511">
              <w:rPr>
                <w:color w:val="000000"/>
                <w:szCs w:val="22"/>
                <w:lang w:val="en-US"/>
              </w:rPr>
              <w:t> </w:t>
            </w:r>
            <w:r w:rsidRPr="00D9004B">
              <w:rPr>
                <w:color w:val="000000"/>
                <w:szCs w:val="22"/>
                <w:lang w:val="ru-RU"/>
              </w:rPr>
              <w:t>%,</w:t>
            </w:r>
            <w:r w:rsidRPr="00D9004B">
              <w:rPr>
                <w:szCs w:val="22"/>
                <w:lang w:val="ru-RU"/>
              </w:rPr>
              <w:t xml:space="preserve"> для соответствующей ГТП потребления поставщика - более чем на максимальную величину из 15 МВт∙ч и 25</w:t>
            </w:r>
            <w:r w:rsidRPr="00195511">
              <w:rPr>
                <w:szCs w:val="22"/>
              </w:rPr>
              <w:t> </w:t>
            </w:r>
            <w:r w:rsidRPr="00D9004B">
              <w:rPr>
                <w:szCs w:val="22"/>
                <w:lang w:val="ru-RU"/>
              </w:rPr>
              <w:t>% от фактического почасового потребления электрической энергии по данной ГТП) более чем в</w:t>
            </w:r>
            <w:r w:rsidR="00835D8F">
              <w:rPr>
                <w:szCs w:val="22"/>
                <w:lang w:val="ru-RU"/>
              </w:rPr>
              <w:t xml:space="preserve"> </w:t>
            </w:r>
            <w:r w:rsidR="00B56D9E" w:rsidRPr="00195511">
              <w:rPr>
                <w:position w:val="-24"/>
                <w:szCs w:val="22"/>
              </w:rPr>
              <w:object w:dxaOrig="859" w:dyaOrig="620" w14:anchorId="3303B282">
                <v:shape id="_x0000_i1028" type="#_x0000_t75" style="width:41.5pt;height:31pt" o:ole="">
                  <v:imagedata r:id="rId13" o:title=""/>
                </v:shape>
                <o:OLEObject Type="Embed" ProgID="Equation.3" ShapeID="_x0000_i1028" DrawAspect="Content" ObjectID="_1788658317" r:id="rId14"/>
              </w:object>
            </w:r>
            <w:r w:rsidR="00B56D9E" w:rsidRPr="00D9004B">
              <w:rPr>
                <w:szCs w:val="22"/>
                <w:lang w:val="ru-RU"/>
              </w:rPr>
              <w:t xml:space="preserve"> часах.</w:t>
            </w:r>
            <w:r w:rsidR="00B56D9E">
              <w:rPr>
                <w:szCs w:val="22"/>
                <w:lang w:val="ru-RU"/>
              </w:rPr>
              <w:t xml:space="preserve"> П</w:t>
            </w:r>
            <w:r w:rsidRPr="00D9004B">
              <w:rPr>
                <w:szCs w:val="22"/>
                <w:lang w:val="ru-RU"/>
              </w:rPr>
              <w:t xml:space="preserve">ри этом указанный период </w:t>
            </w:r>
            <w:r w:rsidRPr="00195511">
              <w:rPr>
                <w:i/>
                <w:szCs w:val="22"/>
                <w:lang w:val="en-US"/>
              </w:rPr>
              <w:t>T</w:t>
            </w:r>
            <w:r w:rsidRPr="00D9004B">
              <w:rPr>
                <w:szCs w:val="22"/>
                <w:lang w:val="ru-RU"/>
              </w:rPr>
              <w:t xml:space="preserve"> не включает часы, в которые указанная разность является отрицательной величиной</w:t>
            </w:r>
          </w:p>
          <w:p w14:paraId="51217595" w14:textId="77777777" w:rsidR="00D9004B" w:rsidRPr="00195511" w:rsidRDefault="00D9004B" w:rsidP="006B5958">
            <w:pPr>
              <w:pStyle w:val="a3"/>
              <w:widowControl w:val="0"/>
              <w:adjustRightInd w:val="0"/>
              <w:spacing w:before="120" w:after="120"/>
              <w:ind w:left="567"/>
              <w:contextualSpacing w:val="0"/>
              <w:jc w:val="both"/>
              <w:textAlignment w:val="baseline"/>
              <w:rPr>
                <w:szCs w:val="22"/>
              </w:rPr>
            </w:pPr>
            <w:r w:rsidRPr="00195511">
              <w:rPr>
                <w:szCs w:val="22"/>
              </w:rPr>
              <w:t>и </w:t>
            </w:r>
            <w:r w:rsidRPr="00195511">
              <w:rPr>
                <w:szCs w:val="22"/>
                <w:lang w:val="en-US"/>
              </w:rPr>
              <w:t>(</w:t>
            </w:r>
            <w:proofErr w:type="spellStart"/>
            <w:r w:rsidRPr="00195511">
              <w:rPr>
                <w:szCs w:val="22"/>
              </w:rPr>
              <w:t>или</w:t>
            </w:r>
            <w:proofErr w:type="spellEnd"/>
            <w:r w:rsidRPr="00195511">
              <w:rPr>
                <w:szCs w:val="22"/>
              </w:rPr>
              <w:t>)</w:t>
            </w:r>
          </w:p>
          <w:p w14:paraId="0BA8B3B1" w14:textId="77777777" w:rsidR="00D9004B" w:rsidRPr="00D9004B" w:rsidRDefault="00D9004B" w:rsidP="006B5958">
            <w:pPr>
              <w:pStyle w:val="a3"/>
              <w:widowControl w:val="0"/>
              <w:numPr>
                <w:ilvl w:val="0"/>
                <w:numId w:val="26"/>
              </w:numPr>
              <w:adjustRightInd w:val="0"/>
              <w:spacing w:before="120" w:after="120"/>
              <w:ind w:left="567" w:firstLine="0"/>
              <w:contextualSpacing w:val="0"/>
              <w:jc w:val="both"/>
              <w:textAlignment w:val="baseline"/>
              <w:rPr>
                <w:szCs w:val="22"/>
                <w:lang w:val="ru-RU"/>
              </w:rPr>
            </w:pPr>
            <w:r w:rsidRPr="00D9004B">
              <w:rPr>
                <w:szCs w:val="22"/>
                <w:lang w:val="ru-RU"/>
              </w:rPr>
              <w:t>более чем на максимальную величину из 5 МВт∙ч и 25</w:t>
            </w:r>
            <w:r w:rsidRPr="00195511">
              <w:rPr>
                <w:szCs w:val="22"/>
              </w:rPr>
              <w:t> </w:t>
            </w:r>
            <w:r w:rsidRPr="00D9004B">
              <w:rPr>
                <w:szCs w:val="22"/>
                <w:lang w:val="ru-RU"/>
              </w:rPr>
              <w:t xml:space="preserve">% от абсолютной величины фактического почасового потребления электрической энергии по данной ГТП (в часы, когда </w:t>
            </w:r>
            <w:r w:rsidRPr="00D9004B">
              <w:rPr>
                <w:color w:val="000000"/>
                <w:szCs w:val="22"/>
                <w:lang w:val="ru-RU"/>
              </w:rPr>
              <w:t xml:space="preserve">все ГОУ (каждый из которых взаимно-однозначно соответствует ГТП генерации ГЭС (объекту управления типа ГЭС, отнесенному к ГТП потребления с регулируемой нагрузкой)), отнесенные к указанному ГОУ более высокого уровня данной ГЭС, </w:t>
            </w:r>
            <w:r w:rsidRPr="00D9004B">
              <w:rPr>
                <w:szCs w:val="22"/>
                <w:lang w:val="ru-RU"/>
              </w:rPr>
              <w:t xml:space="preserve">объединены системой АРЧМ и </w:t>
            </w:r>
            <w:r w:rsidRPr="00D9004B">
              <w:rPr>
                <w:color w:val="000000"/>
                <w:szCs w:val="22"/>
                <w:lang w:val="ru-RU"/>
              </w:rPr>
              <w:t xml:space="preserve">находятся под ее управляющим воздействием </w:t>
            </w:r>
            <w:r w:rsidRPr="00D9004B">
              <w:rPr>
                <w:szCs w:val="22"/>
                <w:lang w:val="ru-RU"/>
              </w:rPr>
              <w:t>(СО</w:t>
            </w:r>
            <w:r w:rsidRPr="00D9004B">
              <w:rPr>
                <w:color w:val="000000"/>
                <w:szCs w:val="22"/>
                <w:lang w:val="ru-RU"/>
              </w:rPr>
              <w:t xml:space="preserve"> присвоен и передан КО в согласованном формате признак </w:t>
            </w:r>
            <w:r w:rsidRPr="00D9004B">
              <w:rPr>
                <w:rFonts w:cs="Calibri"/>
                <w:szCs w:val="22"/>
                <w:lang w:val="ru-RU"/>
              </w:rPr>
              <w:t>отнесения отклонений на внешнюю инициативу, сформированный на основе признака</w:t>
            </w:r>
            <w:r w:rsidRPr="00D9004B">
              <w:rPr>
                <w:color w:val="000000"/>
                <w:szCs w:val="22"/>
                <w:lang w:val="ru-RU"/>
              </w:rPr>
              <w:t xml:space="preserve"> участия в регулировании в соответствии с подпунктом «в» п. 2.2.3 </w:t>
            </w:r>
            <w:r w:rsidRPr="00D9004B">
              <w:rPr>
                <w:i/>
                <w:color w:val="000000"/>
                <w:szCs w:val="22"/>
                <w:lang w:val="ru-RU"/>
              </w:rPr>
              <w:t xml:space="preserve">Регламента определения объемов, инициатив и стоимости отклонений </w:t>
            </w:r>
            <w:r w:rsidRPr="00D9004B">
              <w:rPr>
                <w:color w:val="000000"/>
                <w:szCs w:val="22"/>
                <w:lang w:val="ru-RU"/>
              </w:rPr>
              <w:t>(Приложение № 12 к</w:t>
            </w:r>
            <w:r w:rsidRPr="00D9004B">
              <w:rPr>
                <w:i/>
                <w:color w:val="000000"/>
                <w:szCs w:val="22"/>
                <w:lang w:val="ru-RU"/>
              </w:rPr>
              <w:t xml:space="preserve"> Договору о присоединении к торговой системе оптового рынка</w:t>
            </w:r>
            <w:r w:rsidRPr="00D9004B">
              <w:rPr>
                <w:color w:val="000000"/>
                <w:szCs w:val="22"/>
                <w:lang w:val="ru-RU"/>
              </w:rPr>
              <w:t xml:space="preserve">), в которые отношение суммарного по абсолютной величине по всем соответствующим ГТП генерации отклонения по внешней инициативе к суммарному по всем соответствующим </w:t>
            </w:r>
            <w:r w:rsidRPr="00D9004B">
              <w:rPr>
                <w:color w:val="000000"/>
                <w:szCs w:val="22"/>
                <w:lang w:val="ru-RU"/>
              </w:rPr>
              <w:lastRenderedPageBreak/>
              <w:t>ГТП генерации объему планового почасового производства превышает 10</w:t>
            </w:r>
            <w:r w:rsidRPr="00195511">
              <w:rPr>
                <w:color w:val="000000"/>
                <w:szCs w:val="22"/>
                <w:lang w:val="en-US"/>
              </w:rPr>
              <w:t> </w:t>
            </w:r>
            <w:r w:rsidRPr="00D9004B">
              <w:rPr>
                <w:color w:val="000000"/>
                <w:szCs w:val="22"/>
                <w:lang w:val="ru-RU"/>
              </w:rPr>
              <w:t>%,</w:t>
            </w:r>
            <w:r w:rsidRPr="00D9004B">
              <w:rPr>
                <w:szCs w:val="22"/>
                <w:lang w:val="ru-RU"/>
              </w:rPr>
              <w:t xml:space="preserve"> для соответствующей ГТП потребления поставщика - более чем на максимальную величину из 15 МВт∙ч и 25</w:t>
            </w:r>
            <w:r w:rsidRPr="00195511">
              <w:rPr>
                <w:szCs w:val="22"/>
              </w:rPr>
              <w:t> </w:t>
            </w:r>
            <w:r w:rsidRPr="00D9004B">
              <w:rPr>
                <w:szCs w:val="22"/>
                <w:lang w:val="ru-RU"/>
              </w:rPr>
              <w:t xml:space="preserve">% от фактического почасового потребления электрической энергии по данной ГТП) более чем в </w:t>
            </w:r>
            <w:r w:rsidRPr="00195511">
              <w:rPr>
                <w:szCs w:val="22"/>
              </w:rPr>
              <w:object w:dxaOrig="859" w:dyaOrig="620" w14:anchorId="2FE3F327">
                <v:shape id="_x0000_i1029" type="#_x0000_t75" style="width:41.5pt;height:31pt" o:ole="">
                  <v:imagedata r:id="rId15" o:title=""/>
                </v:shape>
                <o:OLEObject Type="Embed" ProgID="Equation.3" ShapeID="_x0000_i1029" DrawAspect="Content" ObjectID="_1788658318" r:id="rId16"/>
              </w:object>
            </w:r>
            <w:r w:rsidRPr="00D9004B">
              <w:rPr>
                <w:szCs w:val="22"/>
                <w:lang w:val="ru-RU"/>
              </w:rPr>
              <w:t xml:space="preserve"> часах. При этом указанный период </w:t>
            </w:r>
            <w:r w:rsidRPr="00195511">
              <w:rPr>
                <w:szCs w:val="22"/>
              </w:rPr>
              <w:t>T</w:t>
            </w:r>
            <w:r w:rsidRPr="00D9004B">
              <w:rPr>
                <w:szCs w:val="22"/>
                <w:lang w:val="ru-RU"/>
              </w:rPr>
              <w:t xml:space="preserve"> не включает часы, в которые указанная разность является положительной величиной;</w:t>
            </w:r>
          </w:p>
          <w:p w14:paraId="6202499E" w14:textId="77777777" w:rsidR="00D9004B" w:rsidRPr="00195511" w:rsidRDefault="00D9004B" w:rsidP="006B5958">
            <w:pPr>
              <w:widowControl w:val="0"/>
              <w:adjustRightInd w:val="0"/>
              <w:spacing w:before="120" w:after="120" w:line="240" w:lineRule="auto"/>
              <w:ind w:left="567"/>
              <w:jc w:val="both"/>
              <w:textAlignment w:val="baseline"/>
              <w:rPr>
                <w:rFonts w:ascii="Garamond" w:hAnsi="Garamond"/>
              </w:rPr>
            </w:pPr>
            <w:r w:rsidRPr="00195511">
              <w:rPr>
                <w:rFonts w:ascii="Garamond" w:hAnsi="Garamond"/>
              </w:rPr>
              <w:t>где</w:t>
            </w:r>
            <w:r w:rsidRPr="00195511">
              <w:rPr>
                <w:rFonts w:ascii="Garamond" w:hAnsi="Garamond"/>
                <w:i/>
              </w:rPr>
              <w:t xml:space="preserve"> </w:t>
            </w:r>
            <w:r w:rsidRPr="00195511">
              <w:rPr>
                <w:rFonts w:ascii="Garamond" w:hAnsi="Garamond"/>
                <w:i/>
                <w:lang w:val="en-US"/>
              </w:rPr>
              <w:t>T</w:t>
            </w:r>
            <w:r w:rsidRPr="00195511">
              <w:rPr>
                <w:rFonts w:ascii="Garamond" w:hAnsi="Garamond"/>
              </w:rPr>
              <w:t xml:space="preserve"> – часы расчетного периода, в течение которых</w:t>
            </w:r>
          </w:p>
          <w:p w14:paraId="0CCF14B5" w14:textId="77777777" w:rsidR="00D9004B" w:rsidRPr="00195511" w:rsidRDefault="00D9004B" w:rsidP="006B5958">
            <w:pPr>
              <w:widowControl w:val="0"/>
              <w:numPr>
                <w:ilvl w:val="0"/>
                <w:numId w:val="25"/>
              </w:numPr>
              <w:adjustRightInd w:val="0"/>
              <w:spacing w:before="120" w:after="120" w:line="240" w:lineRule="auto"/>
              <w:ind w:left="993" w:firstLine="0"/>
              <w:jc w:val="both"/>
              <w:textAlignment w:val="baseline"/>
              <w:rPr>
                <w:rFonts w:ascii="Garamond" w:hAnsi="Garamond"/>
              </w:rPr>
            </w:pPr>
            <w:r w:rsidRPr="00195511">
              <w:rPr>
                <w:rFonts w:ascii="Garamond" w:hAnsi="Garamond"/>
              </w:rPr>
              <w:t>указанная ГТП не была дисквалифицирована в соответствии с разделом 2 настоящего Порядка;</w:t>
            </w:r>
          </w:p>
          <w:p w14:paraId="7F5A2337" w14:textId="77777777" w:rsidR="00D9004B" w:rsidRPr="00195511" w:rsidRDefault="00D9004B" w:rsidP="006B5958">
            <w:pPr>
              <w:widowControl w:val="0"/>
              <w:numPr>
                <w:ilvl w:val="0"/>
                <w:numId w:val="25"/>
              </w:numPr>
              <w:adjustRightInd w:val="0"/>
              <w:spacing w:before="120" w:after="120" w:line="240" w:lineRule="auto"/>
              <w:ind w:left="993" w:firstLine="0"/>
              <w:jc w:val="both"/>
              <w:textAlignment w:val="baseline"/>
              <w:rPr>
                <w:rFonts w:ascii="Garamond" w:hAnsi="Garamond"/>
              </w:rPr>
            </w:pPr>
            <w:r w:rsidRPr="00195511">
              <w:rPr>
                <w:rFonts w:ascii="Garamond" w:hAnsi="Garamond"/>
              </w:rPr>
              <w:t xml:space="preserve">величина планового почасового потребления (торгового графика) или величина фактического потребления </w:t>
            </w:r>
            <w:r w:rsidRPr="00195511">
              <w:rPr>
                <w:rFonts w:ascii="Garamond" w:hAnsi="Garamond"/>
                <w:color w:val="000000"/>
              </w:rPr>
              <w:t xml:space="preserve">больше минимального объема, который может быть заявлен участником оптового рынка в ценовой заявке на планирование объемов потребления в соответствии с подпунктом 10 п. 4.1.2 </w:t>
            </w:r>
            <w:r w:rsidRPr="00195511">
              <w:rPr>
                <w:rFonts w:ascii="Garamond" w:hAnsi="Garamond"/>
                <w:i/>
                <w:color w:val="000000"/>
              </w:rPr>
              <w:t xml:space="preserve">Регламента подачи ценовых заявок участниками оптового рынка </w:t>
            </w:r>
            <w:r w:rsidRPr="00195511">
              <w:rPr>
                <w:rFonts w:ascii="Garamond" w:hAnsi="Garamond"/>
                <w:color w:val="000000"/>
              </w:rPr>
              <w:t>(Приложение № 5 к</w:t>
            </w:r>
            <w:r w:rsidRPr="00195511">
              <w:rPr>
                <w:rFonts w:ascii="Garamond" w:hAnsi="Garamond"/>
                <w:i/>
                <w:color w:val="000000"/>
              </w:rPr>
              <w:t xml:space="preserve"> Договору о присоединении к торговой системе оптового рынка</w:t>
            </w:r>
            <w:r w:rsidRPr="00195511">
              <w:rPr>
                <w:rFonts w:ascii="Garamond" w:hAnsi="Garamond"/>
                <w:color w:val="000000"/>
              </w:rPr>
              <w:t xml:space="preserve">) </w:t>
            </w:r>
            <w:r w:rsidRPr="00195511">
              <w:rPr>
                <w:rFonts w:ascii="Garamond" w:hAnsi="Garamond"/>
              </w:rPr>
              <w:t>– для ГТП потребления, не являющейся ГТП потребления поставщика;</w:t>
            </w:r>
          </w:p>
          <w:p w14:paraId="4005EF6A" w14:textId="77777777" w:rsidR="00D9004B" w:rsidRPr="00195511" w:rsidRDefault="00D9004B" w:rsidP="006B5958">
            <w:pPr>
              <w:widowControl w:val="0"/>
              <w:numPr>
                <w:ilvl w:val="0"/>
                <w:numId w:val="25"/>
              </w:numPr>
              <w:adjustRightInd w:val="0"/>
              <w:spacing w:before="120" w:after="120" w:line="240" w:lineRule="auto"/>
              <w:ind w:left="993" w:firstLine="0"/>
              <w:jc w:val="both"/>
              <w:textAlignment w:val="baseline"/>
              <w:rPr>
                <w:rFonts w:ascii="Garamond" w:hAnsi="Garamond"/>
              </w:rPr>
            </w:pPr>
            <w:r w:rsidRPr="00195511">
              <w:rPr>
                <w:rFonts w:ascii="Garamond" w:hAnsi="Garamond"/>
              </w:rPr>
              <w:t xml:space="preserve">объемы потребления, заявленные участником в ценовой заявке по ГТП потребления для участия в конкурентном отборе на сутки вперед, не были скорректированы КО в соответствии с п. 3.5 раздела 4 </w:t>
            </w:r>
            <w:r w:rsidRPr="00195511">
              <w:rPr>
                <w:rFonts w:ascii="Garamond" w:hAnsi="Garamond"/>
                <w:i/>
              </w:rPr>
              <w:t>Регламента проведения конкурентного отбора ценовых заявок на сутки вперед</w:t>
            </w:r>
            <w:r w:rsidRPr="00195511">
              <w:rPr>
                <w:rFonts w:ascii="Garamond" w:hAnsi="Garamond"/>
              </w:rPr>
              <w:t xml:space="preserve"> (Приложение № 7 к </w:t>
            </w:r>
            <w:r w:rsidRPr="00195511">
              <w:rPr>
                <w:rFonts w:ascii="Garamond" w:hAnsi="Garamond"/>
                <w:i/>
              </w:rPr>
              <w:t>Договору о присоединении к торговой системе оптового рынка</w:t>
            </w:r>
            <w:r w:rsidRPr="00195511">
              <w:rPr>
                <w:rFonts w:ascii="Garamond" w:hAnsi="Garamond"/>
              </w:rPr>
              <w:t>);</w:t>
            </w:r>
          </w:p>
          <w:p w14:paraId="3EBE87DB" w14:textId="77777777" w:rsidR="00D9004B" w:rsidRPr="00195511" w:rsidRDefault="00D9004B" w:rsidP="006B5958">
            <w:pPr>
              <w:widowControl w:val="0"/>
              <w:numPr>
                <w:ilvl w:val="0"/>
                <w:numId w:val="25"/>
              </w:numPr>
              <w:adjustRightInd w:val="0"/>
              <w:spacing w:before="120" w:after="120" w:line="240" w:lineRule="auto"/>
              <w:ind w:left="992" w:firstLine="0"/>
              <w:jc w:val="both"/>
              <w:textAlignment w:val="baseline"/>
              <w:rPr>
                <w:rFonts w:ascii="Garamond" w:hAnsi="Garamond"/>
              </w:rPr>
            </w:pPr>
            <w:r w:rsidRPr="00195511">
              <w:rPr>
                <w:rFonts w:ascii="Garamond" w:hAnsi="Garamond"/>
              </w:rPr>
              <w:t xml:space="preserve">для ГТП потребления поставщика (в дополнение к условиям, указанным в подп. 1 данного пункта): плановое почасовое потребление выше нуля и (или) величина фактического почасового потребления электрической энергии не ниже нуля для ГТП потребления типа «Нагрузка» (не ниже величины плановых нагрузочных потерь в </w:t>
            </w:r>
            <w:r w:rsidRPr="00195511">
              <w:rPr>
                <w:rFonts w:ascii="Garamond" w:hAnsi="Garamond"/>
              </w:rPr>
              <w:lastRenderedPageBreak/>
              <w:t>энергорайоне, соответствующей данной ГТП, – для ГТП потребления типа «Система»);</w:t>
            </w:r>
          </w:p>
          <w:p w14:paraId="2E6EA7F0" w14:textId="77777777" w:rsidR="00D9004B" w:rsidRPr="00195511" w:rsidRDefault="00D9004B" w:rsidP="006B5958">
            <w:pPr>
              <w:widowControl w:val="0"/>
              <w:numPr>
                <w:ilvl w:val="0"/>
                <w:numId w:val="25"/>
              </w:numPr>
              <w:adjustRightInd w:val="0"/>
              <w:spacing w:before="120" w:after="120" w:line="240" w:lineRule="auto"/>
              <w:ind w:left="992" w:firstLine="0"/>
              <w:jc w:val="both"/>
              <w:textAlignment w:val="baseline"/>
              <w:rPr>
                <w:rFonts w:ascii="Garamond" w:hAnsi="Garamond"/>
              </w:rPr>
            </w:pPr>
            <w:r w:rsidRPr="00195511">
              <w:rPr>
                <w:rFonts w:ascii="Garamond" w:hAnsi="Garamond"/>
              </w:rPr>
              <w:t xml:space="preserve">данная ГТП потребления не отнесена ни к одному узлу расчетной модели, в котором процедура конкурентного отбора ценовых заявок на сутки вперед была признана несостоявшейся в соответствии с пунктом 4 раздела 8 </w:t>
            </w:r>
            <w:r w:rsidRPr="00195511">
              <w:rPr>
                <w:rFonts w:ascii="Garamond" w:hAnsi="Garamond"/>
                <w:i/>
              </w:rPr>
              <w:t>Регламента конкурентного отбора ценовых заявок на сутки вперед</w:t>
            </w:r>
            <w:r w:rsidRPr="00195511">
              <w:rPr>
                <w:rFonts w:ascii="Garamond" w:hAnsi="Garamond"/>
              </w:rPr>
              <w:t xml:space="preserve"> (Приложение № 7 к </w:t>
            </w:r>
            <w:r w:rsidRPr="00195511">
              <w:rPr>
                <w:rFonts w:ascii="Garamond" w:hAnsi="Garamond"/>
                <w:i/>
              </w:rPr>
              <w:t>Договору о присоединении к торговой системе оптового рынка</w:t>
            </w:r>
            <w:r w:rsidRPr="00195511">
              <w:rPr>
                <w:rFonts w:ascii="Garamond" w:hAnsi="Garamond"/>
              </w:rPr>
              <w:t>);</w:t>
            </w:r>
          </w:p>
          <w:p w14:paraId="662D71AF" w14:textId="77777777" w:rsidR="00D9004B" w:rsidRPr="00195511" w:rsidRDefault="00D9004B" w:rsidP="006B5958">
            <w:pPr>
              <w:widowControl w:val="0"/>
              <w:numPr>
                <w:ilvl w:val="0"/>
                <w:numId w:val="25"/>
              </w:numPr>
              <w:adjustRightInd w:val="0"/>
              <w:spacing w:before="120" w:after="120" w:line="240" w:lineRule="auto"/>
              <w:ind w:left="992" w:firstLine="0"/>
              <w:jc w:val="both"/>
              <w:textAlignment w:val="baseline"/>
              <w:rPr>
                <w:rFonts w:ascii="Garamond" w:hAnsi="Garamond"/>
              </w:rPr>
            </w:pPr>
            <w:r w:rsidRPr="00195511">
              <w:rPr>
                <w:rFonts w:ascii="Garamond" w:hAnsi="Garamond"/>
              </w:rPr>
              <w:t xml:space="preserve">данная ГТП потребления не отнесена к ценовой зоне, в отношении которой процедура конкурентного отбора ценовых заявок на сутки вперед была признана несостоявшейся в соответствии с пунктом 2 раздела 8 </w:t>
            </w:r>
            <w:r w:rsidRPr="00195511">
              <w:rPr>
                <w:rFonts w:ascii="Garamond" w:hAnsi="Garamond"/>
                <w:i/>
              </w:rPr>
              <w:t>Регламента проведения конкурентного отбора ценовых заявок на сутки вперед</w:t>
            </w:r>
            <w:r w:rsidRPr="00195511">
              <w:rPr>
                <w:rFonts w:ascii="Garamond" w:hAnsi="Garamond"/>
              </w:rPr>
              <w:t xml:space="preserve"> (Приложение № 7 к </w:t>
            </w:r>
            <w:r w:rsidRPr="00195511">
              <w:rPr>
                <w:rFonts w:ascii="Garamond" w:hAnsi="Garamond"/>
                <w:i/>
              </w:rPr>
              <w:t>Договору о присоединении к торговой системе оптового рынка</w:t>
            </w:r>
            <w:r w:rsidRPr="00195511">
              <w:rPr>
                <w:rFonts w:ascii="Garamond" w:hAnsi="Garamond"/>
              </w:rPr>
              <w:t>);</w:t>
            </w:r>
          </w:p>
          <w:p w14:paraId="786F3C0F" w14:textId="77777777" w:rsidR="00D9004B" w:rsidRPr="00195511" w:rsidRDefault="00D9004B" w:rsidP="006B5958">
            <w:pPr>
              <w:widowControl w:val="0"/>
              <w:adjustRightInd w:val="0"/>
              <w:spacing w:before="120" w:after="120" w:line="240" w:lineRule="auto"/>
              <w:ind w:left="992"/>
              <w:jc w:val="both"/>
              <w:textAlignment w:val="baseline"/>
              <w:rPr>
                <w:rFonts w:ascii="Garamond" w:hAnsi="Garamond"/>
              </w:rPr>
            </w:pPr>
            <w:r w:rsidRPr="00195511">
              <w:rPr>
                <w:rFonts w:ascii="Garamond" w:hAnsi="Garamond"/>
                <w:i/>
                <w:lang w:val="en-US"/>
              </w:rPr>
              <w:t>h</w:t>
            </w:r>
            <w:r w:rsidRPr="00195511">
              <w:rPr>
                <w:rFonts w:ascii="Garamond" w:hAnsi="Garamond"/>
              </w:rPr>
              <w:t xml:space="preserve"> – количество часов в периоде </w:t>
            </w:r>
            <w:r w:rsidRPr="00195511">
              <w:rPr>
                <w:rFonts w:ascii="Garamond" w:hAnsi="Garamond"/>
                <w:i/>
                <w:lang w:val="en-US"/>
              </w:rPr>
              <w:t>T</w:t>
            </w:r>
            <w:r w:rsidRPr="00195511">
              <w:rPr>
                <w:rFonts w:ascii="Garamond" w:hAnsi="Garamond"/>
              </w:rPr>
              <w:t xml:space="preserve">; </w:t>
            </w:r>
          </w:p>
          <w:p w14:paraId="5E600475" w14:textId="77777777" w:rsidR="00D9004B" w:rsidRPr="00195511" w:rsidRDefault="00D9004B" w:rsidP="006B5958">
            <w:pPr>
              <w:widowControl w:val="0"/>
              <w:adjustRightInd w:val="0"/>
              <w:spacing w:before="120" w:after="120" w:line="240" w:lineRule="auto"/>
              <w:ind w:left="993"/>
              <w:jc w:val="both"/>
              <w:textAlignment w:val="baseline"/>
              <w:rPr>
                <w:rFonts w:ascii="Garamond" w:hAnsi="Garamond"/>
              </w:rPr>
            </w:pPr>
            <w:r w:rsidRPr="00195511">
              <w:rPr>
                <w:rFonts w:ascii="Garamond" w:hAnsi="Garamond"/>
                <w:i/>
                <w:lang w:val="en-US"/>
              </w:rPr>
              <w:t>H</w:t>
            </w:r>
            <w:r w:rsidRPr="00195511">
              <w:rPr>
                <w:rFonts w:ascii="Garamond" w:hAnsi="Garamond"/>
              </w:rPr>
              <w:t xml:space="preserve"> – количество часов в расчетном периоде.</w:t>
            </w:r>
          </w:p>
          <w:p w14:paraId="2497E3D5" w14:textId="77777777" w:rsidR="00D9004B" w:rsidRPr="00195511" w:rsidRDefault="00D9004B" w:rsidP="006B5958">
            <w:pPr>
              <w:widowControl w:val="0"/>
              <w:adjustRightInd w:val="0"/>
              <w:spacing w:before="120" w:after="120" w:line="240" w:lineRule="auto"/>
              <w:ind w:left="9" w:firstLine="503"/>
              <w:jc w:val="both"/>
              <w:textAlignment w:val="baseline"/>
              <w:rPr>
                <w:rFonts w:ascii="Garamond" w:hAnsi="Garamond"/>
              </w:rPr>
            </w:pPr>
            <w:r w:rsidRPr="00195511">
              <w:rPr>
                <w:rFonts w:ascii="Garamond" w:hAnsi="Garamond"/>
              </w:rPr>
              <w:t>Действие настоящего пункта не распространяется на ГТП потребления ГАЭС</w:t>
            </w:r>
            <w:r w:rsidRPr="00760FB8">
              <w:rPr>
                <w:rFonts w:ascii="Garamond" w:hAnsi="Garamond"/>
                <w:highlight w:val="yellow"/>
              </w:rPr>
              <w:t>.</w:t>
            </w:r>
          </w:p>
          <w:p w14:paraId="720C285C" w14:textId="77777777" w:rsidR="00D9004B" w:rsidRPr="00195511" w:rsidRDefault="00D9004B" w:rsidP="006B5958">
            <w:pPr>
              <w:widowControl w:val="0"/>
              <w:spacing w:before="120" w:after="120" w:line="240" w:lineRule="auto"/>
              <w:ind w:firstLine="540"/>
              <w:jc w:val="both"/>
              <w:rPr>
                <w:rFonts w:ascii="Garamond" w:hAnsi="Garamond"/>
              </w:rPr>
            </w:pPr>
            <w:r w:rsidRPr="00195511">
              <w:rPr>
                <w:rFonts w:ascii="Garamond" w:hAnsi="Garamond"/>
              </w:rPr>
              <w:t>В отношении часов расчетного периода, в которых в отношении ГТП потребления Участника оптового рынка была применена мера оперативного воздействия, СР не проводит процедуру контроля отличия величины планового почасового потребления (торгового графика) с учетом нагрузочных потерь Участника по данной его ГТП потребления от величины фактического почасового потребления в указанной ГТП в соответствии с абзацем 1 настоящего пункта</w:t>
            </w:r>
            <w:r w:rsidR="00D76031">
              <w:rPr>
                <w:rFonts w:ascii="Garamond" w:hAnsi="Garamond"/>
              </w:rPr>
              <w:t>.</w:t>
            </w:r>
          </w:p>
        </w:tc>
        <w:tc>
          <w:tcPr>
            <w:tcW w:w="6804" w:type="dxa"/>
            <w:tcBorders>
              <w:top w:val="single" w:sz="4" w:space="0" w:color="auto"/>
              <w:left w:val="single" w:sz="4" w:space="0" w:color="auto"/>
              <w:bottom w:val="single" w:sz="4" w:space="0" w:color="auto"/>
              <w:right w:val="single" w:sz="4" w:space="0" w:color="auto"/>
            </w:tcBorders>
          </w:tcPr>
          <w:p w14:paraId="57754449" w14:textId="77777777" w:rsidR="00D9004B" w:rsidRPr="00195511" w:rsidRDefault="00D9004B" w:rsidP="006B5958">
            <w:pPr>
              <w:widowControl w:val="0"/>
              <w:adjustRightInd w:val="0"/>
              <w:spacing w:before="120" w:after="120" w:line="240" w:lineRule="auto"/>
              <w:ind w:left="88" w:firstLine="567"/>
              <w:jc w:val="both"/>
              <w:textAlignment w:val="baseline"/>
              <w:rPr>
                <w:rFonts w:ascii="Garamond" w:hAnsi="Garamond"/>
              </w:rPr>
            </w:pPr>
            <w:r w:rsidRPr="00195511">
              <w:rPr>
                <w:rFonts w:ascii="Garamond" w:hAnsi="Garamond"/>
              </w:rPr>
              <w:lastRenderedPageBreak/>
              <w:t xml:space="preserve">Основанием для применения меры оперативного воздействия, указанной в п. 1.2, является отличие абсолютной величины разницы планового почасового потребления </w:t>
            </w:r>
            <w:r w:rsidRPr="00195511">
              <w:rPr>
                <w:rFonts w:ascii="Garamond" w:hAnsi="Garamond"/>
                <w:color w:val="000000"/>
              </w:rPr>
              <w:t xml:space="preserve">(увеличенного на определенную в соответствии с </w:t>
            </w:r>
            <w:hyperlink r:id="rId17" w:history="1">
              <w:r w:rsidRPr="00195511">
                <w:rPr>
                  <w:rFonts w:ascii="Garamond" w:hAnsi="Garamond"/>
                  <w:i/>
                  <w:color w:val="000000"/>
                </w:rPr>
                <w:t xml:space="preserve">Регламентом расчета плановых объемов производства и </w:t>
              </w:r>
              <w:r w:rsidRPr="00195511">
                <w:rPr>
                  <w:rFonts w:ascii="Garamond" w:hAnsi="Garamond"/>
                  <w:i/>
                  <w:color w:val="000000"/>
                </w:rPr>
                <w:lastRenderedPageBreak/>
                <w:t>потребления и расчета стоимости электроэнергии на сутки вперед</w:t>
              </w:r>
            </w:hyperlink>
            <w:r w:rsidRPr="00195511">
              <w:rPr>
                <w:rFonts w:ascii="Garamond" w:hAnsi="Garamond"/>
                <w:color w:val="000000"/>
              </w:rPr>
              <w:t xml:space="preserve"> (Приложение № 8 к</w:t>
            </w:r>
            <w:r w:rsidRPr="00195511">
              <w:rPr>
                <w:rFonts w:ascii="Garamond" w:hAnsi="Garamond"/>
                <w:i/>
                <w:color w:val="000000"/>
              </w:rPr>
              <w:t xml:space="preserve"> Договору о присоединении к торговой системе оптового рынка</w:t>
            </w:r>
            <w:r w:rsidRPr="00195511">
              <w:rPr>
                <w:rFonts w:ascii="Garamond" w:hAnsi="Garamond"/>
                <w:iCs/>
                <w:color w:val="000000"/>
              </w:rPr>
              <w:t xml:space="preserve">) </w:t>
            </w:r>
            <w:r w:rsidRPr="00195511">
              <w:rPr>
                <w:rFonts w:ascii="Garamond" w:hAnsi="Garamond"/>
                <w:color w:val="000000"/>
              </w:rPr>
              <w:t>величину плановых нагрузочных потерь в энергорайоне, соответствующей данной ГТП, – для ГТП потребления типа «Система») в</w:t>
            </w:r>
            <w:r w:rsidRPr="00195511">
              <w:rPr>
                <w:rFonts w:ascii="Garamond" w:hAnsi="Garamond"/>
              </w:rPr>
              <w:t xml:space="preserve"> ГТП потребления, скорректированного на суммарную величину внешних инициатив </w:t>
            </w:r>
            <w:r w:rsidRPr="00195511">
              <w:rPr>
                <w:rFonts w:ascii="Garamond" w:hAnsi="Garamond"/>
                <w:color w:val="000000"/>
              </w:rPr>
              <w:t>и отклонений по собственной инициативе, обусловленных действиями агрегаторов управления изменением режима потребления электрической энергии в рамках оказания соответствующих услуг</w:t>
            </w:r>
            <w:r w:rsidRPr="00195511">
              <w:rPr>
                <w:rFonts w:ascii="Garamond" w:hAnsi="Garamond"/>
              </w:rPr>
              <w:t>, для данной ГТП (</w:t>
            </w:r>
            <w:r w:rsidRPr="00195511">
              <w:rPr>
                <w:rFonts w:ascii="Garamond" w:hAnsi="Garamond"/>
                <w:position w:val="-14"/>
              </w:rPr>
              <w:object w:dxaOrig="8540" w:dyaOrig="400" w14:anchorId="56F3F569">
                <v:shape id="_x0000_i1030" type="#_x0000_t75" style="width:331pt;height:15.5pt" o:ole="">
                  <v:imagedata r:id="rId8" o:title=""/>
                </v:shape>
                <o:OLEObject Type="Embed" ProgID="Equation.3" ShapeID="_x0000_i1030" DrawAspect="Content" ObjectID="_1788658319" r:id="rId18"/>
              </w:object>
            </w:r>
            <w:r w:rsidRPr="00195511">
              <w:rPr>
                <w:rFonts w:ascii="Garamond" w:hAnsi="Garamond"/>
              </w:rPr>
              <w:t xml:space="preserve">), и фактического почасового потребления электрической энергии по данной ГТП в течение периода </w:t>
            </w:r>
            <w:r w:rsidRPr="00195511">
              <w:rPr>
                <w:rFonts w:ascii="Garamond" w:hAnsi="Garamond"/>
                <w:i/>
                <w:lang w:val="en-US"/>
              </w:rPr>
              <w:t>T</w:t>
            </w:r>
            <w:r w:rsidRPr="00195511">
              <w:rPr>
                <w:rFonts w:ascii="Garamond" w:hAnsi="Garamond"/>
              </w:rPr>
              <w:t>:</w:t>
            </w:r>
          </w:p>
          <w:p w14:paraId="48C98FE4" w14:textId="77777777" w:rsidR="00D9004B" w:rsidRPr="00195511" w:rsidRDefault="00D9004B" w:rsidP="006B5958">
            <w:pPr>
              <w:widowControl w:val="0"/>
              <w:adjustRightInd w:val="0"/>
              <w:spacing w:before="120" w:after="120" w:line="240" w:lineRule="auto"/>
              <w:ind w:left="567"/>
              <w:jc w:val="both"/>
              <w:textAlignment w:val="baseline"/>
              <w:rPr>
                <w:rFonts w:ascii="Garamond" w:hAnsi="Garamond"/>
              </w:rPr>
            </w:pPr>
            <w:r w:rsidRPr="00195511">
              <w:rPr>
                <w:rFonts w:ascii="Garamond" w:hAnsi="Garamond"/>
              </w:rPr>
              <w:t xml:space="preserve">– для ГТП потребления гарантирующего поставщика: более чем на 15 % от абсолютной величины фактического почасового потребления электрической энергии </w:t>
            </w:r>
            <w:r w:rsidRPr="00195511">
              <w:rPr>
                <w:rFonts w:ascii="Garamond" w:hAnsi="Garamond"/>
                <w:color w:val="000000"/>
              </w:rPr>
              <w:t xml:space="preserve">(но не менее 15 МВт∙ч) </w:t>
            </w:r>
            <w:r w:rsidRPr="00195511">
              <w:rPr>
                <w:rFonts w:ascii="Garamond" w:hAnsi="Garamond"/>
              </w:rPr>
              <w:t xml:space="preserve">по данной ГТП более чем в </w:t>
            </w:r>
            <w:r w:rsidRPr="00195511">
              <w:rPr>
                <w:rFonts w:ascii="Garamond" w:hAnsi="Garamond"/>
              </w:rPr>
              <w:object w:dxaOrig="880" w:dyaOrig="620" w14:anchorId="681A999B">
                <v:shape id="_x0000_i1031" type="#_x0000_t75" style="width:44.5pt;height:31pt" o:ole="">
                  <v:imagedata r:id="rId10" o:title=""/>
                </v:shape>
                <o:OLEObject Type="Embed" ProgID="Equation.3" ShapeID="_x0000_i1031" DrawAspect="Content" ObjectID="_1788658320" r:id="rId19"/>
              </w:object>
            </w:r>
            <w:r w:rsidRPr="00195511">
              <w:rPr>
                <w:rFonts w:ascii="Garamond" w:hAnsi="Garamond"/>
              </w:rPr>
              <w:t xml:space="preserve"> часах ;</w:t>
            </w:r>
          </w:p>
          <w:p w14:paraId="77A202D4" w14:textId="77777777" w:rsidR="00D9004B" w:rsidRPr="00195511" w:rsidRDefault="00D9004B" w:rsidP="006B5958">
            <w:pPr>
              <w:widowControl w:val="0"/>
              <w:adjustRightInd w:val="0"/>
              <w:spacing w:before="120" w:after="120" w:line="240" w:lineRule="auto"/>
              <w:ind w:left="567"/>
              <w:jc w:val="both"/>
              <w:textAlignment w:val="baseline"/>
              <w:rPr>
                <w:rFonts w:ascii="Garamond" w:hAnsi="Garamond"/>
              </w:rPr>
            </w:pPr>
            <w:r w:rsidRPr="00195511">
              <w:rPr>
                <w:rFonts w:ascii="Garamond" w:hAnsi="Garamond"/>
              </w:rPr>
              <w:t xml:space="preserve">– для ГТП потребления иных участников: более чем на 50 % от абсолютной величины фактического почасового потребления электрической энергии </w:t>
            </w:r>
            <w:r w:rsidRPr="00195511">
              <w:rPr>
                <w:rFonts w:ascii="Garamond" w:hAnsi="Garamond"/>
                <w:color w:val="000000"/>
              </w:rPr>
              <w:t xml:space="preserve">(но не менее 1 МВт∙ч) </w:t>
            </w:r>
            <w:r w:rsidRPr="00195511">
              <w:rPr>
                <w:rFonts w:ascii="Garamond" w:hAnsi="Garamond"/>
              </w:rPr>
              <w:t xml:space="preserve">по данной ГТП более чем в </w:t>
            </w:r>
            <w:r w:rsidRPr="00195511">
              <w:rPr>
                <w:rFonts w:ascii="Garamond" w:hAnsi="Garamond"/>
              </w:rPr>
              <w:object w:dxaOrig="880" w:dyaOrig="620" w14:anchorId="5F83AEB1">
                <v:shape id="_x0000_i1032" type="#_x0000_t75" style="width:44.5pt;height:31pt" o:ole="">
                  <v:imagedata r:id="rId10" o:title=""/>
                </v:shape>
                <o:OLEObject Type="Embed" ProgID="Equation.3" ShapeID="_x0000_i1032" DrawAspect="Content" ObjectID="_1788658321" r:id="rId20"/>
              </w:object>
            </w:r>
            <w:r w:rsidRPr="00195511">
              <w:rPr>
                <w:rFonts w:ascii="Garamond" w:hAnsi="Garamond"/>
              </w:rPr>
              <w:t xml:space="preserve"> часах;</w:t>
            </w:r>
          </w:p>
          <w:p w14:paraId="1D537987" w14:textId="77777777" w:rsidR="00D9004B" w:rsidRPr="00195511" w:rsidRDefault="00D9004B" w:rsidP="006B5958">
            <w:pPr>
              <w:widowControl w:val="0"/>
              <w:adjustRightInd w:val="0"/>
              <w:spacing w:before="120" w:after="120" w:line="240" w:lineRule="auto"/>
              <w:ind w:left="567"/>
              <w:jc w:val="both"/>
              <w:textAlignment w:val="baseline"/>
              <w:rPr>
                <w:rFonts w:ascii="Garamond" w:hAnsi="Garamond"/>
              </w:rPr>
            </w:pPr>
            <w:r w:rsidRPr="00195511">
              <w:rPr>
                <w:rFonts w:ascii="Garamond" w:hAnsi="Garamond"/>
              </w:rPr>
              <w:t xml:space="preserve">– для ГТП потребления поставщика: </w:t>
            </w:r>
          </w:p>
          <w:p w14:paraId="2669E2EC" w14:textId="77777777" w:rsidR="00D9004B" w:rsidRPr="00D9004B" w:rsidRDefault="00D9004B" w:rsidP="006B5958">
            <w:pPr>
              <w:pStyle w:val="a3"/>
              <w:widowControl w:val="0"/>
              <w:numPr>
                <w:ilvl w:val="0"/>
                <w:numId w:val="26"/>
              </w:numPr>
              <w:adjustRightInd w:val="0"/>
              <w:spacing w:before="120" w:after="120"/>
              <w:ind w:left="567" w:firstLine="0"/>
              <w:contextualSpacing w:val="0"/>
              <w:jc w:val="both"/>
              <w:textAlignment w:val="baseline"/>
              <w:rPr>
                <w:szCs w:val="22"/>
                <w:lang w:val="ru-RU"/>
              </w:rPr>
            </w:pPr>
            <w:r w:rsidRPr="00D9004B">
              <w:rPr>
                <w:szCs w:val="22"/>
                <w:lang w:val="ru-RU"/>
              </w:rPr>
              <w:t>более чем на максимальную величину из 5 МВт∙ч и 25</w:t>
            </w:r>
            <w:r w:rsidRPr="00195511">
              <w:rPr>
                <w:szCs w:val="22"/>
              </w:rPr>
              <w:t> </w:t>
            </w:r>
            <w:r w:rsidRPr="00D9004B">
              <w:rPr>
                <w:szCs w:val="22"/>
                <w:lang w:val="ru-RU"/>
              </w:rPr>
              <w:t xml:space="preserve">% от абсолютной величины фактического почасового потребления электрической энергии по данной ГТП (в часы, когда </w:t>
            </w:r>
            <w:r w:rsidRPr="00D9004B">
              <w:rPr>
                <w:color w:val="000000"/>
                <w:szCs w:val="22"/>
                <w:lang w:val="ru-RU"/>
              </w:rPr>
              <w:t xml:space="preserve">все ГОУ (каждый из которых взаимно-однозначно соответствует ГТП генерации ГЭС (объекту управления типа ГЭС, отнесенному к ГТП потребления с регулируемой нагрузкой)), отнесенные к указанному ГОУ более высокого уровня данной ГЭС, </w:t>
            </w:r>
            <w:r w:rsidRPr="00D9004B">
              <w:rPr>
                <w:szCs w:val="22"/>
                <w:lang w:val="ru-RU"/>
              </w:rPr>
              <w:t xml:space="preserve">объединены системой АРЧМ и </w:t>
            </w:r>
            <w:r w:rsidRPr="00D9004B">
              <w:rPr>
                <w:color w:val="000000"/>
                <w:szCs w:val="22"/>
                <w:lang w:val="ru-RU"/>
              </w:rPr>
              <w:t xml:space="preserve">находятся под ее управляющим воздействием </w:t>
            </w:r>
            <w:r w:rsidRPr="00D9004B">
              <w:rPr>
                <w:szCs w:val="22"/>
                <w:lang w:val="ru-RU"/>
              </w:rPr>
              <w:t>(СО</w:t>
            </w:r>
            <w:r w:rsidRPr="00D9004B">
              <w:rPr>
                <w:color w:val="000000"/>
                <w:szCs w:val="22"/>
                <w:lang w:val="ru-RU"/>
              </w:rPr>
              <w:t xml:space="preserve"> присвоен и передан КО в согласованном формате признак </w:t>
            </w:r>
            <w:r w:rsidRPr="00D9004B">
              <w:rPr>
                <w:rFonts w:cs="Calibri"/>
                <w:szCs w:val="22"/>
                <w:lang w:val="ru-RU"/>
              </w:rPr>
              <w:lastRenderedPageBreak/>
              <w:t>отнесения отклонений на внешнюю инициативу, сформированный на основе признака</w:t>
            </w:r>
            <w:r w:rsidRPr="00D9004B">
              <w:rPr>
                <w:color w:val="000000"/>
                <w:szCs w:val="22"/>
                <w:lang w:val="ru-RU"/>
              </w:rPr>
              <w:t xml:space="preserve"> участия в регулировании в соответствии с подпунктом «в» п. 2.2.3</w:t>
            </w:r>
            <w:r w:rsidRPr="00D9004B">
              <w:rPr>
                <w:i/>
                <w:color w:val="000000"/>
                <w:szCs w:val="22"/>
                <w:lang w:val="ru-RU"/>
              </w:rPr>
              <w:t xml:space="preserve"> Регламента определения объемов, инициатив и стоимости отклонений </w:t>
            </w:r>
            <w:r w:rsidRPr="00D9004B">
              <w:rPr>
                <w:color w:val="000000"/>
                <w:szCs w:val="22"/>
                <w:lang w:val="ru-RU"/>
              </w:rPr>
              <w:t>(Приложение № 12 к</w:t>
            </w:r>
            <w:r w:rsidRPr="00D9004B">
              <w:rPr>
                <w:i/>
                <w:color w:val="000000"/>
                <w:szCs w:val="22"/>
                <w:lang w:val="ru-RU"/>
              </w:rPr>
              <w:t xml:space="preserve"> Договору о присоединении к торговой системе оптового рынка</w:t>
            </w:r>
            <w:r w:rsidRPr="00D9004B">
              <w:rPr>
                <w:color w:val="000000"/>
                <w:szCs w:val="22"/>
                <w:lang w:val="ru-RU"/>
              </w:rPr>
              <w:t>), в которые отношение суммарного по абсолютной величине по всем соответствующим ГТП генерации отклонения по внешней инициативе к суммарному по всем соответствующим ГТП генерации объему планового почасового производства превышает 10</w:t>
            </w:r>
            <w:r w:rsidRPr="00195511">
              <w:rPr>
                <w:color w:val="000000"/>
                <w:szCs w:val="22"/>
                <w:lang w:val="en-US"/>
              </w:rPr>
              <w:t> </w:t>
            </w:r>
            <w:r w:rsidRPr="00D9004B">
              <w:rPr>
                <w:color w:val="000000"/>
                <w:szCs w:val="22"/>
                <w:lang w:val="ru-RU"/>
              </w:rPr>
              <w:t>%,</w:t>
            </w:r>
            <w:r w:rsidRPr="00D9004B">
              <w:rPr>
                <w:szCs w:val="22"/>
                <w:lang w:val="ru-RU"/>
              </w:rPr>
              <w:t xml:space="preserve"> для соответствующей ГТП потребления поставщика - более чем на максимальную величину из 15 МВт∙ч и 25</w:t>
            </w:r>
            <w:r w:rsidRPr="00195511">
              <w:rPr>
                <w:szCs w:val="22"/>
              </w:rPr>
              <w:t> </w:t>
            </w:r>
            <w:r w:rsidRPr="00D9004B">
              <w:rPr>
                <w:szCs w:val="22"/>
                <w:lang w:val="ru-RU"/>
              </w:rPr>
              <w:t xml:space="preserve">% от фактического почасового потребления электрической энергии по данной ГТП) более чем в </w:t>
            </w:r>
            <w:r w:rsidRPr="00195511">
              <w:rPr>
                <w:position w:val="-24"/>
                <w:szCs w:val="22"/>
              </w:rPr>
              <w:object w:dxaOrig="859" w:dyaOrig="620" w14:anchorId="59D19EE8">
                <v:shape id="_x0000_i1033" type="#_x0000_t75" style="width:41.5pt;height:31pt" o:ole="">
                  <v:imagedata r:id="rId13" o:title=""/>
                </v:shape>
                <o:OLEObject Type="Embed" ProgID="Equation.3" ShapeID="_x0000_i1033" DrawAspect="Content" ObjectID="_1788658322" r:id="rId21"/>
              </w:object>
            </w:r>
            <w:r w:rsidRPr="00D9004B">
              <w:rPr>
                <w:szCs w:val="22"/>
                <w:lang w:val="ru-RU"/>
              </w:rPr>
              <w:t xml:space="preserve"> часах. При этом указанный период </w:t>
            </w:r>
            <w:r w:rsidRPr="00195511">
              <w:rPr>
                <w:i/>
                <w:szCs w:val="22"/>
                <w:lang w:val="en-US"/>
              </w:rPr>
              <w:t>T</w:t>
            </w:r>
            <w:r w:rsidRPr="00D9004B">
              <w:rPr>
                <w:szCs w:val="22"/>
                <w:lang w:val="ru-RU"/>
              </w:rPr>
              <w:t xml:space="preserve"> не включает часы, в которые указанная разность является отрицательной величиной</w:t>
            </w:r>
          </w:p>
          <w:p w14:paraId="47333806" w14:textId="77777777" w:rsidR="00D9004B" w:rsidRPr="00195511" w:rsidRDefault="00D9004B" w:rsidP="006B5958">
            <w:pPr>
              <w:pStyle w:val="a3"/>
              <w:widowControl w:val="0"/>
              <w:adjustRightInd w:val="0"/>
              <w:spacing w:before="120" w:after="120"/>
              <w:ind w:left="567"/>
              <w:contextualSpacing w:val="0"/>
              <w:jc w:val="both"/>
              <w:textAlignment w:val="baseline"/>
              <w:rPr>
                <w:szCs w:val="22"/>
              </w:rPr>
            </w:pPr>
            <w:r w:rsidRPr="00195511">
              <w:rPr>
                <w:szCs w:val="22"/>
              </w:rPr>
              <w:t>и </w:t>
            </w:r>
            <w:r w:rsidRPr="00195511">
              <w:rPr>
                <w:szCs w:val="22"/>
                <w:lang w:val="en-US"/>
              </w:rPr>
              <w:t>(</w:t>
            </w:r>
            <w:proofErr w:type="spellStart"/>
            <w:r w:rsidRPr="00195511">
              <w:rPr>
                <w:szCs w:val="22"/>
              </w:rPr>
              <w:t>или</w:t>
            </w:r>
            <w:proofErr w:type="spellEnd"/>
            <w:r w:rsidRPr="00195511">
              <w:rPr>
                <w:szCs w:val="22"/>
              </w:rPr>
              <w:t>)</w:t>
            </w:r>
          </w:p>
          <w:p w14:paraId="12F9122D" w14:textId="77777777" w:rsidR="00D9004B" w:rsidRPr="00D9004B" w:rsidRDefault="00D9004B" w:rsidP="006B5958">
            <w:pPr>
              <w:pStyle w:val="a3"/>
              <w:widowControl w:val="0"/>
              <w:numPr>
                <w:ilvl w:val="0"/>
                <w:numId w:val="26"/>
              </w:numPr>
              <w:adjustRightInd w:val="0"/>
              <w:spacing w:before="120" w:after="120"/>
              <w:ind w:left="567" w:firstLine="0"/>
              <w:contextualSpacing w:val="0"/>
              <w:jc w:val="both"/>
              <w:textAlignment w:val="baseline"/>
              <w:rPr>
                <w:szCs w:val="22"/>
                <w:lang w:val="ru-RU"/>
              </w:rPr>
            </w:pPr>
            <w:r w:rsidRPr="00D9004B">
              <w:rPr>
                <w:szCs w:val="22"/>
                <w:lang w:val="ru-RU"/>
              </w:rPr>
              <w:t>более чем на максимальную величину из 5 МВт∙ч и 25</w:t>
            </w:r>
            <w:r w:rsidRPr="00195511">
              <w:rPr>
                <w:szCs w:val="22"/>
              </w:rPr>
              <w:t> </w:t>
            </w:r>
            <w:r w:rsidRPr="00D9004B">
              <w:rPr>
                <w:szCs w:val="22"/>
                <w:lang w:val="ru-RU"/>
              </w:rPr>
              <w:t xml:space="preserve">% от абсолютной величины фактического почасового потребления электрической энергии по данной ГТП (в часы, когда </w:t>
            </w:r>
            <w:r w:rsidRPr="00D9004B">
              <w:rPr>
                <w:color w:val="000000"/>
                <w:szCs w:val="22"/>
                <w:lang w:val="ru-RU"/>
              </w:rPr>
              <w:t xml:space="preserve">все ГОУ (каждый из которых взаимно-однозначно соответствует ГТП генерации ГЭС (объекту управления типа ГЭС, отнесенному к ГТП потребления с регулируемой нагрузкой)), отнесенные к указанному ГОУ более высокого уровня данной ГЭС, </w:t>
            </w:r>
            <w:r w:rsidRPr="00D9004B">
              <w:rPr>
                <w:szCs w:val="22"/>
                <w:lang w:val="ru-RU"/>
              </w:rPr>
              <w:t xml:space="preserve">объединены системой АРЧМ и </w:t>
            </w:r>
            <w:r w:rsidRPr="00D9004B">
              <w:rPr>
                <w:color w:val="000000"/>
                <w:szCs w:val="22"/>
                <w:lang w:val="ru-RU"/>
              </w:rPr>
              <w:t xml:space="preserve">находятся под ее управляющим воздействием </w:t>
            </w:r>
            <w:r w:rsidRPr="00D9004B">
              <w:rPr>
                <w:szCs w:val="22"/>
                <w:lang w:val="ru-RU"/>
              </w:rPr>
              <w:t>(СО</w:t>
            </w:r>
            <w:r w:rsidRPr="00D9004B">
              <w:rPr>
                <w:color w:val="000000"/>
                <w:szCs w:val="22"/>
                <w:lang w:val="ru-RU"/>
              </w:rPr>
              <w:t xml:space="preserve"> присвоен и передан КО в согласованном формате признак </w:t>
            </w:r>
            <w:r w:rsidRPr="00D9004B">
              <w:rPr>
                <w:rFonts w:cs="Calibri"/>
                <w:szCs w:val="22"/>
                <w:lang w:val="ru-RU"/>
              </w:rPr>
              <w:t>отнесения отклонений на внешнюю инициативу, сформированный на основе признака</w:t>
            </w:r>
            <w:r w:rsidRPr="00D9004B">
              <w:rPr>
                <w:color w:val="000000"/>
                <w:szCs w:val="22"/>
                <w:lang w:val="ru-RU"/>
              </w:rPr>
              <w:t xml:space="preserve"> участия в регулировании в соответствии с подпунктом «в» п. 2.2.3 </w:t>
            </w:r>
            <w:r w:rsidRPr="00D9004B">
              <w:rPr>
                <w:i/>
                <w:color w:val="000000"/>
                <w:szCs w:val="22"/>
                <w:lang w:val="ru-RU"/>
              </w:rPr>
              <w:t xml:space="preserve">Регламента определения объемов, инициатив и стоимости отклонений </w:t>
            </w:r>
            <w:r w:rsidRPr="00D9004B">
              <w:rPr>
                <w:color w:val="000000"/>
                <w:szCs w:val="22"/>
                <w:lang w:val="ru-RU"/>
              </w:rPr>
              <w:t>(Приложение № 12 к</w:t>
            </w:r>
            <w:r w:rsidRPr="00D9004B">
              <w:rPr>
                <w:i/>
                <w:color w:val="000000"/>
                <w:szCs w:val="22"/>
                <w:lang w:val="ru-RU"/>
              </w:rPr>
              <w:t xml:space="preserve"> Договору о присоединении к торговой системе оптового рынка</w:t>
            </w:r>
            <w:r w:rsidRPr="00D9004B">
              <w:rPr>
                <w:color w:val="000000"/>
                <w:szCs w:val="22"/>
                <w:lang w:val="ru-RU"/>
              </w:rPr>
              <w:t xml:space="preserve">), в которые отношение суммарного по абсолютной величине по всем соответствующим ГТП генерации отклонения по внешней инициативе к суммарному по всем соответствующим ГТП </w:t>
            </w:r>
            <w:r w:rsidRPr="00D9004B">
              <w:rPr>
                <w:color w:val="000000"/>
                <w:szCs w:val="22"/>
                <w:lang w:val="ru-RU"/>
              </w:rPr>
              <w:lastRenderedPageBreak/>
              <w:t>генерации объему планового почасового производства превышает 10</w:t>
            </w:r>
            <w:r w:rsidRPr="00195511">
              <w:rPr>
                <w:color w:val="000000"/>
                <w:szCs w:val="22"/>
                <w:lang w:val="en-US"/>
              </w:rPr>
              <w:t> </w:t>
            </w:r>
            <w:r w:rsidRPr="00D9004B">
              <w:rPr>
                <w:color w:val="000000"/>
                <w:szCs w:val="22"/>
                <w:lang w:val="ru-RU"/>
              </w:rPr>
              <w:t>%,</w:t>
            </w:r>
            <w:r w:rsidRPr="00D9004B">
              <w:rPr>
                <w:szCs w:val="22"/>
                <w:lang w:val="ru-RU"/>
              </w:rPr>
              <w:t xml:space="preserve"> для соответствующей ГТП потребления поставщика - более чем на максимальную величину из 15 МВт∙ч и 25</w:t>
            </w:r>
            <w:r w:rsidRPr="00195511">
              <w:rPr>
                <w:szCs w:val="22"/>
              </w:rPr>
              <w:t> </w:t>
            </w:r>
            <w:r w:rsidRPr="00D9004B">
              <w:rPr>
                <w:szCs w:val="22"/>
                <w:lang w:val="ru-RU"/>
              </w:rPr>
              <w:t xml:space="preserve">% от фактического почасового потребления электрической энергии по данной ГТП) более чем в </w:t>
            </w:r>
            <w:r w:rsidRPr="00195511">
              <w:rPr>
                <w:szCs w:val="22"/>
              </w:rPr>
              <w:object w:dxaOrig="859" w:dyaOrig="620" w14:anchorId="59CA059E">
                <v:shape id="_x0000_i1034" type="#_x0000_t75" style="width:41.5pt;height:31pt" o:ole="">
                  <v:imagedata r:id="rId15" o:title=""/>
                </v:shape>
                <o:OLEObject Type="Embed" ProgID="Equation.3" ShapeID="_x0000_i1034" DrawAspect="Content" ObjectID="_1788658323" r:id="rId22"/>
              </w:object>
            </w:r>
            <w:r w:rsidRPr="00D9004B">
              <w:rPr>
                <w:szCs w:val="22"/>
                <w:lang w:val="ru-RU"/>
              </w:rPr>
              <w:t xml:space="preserve"> часах. При этом указанный период </w:t>
            </w:r>
            <w:r w:rsidRPr="00195511">
              <w:rPr>
                <w:szCs w:val="22"/>
              </w:rPr>
              <w:t>T</w:t>
            </w:r>
            <w:r w:rsidRPr="00D9004B">
              <w:rPr>
                <w:szCs w:val="22"/>
                <w:lang w:val="ru-RU"/>
              </w:rPr>
              <w:t xml:space="preserve"> не включает часы, в которые указанная разность является положительной величиной;</w:t>
            </w:r>
          </w:p>
          <w:p w14:paraId="783B1393" w14:textId="77777777" w:rsidR="00D9004B" w:rsidRPr="00195511" w:rsidRDefault="00D9004B" w:rsidP="006B5958">
            <w:pPr>
              <w:widowControl w:val="0"/>
              <w:adjustRightInd w:val="0"/>
              <w:spacing w:before="120" w:after="120" w:line="240" w:lineRule="auto"/>
              <w:ind w:left="567"/>
              <w:jc w:val="both"/>
              <w:textAlignment w:val="baseline"/>
              <w:rPr>
                <w:rFonts w:ascii="Garamond" w:hAnsi="Garamond"/>
              </w:rPr>
            </w:pPr>
            <w:r w:rsidRPr="00195511">
              <w:rPr>
                <w:rFonts w:ascii="Garamond" w:hAnsi="Garamond"/>
              </w:rPr>
              <w:t>где</w:t>
            </w:r>
            <w:r w:rsidRPr="00195511">
              <w:rPr>
                <w:rFonts w:ascii="Garamond" w:hAnsi="Garamond"/>
                <w:i/>
              </w:rPr>
              <w:t xml:space="preserve"> </w:t>
            </w:r>
            <w:r w:rsidRPr="00195511">
              <w:rPr>
                <w:rFonts w:ascii="Garamond" w:hAnsi="Garamond"/>
                <w:i/>
                <w:lang w:val="en-US"/>
              </w:rPr>
              <w:t>T</w:t>
            </w:r>
            <w:r w:rsidRPr="00195511">
              <w:rPr>
                <w:rFonts w:ascii="Garamond" w:hAnsi="Garamond"/>
              </w:rPr>
              <w:t xml:space="preserve"> – часы расчетного периода, в течение которых</w:t>
            </w:r>
          </w:p>
          <w:p w14:paraId="0D6AD655" w14:textId="77777777" w:rsidR="00D9004B" w:rsidRPr="00195511" w:rsidRDefault="00D9004B" w:rsidP="006B5958">
            <w:pPr>
              <w:widowControl w:val="0"/>
              <w:numPr>
                <w:ilvl w:val="0"/>
                <w:numId w:val="27"/>
              </w:numPr>
              <w:adjustRightInd w:val="0"/>
              <w:spacing w:before="120" w:after="120" w:line="240" w:lineRule="auto"/>
              <w:ind w:left="981" w:firstLine="0"/>
              <w:jc w:val="both"/>
              <w:textAlignment w:val="baseline"/>
              <w:rPr>
                <w:rFonts w:ascii="Garamond" w:hAnsi="Garamond"/>
              </w:rPr>
            </w:pPr>
            <w:r w:rsidRPr="00195511">
              <w:rPr>
                <w:rFonts w:ascii="Garamond" w:hAnsi="Garamond"/>
              </w:rPr>
              <w:t>указанная ГТП не была дисквалифицирована в соответствии с разделом 2 настоящего Порядка;</w:t>
            </w:r>
          </w:p>
          <w:p w14:paraId="56AD2BF5" w14:textId="77777777" w:rsidR="00D9004B" w:rsidRPr="00195511" w:rsidRDefault="00D9004B" w:rsidP="006B5958">
            <w:pPr>
              <w:widowControl w:val="0"/>
              <w:numPr>
                <w:ilvl w:val="0"/>
                <w:numId w:val="27"/>
              </w:numPr>
              <w:adjustRightInd w:val="0"/>
              <w:spacing w:before="120" w:after="120" w:line="240" w:lineRule="auto"/>
              <w:ind w:left="993" w:firstLine="0"/>
              <w:jc w:val="both"/>
              <w:textAlignment w:val="baseline"/>
              <w:rPr>
                <w:rFonts w:ascii="Garamond" w:hAnsi="Garamond"/>
              </w:rPr>
            </w:pPr>
            <w:r w:rsidRPr="00195511">
              <w:rPr>
                <w:rFonts w:ascii="Garamond" w:hAnsi="Garamond"/>
              </w:rPr>
              <w:t xml:space="preserve">величина планового почасового потребления (торгового графика) или величина фактического потребления </w:t>
            </w:r>
            <w:r w:rsidRPr="00195511">
              <w:rPr>
                <w:rFonts w:ascii="Garamond" w:hAnsi="Garamond"/>
                <w:color w:val="000000"/>
              </w:rPr>
              <w:t xml:space="preserve">больше минимального объема, который может быть заявлен участником оптового рынка в ценовой заявке на планирование объемов потребления в соответствии с подпунктом 10 п. 4.1.2 </w:t>
            </w:r>
            <w:r w:rsidRPr="00195511">
              <w:rPr>
                <w:rFonts w:ascii="Garamond" w:hAnsi="Garamond"/>
                <w:i/>
                <w:color w:val="000000"/>
              </w:rPr>
              <w:t xml:space="preserve">Регламента подачи ценовых заявок участниками оптового рынка </w:t>
            </w:r>
            <w:r w:rsidRPr="00195511">
              <w:rPr>
                <w:rFonts w:ascii="Garamond" w:hAnsi="Garamond"/>
                <w:color w:val="000000"/>
              </w:rPr>
              <w:t>(Приложение № 5 к</w:t>
            </w:r>
            <w:r w:rsidRPr="00195511">
              <w:rPr>
                <w:rFonts w:ascii="Garamond" w:hAnsi="Garamond"/>
                <w:i/>
                <w:color w:val="000000"/>
              </w:rPr>
              <w:t xml:space="preserve"> Договору о присоединении к торговой системе оптового рынка</w:t>
            </w:r>
            <w:r w:rsidRPr="00195511">
              <w:rPr>
                <w:rFonts w:ascii="Garamond" w:hAnsi="Garamond"/>
                <w:color w:val="000000"/>
              </w:rPr>
              <w:t xml:space="preserve">) </w:t>
            </w:r>
            <w:r w:rsidRPr="00195511">
              <w:rPr>
                <w:rFonts w:ascii="Garamond" w:hAnsi="Garamond"/>
              </w:rPr>
              <w:t>– для ГТП потребления, не являющейся ГТП потребления поставщика;</w:t>
            </w:r>
          </w:p>
          <w:p w14:paraId="4C7C2EDE" w14:textId="77777777" w:rsidR="00D9004B" w:rsidRPr="00195511" w:rsidRDefault="00D9004B" w:rsidP="006B5958">
            <w:pPr>
              <w:widowControl w:val="0"/>
              <w:numPr>
                <w:ilvl w:val="0"/>
                <w:numId w:val="27"/>
              </w:numPr>
              <w:adjustRightInd w:val="0"/>
              <w:spacing w:before="120" w:after="120" w:line="240" w:lineRule="auto"/>
              <w:ind w:left="993" w:firstLine="0"/>
              <w:jc w:val="both"/>
              <w:textAlignment w:val="baseline"/>
              <w:rPr>
                <w:rFonts w:ascii="Garamond" w:hAnsi="Garamond"/>
              </w:rPr>
            </w:pPr>
            <w:r w:rsidRPr="00195511">
              <w:rPr>
                <w:rFonts w:ascii="Garamond" w:hAnsi="Garamond"/>
              </w:rPr>
              <w:t xml:space="preserve">объемы потребления, заявленные участником в ценовой заявке по ГТП потребления для участия в конкурентном отборе на сутки вперед, не были скорректированы КО в соответствии с п. 3.5 раздела 4 </w:t>
            </w:r>
            <w:r w:rsidRPr="00195511">
              <w:rPr>
                <w:rFonts w:ascii="Garamond" w:hAnsi="Garamond"/>
                <w:i/>
              </w:rPr>
              <w:t>Регламента проведения конкурентного отбора ценовых заявок на сутки вперед</w:t>
            </w:r>
            <w:r w:rsidRPr="00195511">
              <w:rPr>
                <w:rFonts w:ascii="Garamond" w:hAnsi="Garamond"/>
              </w:rPr>
              <w:t xml:space="preserve"> (Приложение № 7 к </w:t>
            </w:r>
            <w:r w:rsidRPr="00195511">
              <w:rPr>
                <w:rFonts w:ascii="Garamond" w:hAnsi="Garamond"/>
                <w:i/>
              </w:rPr>
              <w:t>Договору о присоединении к торговой системе оптового рынка</w:t>
            </w:r>
            <w:r w:rsidRPr="00195511">
              <w:rPr>
                <w:rFonts w:ascii="Garamond" w:hAnsi="Garamond"/>
              </w:rPr>
              <w:t>);</w:t>
            </w:r>
          </w:p>
          <w:p w14:paraId="531EE4D2" w14:textId="77777777" w:rsidR="00D9004B" w:rsidRPr="00195511" w:rsidRDefault="00D9004B" w:rsidP="006B5958">
            <w:pPr>
              <w:widowControl w:val="0"/>
              <w:numPr>
                <w:ilvl w:val="0"/>
                <w:numId w:val="27"/>
              </w:numPr>
              <w:adjustRightInd w:val="0"/>
              <w:spacing w:before="120" w:after="120" w:line="240" w:lineRule="auto"/>
              <w:ind w:left="992" w:firstLine="0"/>
              <w:jc w:val="both"/>
              <w:textAlignment w:val="baseline"/>
              <w:rPr>
                <w:rFonts w:ascii="Garamond" w:hAnsi="Garamond"/>
              </w:rPr>
            </w:pPr>
            <w:r w:rsidRPr="00195511">
              <w:rPr>
                <w:rFonts w:ascii="Garamond" w:hAnsi="Garamond"/>
              </w:rPr>
              <w:t xml:space="preserve">для ГТП потребления поставщика (в дополнение к условиям, указанным в подп. 1 данного пункта): плановое почасовое потребление выше нуля и (или) величина фактического почасового потребления электрической энергии не ниже нуля для ГТП потребления типа «Нагрузка» (не ниже величины плановых нагрузочных потерь в </w:t>
            </w:r>
            <w:r w:rsidRPr="00195511">
              <w:rPr>
                <w:rFonts w:ascii="Garamond" w:hAnsi="Garamond"/>
              </w:rPr>
              <w:lastRenderedPageBreak/>
              <w:t>энергорайоне, соответствующей данной ГТП, – для ГТП потребления типа «Система»);</w:t>
            </w:r>
          </w:p>
          <w:p w14:paraId="633D34E3" w14:textId="77777777" w:rsidR="00D9004B" w:rsidRPr="00195511" w:rsidRDefault="00D9004B" w:rsidP="006B5958">
            <w:pPr>
              <w:widowControl w:val="0"/>
              <w:numPr>
                <w:ilvl w:val="0"/>
                <w:numId w:val="27"/>
              </w:numPr>
              <w:adjustRightInd w:val="0"/>
              <w:spacing w:before="120" w:after="120" w:line="240" w:lineRule="auto"/>
              <w:ind w:left="992" w:firstLine="0"/>
              <w:jc w:val="both"/>
              <w:textAlignment w:val="baseline"/>
              <w:rPr>
                <w:rFonts w:ascii="Garamond" w:hAnsi="Garamond"/>
              </w:rPr>
            </w:pPr>
            <w:r w:rsidRPr="00195511">
              <w:rPr>
                <w:rFonts w:ascii="Garamond" w:hAnsi="Garamond"/>
              </w:rPr>
              <w:t xml:space="preserve">данная ГТП потребления не отнесена ни к одному узлу расчетной модели, в котором процедура конкурентного отбора ценовых заявок на сутки вперед была признана несостоявшейся в соответствии с пунктом 4 раздела 8 </w:t>
            </w:r>
            <w:r w:rsidRPr="00195511">
              <w:rPr>
                <w:rFonts w:ascii="Garamond" w:hAnsi="Garamond"/>
                <w:i/>
              </w:rPr>
              <w:t>Регламента конкурентного отбора ценовых заявок на сутки вперед</w:t>
            </w:r>
            <w:r w:rsidRPr="00195511">
              <w:rPr>
                <w:rFonts w:ascii="Garamond" w:hAnsi="Garamond"/>
              </w:rPr>
              <w:t xml:space="preserve"> (Приложение № 7 к </w:t>
            </w:r>
            <w:r w:rsidRPr="00195511">
              <w:rPr>
                <w:rFonts w:ascii="Garamond" w:hAnsi="Garamond"/>
                <w:i/>
              </w:rPr>
              <w:t>Договору о присоединении к торговой системе оптового рынка</w:t>
            </w:r>
            <w:r w:rsidRPr="00195511">
              <w:rPr>
                <w:rFonts w:ascii="Garamond" w:hAnsi="Garamond"/>
              </w:rPr>
              <w:t>);</w:t>
            </w:r>
          </w:p>
          <w:p w14:paraId="3E22D82F" w14:textId="77777777" w:rsidR="00D9004B" w:rsidRPr="00195511" w:rsidRDefault="00D9004B" w:rsidP="006B5958">
            <w:pPr>
              <w:widowControl w:val="0"/>
              <w:numPr>
                <w:ilvl w:val="0"/>
                <w:numId w:val="27"/>
              </w:numPr>
              <w:adjustRightInd w:val="0"/>
              <w:spacing w:before="120" w:after="120" w:line="240" w:lineRule="auto"/>
              <w:ind w:left="992" w:firstLine="0"/>
              <w:jc w:val="both"/>
              <w:textAlignment w:val="baseline"/>
              <w:rPr>
                <w:rFonts w:ascii="Garamond" w:hAnsi="Garamond"/>
              </w:rPr>
            </w:pPr>
            <w:r w:rsidRPr="00195511">
              <w:rPr>
                <w:rFonts w:ascii="Garamond" w:hAnsi="Garamond"/>
              </w:rPr>
              <w:t xml:space="preserve">данная ГТП потребления не отнесена к ценовой зоне, в отношении которой процедура конкурентного отбора ценовых заявок на сутки вперед была признана несостоявшейся в соответствии с пунктом 2 раздела 8 </w:t>
            </w:r>
            <w:r w:rsidRPr="00195511">
              <w:rPr>
                <w:rFonts w:ascii="Garamond" w:hAnsi="Garamond"/>
                <w:i/>
              </w:rPr>
              <w:t>Регламента проведения конкурентного отбора ценовых заявок на сутки вперед</w:t>
            </w:r>
            <w:r w:rsidRPr="00195511">
              <w:rPr>
                <w:rFonts w:ascii="Garamond" w:hAnsi="Garamond"/>
              </w:rPr>
              <w:t xml:space="preserve"> (Приложение № 7 к </w:t>
            </w:r>
            <w:r w:rsidRPr="00195511">
              <w:rPr>
                <w:rFonts w:ascii="Garamond" w:hAnsi="Garamond"/>
                <w:i/>
              </w:rPr>
              <w:t>Договору о присоединении к торговой системе оптового рынка</w:t>
            </w:r>
            <w:r w:rsidRPr="00195511">
              <w:rPr>
                <w:rFonts w:ascii="Garamond" w:hAnsi="Garamond"/>
              </w:rPr>
              <w:t>);</w:t>
            </w:r>
          </w:p>
          <w:p w14:paraId="59CC563E" w14:textId="77777777" w:rsidR="00D9004B" w:rsidRPr="00195511" w:rsidRDefault="00D9004B" w:rsidP="006B5958">
            <w:pPr>
              <w:widowControl w:val="0"/>
              <w:adjustRightInd w:val="0"/>
              <w:spacing w:before="120" w:after="120" w:line="240" w:lineRule="auto"/>
              <w:ind w:left="992"/>
              <w:jc w:val="both"/>
              <w:textAlignment w:val="baseline"/>
              <w:rPr>
                <w:rFonts w:ascii="Garamond" w:hAnsi="Garamond"/>
              </w:rPr>
            </w:pPr>
            <w:r w:rsidRPr="00195511">
              <w:rPr>
                <w:rFonts w:ascii="Garamond" w:hAnsi="Garamond"/>
                <w:i/>
                <w:lang w:val="en-US"/>
              </w:rPr>
              <w:t>h</w:t>
            </w:r>
            <w:r w:rsidRPr="00195511">
              <w:rPr>
                <w:rFonts w:ascii="Garamond" w:hAnsi="Garamond"/>
              </w:rPr>
              <w:t xml:space="preserve"> – количество часов в периоде </w:t>
            </w:r>
            <w:r w:rsidRPr="00195511">
              <w:rPr>
                <w:rFonts w:ascii="Garamond" w:hAnsi="Garamond"/>
                <w:i/>
                <w:lang w:val="en-US"/>
              </w:rPr>
              <w:t>T</w:t>
            </w:r>
            <w:r w:rsidRPr="00195511">
              <w:rPr>
                <w:rFonts w:ascii="Garamond" w:hAnsi="Garamond"/>
              </w:rPr>
              <w:t xml:space="preserve">; </w:t>
            </w:r>
          </w:p>
          <w:p w14:paraId="0F157A31" w14:textId="77777777" w:rsidR="00D9004B" w:rsidRPr="00195511" w:rsidRDefault="00D9004B" w:rsidP="006B5958">
            <w:pPr>
              <w:widowControl w:val="0"/>
              <w:adjustRightInd w:val="0"/>
              <w:spacing w:before="120" w:after="120" w:line="240" w:lineRule="auto"/>
              <w:ind w:left="993"/>
              <w:jc w:val="both"/>
              <w:textAlignment w:val="baseline"/>
              <w:rPr>
                <w:rFonts w:ascii="Garamond" w:hAnsi="Garamond"/>
              </w:rPr>
            </w:pPr>
            <w:r w:rsidRPr="00195511">
              <w:rPr>
                <w:rFonts w:ascii="Garamond" w:hAnsi="Garamond"/>
                <w:i/>
                <w:lang w:val="en-US"/>
              </w:rPr>
              <w:t>H</w:t>
            </w:r>
            <w:r w:rsidRPr="00195511">
              <w:rPr>
                <w:rFonts w:ascii="Garamond" w:hAnsi="Garamond"/>
              </w:rPr>
              <w:t xml:space="preserve"> – количество часов в расчетном периоде.</w:t>
            </w:r>
          </w:p>
          <w:p w14:paraId="45FD7255" w14:textId="77777777" w:rsidR="00E73731" w:rsidRDefault="00D9004B" w:rsidP="006B5958">
            <w:pPr>
              <w:widowControl w:val="0"/>
              <w:adjustRightInd w:val="0"/>
              <w:spacing w:before="120" w:after="120" w:line="240" w:lineRule="auto"/>
              <w:ind w:left="9" w:firstLine="594"/>
              <w:jc w:val="both"/>
              <w:textAlignment w:val="baseline"/>
              <w:rPr>
                <w:rFonts w:ascii="Garamond" w:hAnsi="Garamond"/>
              </w:rPr>
            </w:pPr>
            <w:r w:rsidRPr="00195511">
              <w:rPr>
                <w:rFonts w:ascii="Garamond" w:hAnsi="Garamond"/>
              </w:rPr>
              <w:t>Действие настоящего пункта не распространяется</w:t>
            </w:r>
            <w:r w:rsidR="00E73731" w:rsidRPr="008D0E03">
              <w:rPr>
                <w:rFonts w:ascii="Garamond" w:hAnsi="Garamond"/>
                <w:highlight w:val="yellow"/>
              </w:rPr>
              <w:t>:</w:t>
            </w:r>
            <w:r w:rsidR="00C067DC">
              <w:rPr>
                <w:rFonts w:ascii="Garamond" w:hAnsi="Garamond"/>
              </w:rPr>
              <w:t xml:space="preserve"> </w:t>
            </w:r>
          </w:p>
          <w:p w14:paraId="2717FA20" w14:textId="77777777" w:rsidR="00E12EED" w:rsidRDefault="00D9004B" w:rsidP="006B5958">
            <w:pPr>
              <w:widowControl w:val="0"/>
              <w:adjustRightInd w:val="0"/>
              <w:spacing w:before="120" w:after="120" w:line="240" w:lineRule="auto"/>
              <w:ind w:left="9" w:firstLine="594"/>
              <w:jc w:val="both"/>
              <w:textAlignment w:val="baseline"/>
              <w:rPr>
                <w:rFonts w:ascii="Garamond" w:hAnsi="Garamond"/>
              </w:rPr>
            </w:pPr>
            <w:r w:rsidRPr="00195511">
              <w:rPr>
                <w:rFonts w:ascii="Garamond" w:hAnsi="Garamond"/>
              </w:rPr>
              <w:t>на ГТП потребления ГАЭС</w:t>
            </w:r>
            <w:r w:rsidR="00E12EED" w:rsidRPr="00760FB8">
              <w:rPr>
                <w:rFonts w:ascii="Garamond" w:hAnsi="Garamond"/>
                <w:highlight w:val="yellow"/>
              </w:rPr>
              <w:t>;</w:t>
            </w:r>
          </w:p>
          <w:p w14:paraId="5DE36FE5" w14:textId="62BF9C52" w:rsidR="00B13DEC" w:rsidRPr="009A2CEF" w:rsidRDefault="008D0E03" w:rsidP="006B5958">
            <w:pPr>
              <w:widowControl w:val="0"/>
              <w:adjustRightInd w:val="0"/>
              <w:spacing w:before="120" w:after="120" w:line="240" w:lineRule="auto"/>
              <w:ind w:left="9" w:firstLine="594"/>
              <w:jc w:val="both"/>
              <w:textAlignment w:val="baseline"/>
              <w:rPr>
                <w:rFonts w:ascii="Garamond" w:hAnsi="Garamond"/>
                <w:highlight w:val="yellow"/>
              </w:rPr>
            </w:pPr>
            <w:r>
              <w:rPr>
                <w:rFonts w:ascii="Garamond" w:hAnsi="Garamond"/>
                <w:highlight w:val="yellow"/>
              </w:rPr>
              <w:t xml:space="preserve">на </w:t>
            </w:r>
            <w:r w:rsidRPr="00195511">
              <w:rPr>
                <w:rFonts w:ascii="Garamond" w:hAnsi="Garamond"/>
                <w:highlight w:val="yellow"/>
              </w:rPr>
              <w:t xml:space="preserve">ГТП </w:t>
            </w:r>
            <w:r>
              <w:rPr>
                <w:rFonts w:ascii="Garamond" w:hAnsi="Garamond"/>
                <w:highlight w:val="yellow"/>
              </w:rPr>
              <w:t>гарантирующего поставщика</w:t>
            </w:r>
            <w:r w:rsidRPr="00195511">
              <w:rPr>
                <w:rFonts w:ascii="Garamond" w:hAnsi="Garamond"/>
                <w:highlight w:val="yellow"/>
              </w:rPr>
              <w:t xml:space="preserve">, </w:t>
            </w:r>
            <w:r>
              <w:rPr>
                <w:rFonts w:ascii="Garamond" w:hAnsi="Garamond"/>
                <w:highlight w:val="yellow"/>
              </w:rPr>
              <w:t>расположенную</w:t>
            </w:r>
            <w:r w:rsidRPr="00195511">
              <w:rPr>
                <w:rFonts w:ascii="Garamond" w:hAnsi="Garamond"/>
                <w:highlight w:val="yellow"/>
              </w:rPr>
              <w:t xml:space="preserve"> на территории </w:t>
            </w:r>
            <w:r w:rsidR="00B13DEC">
              <w:rPr>
                <w:rFonts w:ascii="Garamond" w:hAnsi="Garamond"/>
                <w:highlight w:val="yellow"/>
              </w:rPr>
              <w:t>субъекта Российской Федерации, определенного решением Наблюдательного совета СР</w:t>
            </w:r>
            <w:r w:rsidR="00B13DEC" w:rsidRPr="009A2CEF">
              <w:rPr>
                <w:rFonts w:ascii="Garamond" w:hAnsi="Garamond"/>
                <w:highlight w:val="yellow"/>
              </w:rPr>
              <w:t>,</w:t>
            </w:r>
            <w:r w:rsidR="009A2CEF" w:rsidRPr="009A2CEF">
              <w:rPr>
                <w:rFonts w:ascii="Garamond" w:hAnsi="Garamond"/>
                <w:highlight w:val="yellow"/>
              </w:rPr>
              <w:t xml:space="preserve"> в котором возможно наступление негативных последствий в результате террористических посягательств</w:t>
            </w:r>
            <w:r w:rsidR="009A2CEF">
              <w:rPr>
                <w:rFonts w:ascii="Garamond" w:hAnsi="Garamond"/>
                <w:highlight w:val="yellow"/>
              </w:rPr>
              <w:t xml:space="preserve"> недружественных государств</w:t>
            </w:r>
            <w:r w:rsidR="009A2CEF" w:rsidRPr="009A2CEF">
              <w:rPr>
                <w:rFonts w:ascii="Garamond" w:hAnsi="Garamond"/>
                <w:highlight w:val="yellow"/>
              </w:rPr>
              <w:t xml:space="preserve"> и</w:t>
            </w:r>
            <w:r w:rsidR="00B13DEC" w:rsidRPr="009A2CEF">
              <w:rPr>
                <w:rFonts w:ascii="Garamond" w:hAnsi="Garamond"/>
                <w:highlight w:val="yellow"/>
              </w:rPr>
              <w:t xml:space="preserve"> к которому относятся </w:t>
            </w:r>
            <w:r w:rsidR="00B13DEC" w:rsidRPr="009A2CEF">
              <w:rPr>
                <w:rFonts w:ascii="Garamond" w:hAnsi="Garamond" w:cs="Calibri"/>
                <w:highlight w:val="yellow"/>
              </w:rPr>
              <w:t>территории</w:t>
            </w:r>
            <w:r w:rsidR="00B13DEC" w:rsidRPr="009A2CEF">
              <w:rPr>
                <w:rFonts w:ascii="Garamond" w:hAnsi="Garamond"/>
                <w:highlight w:val="yellow"/>
              </w:rPr>
              <w:t xml:space="preserve">, перечисленные </w:t>
            </w:r>
            <w:r w:rsidR="00B13DEC">
              <w:rPr>
                <w:rFonts w:ascii="Garamond" w:hAnsi="Garamond"/>
                <w:highlight w:val="yellow"/>
              </w:rPr>
              <w:t xml:space="preserve">в пункте 1.6 </w:t>
            </w:r>
            <w:r w:rsidR="00B13DEC" w:rsidRPr="009E1A41">
              <w:rPr>
                <w:rFonts w:ascii="Garamond" w:hAnsi="Garamond"/>
                <w:i/>
                <w:highlight w:val="yellow"/>
              </w:rPr>
              <w:t>Порядка установления соответствия систем учета электроэнергии техническим требованиям оптового рынка</w:t>
            </w:r>
            <w:r w:rsidR="00B13DEC">
              <w:rPr>
                <w:rFonts w:ascii="Garamond" w:hAnsi="Garamond"/>
                <w:highlight w:val="yellow"/>
              </w:rPr>
              <w:t xml:space="preserve"> (Приложение № 11.3 к </w:t>
            </w:r>
            <w:r w:rsidR="00B13DEC" w:rsidRPr="009E1A41">
              <w:rPr>
                <w:rFonts w:ascii="Garamond" w:hAnsi="Garamond"/>
                <w:i/>
                <w:highlight w:val="yellow"/>
              </w:rPr>
              <w:t>Положению о порядке получения статуса субъекта оптового рынка и ведения реестра субъектов оптового рынка</w:t>
            </w:r>
            <w:r w:rsidR="00B13DEC" w:rsidRPr="009A2CEF">
              <w:rPr>
                <w:rFonts w:ascii="Garamond" w:hAnsi="Garamond"/>
                <w:highlight w:val="yellow"/>
              </w:rPr>
              <w:t>) (далее – Порядок установления соответствия систем учета техническим требованиям);</w:t>
            </w:r>
          </w:p>
          <w:p w14:paraId="0104BFA9" w14:textId="78B4D948" w:rsidR="00E12EED" w:rsidRPr="009A2CEF" w:rsidRDefault="00B13DEC" w:rsidP="006B5958">
            <w:pPr>
              <w:widowControl w:val="0"/>
              <w:adjustRightInd w:val="0"/>
              <w:spacing w:before="120" w:after="120" w:line="240" w:lineRule="auto"/>
              <w:ind w:left="9" w:firstLine="594"/>
              <w:jc w:val="both"/>
              <w:textAlignment w:val="baseline"/>
              <w:rPr>
                <w:rFonts w:ascii="Garamond" w:hAnsi="Garamond"/>
                <w:highlight w:val="yellow"/>
              </w:rPr>
            </w:pPr>
            <w:r w:rsidRPr="009A2CEF">
              <w:rPr>
                <w:rFonts w:ascii="Garamond" w:hAnsi="Garamond"/>
                <w:highlight w:val="yellow"/>
              </w:rPr>
              <w:t xml:space="preserve">на </w:t>
            </w:r>
            <w:r w:rsidR="00C067DC" w:rsidRPr="009A2CEF">
              <w:rPr>
                <w:rFonts w:ascii="Garamond" w:hAnsi="Garamond"/>
                <w:highlight w:val="yellow"/>
              </w:rPr>
              <w:t>ГТП потребления</w:t>
            </w:r>
            <w:r w:rsidR="00E12EED" w:rsidRPr="009A2CEF">
              <w:rPr>
                <w:rFonts w:ascii="Garamond" w:hAnsi="Garamond"/>
                <w:highlight w:val="yellow"/>
              </w:rPr>
              <w:t xml:space="preserve"> иных</w:t>
            </w:r>
            <w:r w:rsidR="00C067DC" w:rsidRPr="009A2CEF">
              <w:rPr>
                <w:rFonts w:ascii="Garamond" w:hAnsi="Garamond"/>
                <w:highlight w:val="yellow"/>
              </w:rPr>
              <w:t xml:space="preserve"> участников оптового рынка, </w:t>
            </w:r>
            <w:r w:rsidR="00E12EED" w:rsidRPr="009A2CEF">
              <w:rPr>
                <w:rFonts w:ascii="Garamond" w:hAnsi="Garamond" w:cs="Calibri"/>
                <w:highlight w:val="yellow"/>
              </w:rPr>
              <w:t xml:space="preserve">в состав которых входят точки поставки (точки измерений), расположенные на </w:t>
            </w:r>
            <w:r w:rsidR="00E12EED" w:rsidRPr="009A2CEF">
              <w:rPr>
                <w:rFonts w:ascii="Garamond" w:hAnsi="Garamond" w:cs="Calibri"/>
                <w:highlight w:val="yellow"/>
              </w:rPr>
              <w:lastRenderedPageBreak/>
              <w:t>территориях</w:t>
            </w:r>
            <w:r w:rsidR="000400B2" w:rsidRPr="009A2CEF">
              <w:rPr>
                <w:rFonts w:ascii="Garamond" w:hAnsi="Garamond"/>
                <w:highlight w:val="yellow"/>
              </w:rPr>
              <w:t xml:space="preserve">, </w:t>
            </w:r>
            <w:r w:rsidR="005122B2" w:rsidRPr="009A2CEF">
              <w:rPr>
                <w:rFonts w:ascii="Garamond" w:hAnsi="Garamond"/>
                <w:highlight w:val="yellow"/>
              </w:rPr>
              <w:t>перечисленных в пункте 1.6 Порядка установления соответствия систем учета техническим требованиям</w:t>
            </w:r>
            <w:r w:rsidR="000400B2" w:rsidRPr="009A2CEF">
              <w:rPr>
                <w:rFonts w:ascii="Garamond" w:hAnsi="Garamond"/>
                <w:highlight w:val="yellow"/>
              </w:rPr>
              <w:t>,</w:t>
            </w:r>
            <w:r w:rsidR="005122B2" w:rsidRPr="009A2CEF">
              <w:rPr>
                <w:rFonts w:ascii="Garamond" w:hAnsi="Garamond"/>
                <w:highlight w:val="yellow"/>
              </w:rPr>
              <w:t xml:space="preserve"> </w:t>
            </w:r>
            <w:r w:rsidR="000400B2" w:rsidRPr="009A2CEF">
              <w:rPr>
                <w:rFonts w:ascii="Garamond" w:hAnsi="Garamond"/>
                <w:highlight w:val="yellow"/>
              </w:rPr>
              <w:t xml:space="preserve">относящихся к </w:t>
            </w:r>
            <w:r w:rsidR="005122B2" w:rsidRPr="009A2CEF">
              <w:rPr>
                <w:rFonts w:ascii="Garamond" w:hAnsi="Garamond"/>
                <w:highlight w:val="yellow"/>
              </w:rPr>
              <w:t>субъект</w:t>
            </w:r>
            <w:r w:rsidR="000400B2" w:rsidRPr="009A2CEF">
              <w:rPr>
                <w:rFonts w:ascii="Garamond" w:hAnsi="Garamond"/>
                <w:highlight w:val="yellow"/>
              </w:rPr>
              <w:t>у</w:t>
            </w:r>
            <w:r w:rsidR="005122B2" w:rsidRPr="009A2CEF">
              <w:rPr>
                <w:rFonts w:ascii="Garamond" w:hAnsi="Garamond"/>
                <w:highlight w:val="yellow"/>
              </w:rPr>
              <w:t xml:space="preserve"> Российской Федерации, </w:t>
            </w:r>
            <w:r w:rsidR="008D0E03" w:rsidRPr="009A2CEF">
              <w:rPr>
                <w:rFonts w:ascii="Garamond" w:hAnsi="Garamond"/>
                <w:highlight w:val="yellow"/>
              </w:rPr>
              <w:t>определяемо</w:t>
            </w:r>
            <w:r w:rsidR="000400B2" w:rsidRPr="009A2CEF">
              <w:rPr>
                <w:rFonts w:ascii="Garamond" w:hAnsi="Garamond"/>
                <w:highlight w:val="yellow"/>
              </w:rPr>
              <w:t>му</w:t>
            </w:r>
            <w:r w:rsidR="008D0E03" w:rsidRPr="009A2CEF">
              <w:rPr>
                <w:rFonts w:ascii="Garamond" w:hAnsi="Garamond"/>
                <w:highlight w:val="yellow"/>
              </w:rPr>
              <w:t xml:space="preserve"> решением Наблюдательного совета СР</w:t>
            </w:r>
            <w:r w:rsidRPr="009A2CEF">
              <w:rPr>
                <w:rFonts w:ascii="Garamond" w:hAnsi="Garamond"/>
                <w:highlight w:val="yellow"/>
              </w:rPr>
              <w:t>,</w:t>
            </w:r>
            <w:r w:rsidR="009A2CEF" w:rsidRPr="009A2CEF">
              <w:rPr>
                <w:rFonts w:ascii="Garamond" w:hAnsi="Garamond"/>
                <w:highlight w:val="yellow"/>
              </w:rPr>
              <w:t xml:space="preserve"> в котором возможно наступление негативных </w:t>
            </w:r>
            <w:r w:rsidR="009A2CEF" w:rsidRPr="00B2382D">
              <w:rPr>
                <w:rFonts w:ascii="Garamond" w:hAnsi="Garamond"/>
                <w:highlight w:val="yellow"/>
              </w:rPr>
              <w:t>последствий в результате террористических посягательств недружественных государств,</w:t>
            </w:r>
            <w:r w:rsidRPr="00B2382D">
              <w:rPr>
                <w:rFonts w:ascii="Garamond" w:hAnsi="Garamond"/>
                <w:highlight w:val="yellow"/>
              </w:rPr>
              <w:t xml:space="preserve"> </w:t>
            </w:r>
            <w:r w:rsidR="008D0E03" w:rsidRPr="00B2382D">
              <w:rPr>
                <w:rFonts w:ascii="Garamond" w:hAnsi="Garamond"/>
                <w:highlight w:val="yellow"/>
              </w:rPr>
              <w:t>при условии представления</w:t>
            </w:r>
            <w:r w:rsidR="00BF5EB0" w:rsidRPr="00B2382D">
              <w:rPr>
                <w:rFonts w:ascii="Garamond" w:hAnsi="Garamond"/>
                <w:highlight w:val="yellow"/>
              </w:rPr>
              <w:t xml:space="preserve"> в срок не позднее чем за 7 (семь) рабочих дней до даты начала применения меры оперативного воздействия</w:t>
            </w:r>
            <w:r w:rsidR="008D0E03" w:rsidRPr="00B2382D">
              <w:rPr>
                <w:rFonts w:ascii="Garamond" w:hAnsi="Garamond"/>
                <w:highlight w:val="yellow"/>
              </w:rPr>
              <w:t xml:space="preserve"> </w:t>
            </w:r>
            <w:r w:rsidRPr="00B2382D">
              <w:rPr>
                <w:rFonts w:ascii="Garamond" w:hAnsi="Garamond"/>
                <w:highlight w:val="yellow"/>
              </w:rPr>
              <w:t xml:space="preserve">такими участниками </w:t>
            </w:r>
            <w:r w:rsidRPr="009A2CEF">
              <w:rPr>
                <w:rFonts w:ascii="Garamond" w:hAnsi="Garamond"/>
                <w:highlight w:val="yellow"/>
              </w:rPr>
              <w:t xml:space="preserve">оптового рынка </w:t>
            </w:r>
            <w:r w:rsidR="008D0E03" w:rsidRPr="009A2CEF">
              <w:rPr>
                <w:rFonts w:ascii="Garamond" w:hAnsi="Garamond"/>
                <w:highlight w:val="yellow"/>
              </w:rPr>
              <w:t xml:space="preserve">в </w:t>
            </w:r>
            <w:r w:rsidR="008D0E03" w:rsidRPr="00B2382D">
              <w:rPr>
                <w:rFonts w:ascii="Garamond" w:hAnsi="Garamond"/>
                <w:highlight w:val="yellow"/>
              </w:rPr>
              <w:t>С</w:t>
            </w:r>
            <w:r w:rsidR="008D0E03" w:rsidRPr="006F66A8">
              <w:rPr>
                <w:rFonts w:ascii="Garamond" w:hAnsi="Garamond"/>
                <w:highlight w:val="yellow"/>
              </w:rPr>
              <w:t>Р</w:t>
            </w:r>
            <w:r w:rsidR="008D0E03" w:rsidRPr="00B2382D">
              <w:rPr>
                <w:rFonts w:ascii="Garamond" w:hAnsi="Garamond"/>
              </w:rPr>
              <w:t xml:space="preserve"> </w:t>
            </w:r>
            <w:r w:rsidR="008D0E03" w:rsidRPr="009A2CEF">
              <w:rPr>
                <w:rFonts w:ascii="Garamond" w:hAnsi="Garamond"/>
                <w:highlight w:val="yellow"/>
              </w:rPr>
              <w:t xml:space="preserve">подтверждения, </w:t>
            </w:r>
            <w:r w:rsidR="00BA1D94" w:rsidRPr="009A2CEF">
              <w:rPr>
                <w:rFonts w:ascii="Garamond" w:hAnsi="Garamond"/>
                <w:highlight w:val="yellow"/>
              </w:rPr>
              <w:t>что точки поставки, входящие в состав такой ГТП потребления, расположены на указанных территориях</w:t>
            </w:r>
            <w:r w:rsidR="005122B2" w:rsidRPr="009A2CEF">
              <w:rPr>
                <w:rFonts w:ascii="Garamond" w:hAnsi="Garamond"/>
                <w:highlight w:val="yellow"/>
              </w:rPr>
              <w:t xml:space="preserve">. </w:t>
            </w:r>
          </w:p>
          <w:p w14:paraId="2E396C7F" w14:textId="77777777" w:rsidR="00D9004B" w:rsidRPr="00D56366" w:rsidRDefault="00D9004B" w:rsidP="006B5958">
            <w:pPr>
              <w:widowControl w:val="0"/>
              <w:spacing w:before="120" w:after="120" w:line="240" w:lineRule="auto"/>
              <w:ind w:left="60" w:firstLine="567"/>
              <w:jc w:val="both"/>
              <w:rPr>
                <w:rFonts w:ascii="Garamond" w:hAnsi="Garamond"/>
              </w:rPr>
            </w:pPr>
            <w:r w:rsidRPr="00195511">
              <w:rPr>
                <w:rFonts w:ascii="Garamond" w:hAnsi="Garamond"/>
              </w:rPr>
              <w:t>В отношении часов расчетного периода, в которых в отношении ГТП потребления Участника оптового рынка была применена мера оперативного воздействия, СР не проводит процедуру контроля отличия величины планового почасового потребления (торгового графика) с учетом нагрузочных потерь Участника по данной его ГТП потребления от величины фактического почасового потребления в указанной ГТП в соответствии с абзацем 1 настоящего пункта</w:t>
            </w:r>
            <w:r w:rsidR="00D76031">
              <w:rPr>
                <w:rFonts w:ascii="Garamond" w:hAnsi="Garamond"/>
              </w:rPr>
              <w:t>.</w:t>
            </w:r>
          </w:p>
        </w:tc>
      </w:tr>
    </w:tbl>
    <w:p w14:paraId="7013D5A3" w14:textId="77777777" w:rsidR="00513E83" w:rsidRDefault="00513E83" w:rsidP="00225A4C">
      <w:pPr>
        <w:spacing w:after="0" w:line="240" w:lineRule="auto"/>
        <w:rPr>
          <w:rFonts w:ascii="Garamond" w:eastAsia="Batang" w:hAnsi="Garamond"/>
          <w:b/>
          <w:sz w:val="26"/>
          <w:szCs w:val="26"/>
        </w:rPr>
      </w:pPr>
    </w:p>
    <w:p w14:paraId="522EB309" w14:textId="77777777" w:rsidR="00337FA4" w:rsidRDefault="00337FA4">
      <w:pPr>
        <w:rPr>
          <w:rFonts w:ascii="Garamond" w:hAnsi="Garamond"/>
          <w:b/>
          <w:sz w:val="28"/>
          <w:szCs w:val="28"/>
        </w:rPr>
      </w:pPr>
      <w:r>
        <w:rPr>
          <w:rFonts w:ascii="Garamond" w:hAnsi="Garamond"/>
          <w:b/>
          <w:sz w:val="28"/>
          <w:szCs w:val="28"/>
        </w:rPr>
        <w:br w:type="page"/>
      </w:r>
    </w:p>
    <w:p w14:paraId="1DF6B995" w14:textId="7E8512C9" w:rsidR="00F7120C" w:rsidRPr="00F7120C" w:rsidRDefault="00F7120C" w:rsidP="00F7120C">
      <w:pPr>
        <w:widowControl w:val="0"/>
        <w:spacing w:after="0" w:line="240" w:lineRule="auto"/>
        <w:jc w:val="right"/>
        <w:rPr>
          <w:rFonts w:ascii="Garamond" w:hAnsi="Garamond"/>
          <w:b/>
          <w:sz w:val="28"/>
          <w:szCs w:val="28"/>
        </w:rPr>
      </w:pPr>
      <w:r>
        <w:rPr>
          <w:rFonts w:ascii="Garamond" w:hAnsi="Garamond"/>
          <w:b/>
          <w:sz w:val="28"/>
          <w:szCs w:val="28"/>
        </w:rPr>
        <w:lastRenderedPageBreak/>
        <w:t>Приложение № 8.4.3</w:t>
      </w:r>
    </w:p>
    <w:p w14:paraId="1163D6E7" w14:textId="77777777" w:rsidR="00D76031" w:rsidRPr="00C13274" w:rsidRDefault="00D76031" w:rsidP="00D76031">
      <w:pPr>
        <w:spacing w:after="0" w:line="240" w:lineRule="auto"/>
        <w:jc w:val="right"/>
        <w:rPr>
          <w:rFonts w:ascii="Garamond" w:eastAsia="Batang" w:hAnsi="Garamond"/>
          <w:b/>
          <w:sz w:val="26"/>
          <w:szCs w:val="26"/>
        </w:rPr>
      </w:pPr>
    </w:p>
    <w:p w14:paraId="3E380E1F" w14:textId="77777777" w:rsidR="00D76031" w:rsidRPr="00D76031" w:rsidRDefault="00D76031" w:rsidP="001E0297">
      <w:pPr>
        <w:pBdr>
          <w:top w:val="single" w:sz="4" w:space="1" w:color="auto"/>
          <w:left w:val="single" w:sz="4" w:space="4" w:color="auto"/>
          <w:bottom w:val="single" w:sz="4" w:space="1" w:color="auto"/>
          <w:right w:val="single" w:sz="4" w:space="0" w:color="auto"/>
        </w:pBdr>
        <w:spacing w:after="0"/>
        <w:jc w:val="both"/>
        <w:rPr>
          <w:rFonts w:ascii="Garamond" w:hAnsi="Garamond"/>
          <w:sz w:val="24"/>
          <w:szCs w:val="24"/>
        </w:rPr>
      </w:pPr>
      <w:r w:rsidRPr="00D76031">
        <w:rPr>
          <w:rFonts w:ascii="Garamond" w:hAnsi="Garamond"/>
          <w:b/>
          <w:sz w:val="24"/>
          <w:szCs w:val="24"/>
        </w:rPr>
        <w:t xml:space="preserve">Обоснование: </w:t>
      </w:r>
      <w:r>
        <w:rPr>
          <w:rFonts w:ascii="Garamond" w:hAnsi="Garamond"/>
          <w:sz w:val="24"/>
          <w:szCs w:val="24"/>
        </w:rPr>
        <w:t xml:space="preserve">предлагается внести изменения в </w:t>
      </w:r>
      <w:r w:rsidRPr="00D76031">
        <w:rPr>
          <w:rFonts w:ascii="Garamond" w:hAnsi="Garamond" w:cs="Garamond"/>
          <w:bCs/>
          <w:sz w:val="24"/>
          <w:szCs w:val="24"/>
        </w:rPr>
        <w:t>Регламент финансовых расчетов на оптовом рынке электроэнергии (Приложение № 16 к Договору о присоединении к торговой системе оптового рынка</w:t>
      </w:r>
      <w:r>
        <w:rPr>
          <w:rFonts w:ascii="Garamond" w:hAnsi="Garamond" w:cs="Garamond"/>
          <w:bCs/>
          <w:sz w:val="24"/>
          <w:szCs w:val="24"/>
        </w:rPr>
        <w:t>)</w:t>
      </w:r>
      <w:r w:rsidRPr="00D76031">
        <w:rPr>
          <w:rFonts w:ascii="Garamond" w:hAnsi="Garamond"/>
          <w:sz w:val="24"/>
          <w:szCs w:val="24"/>
        </w:rPr>
        <w:t xml:space="preserve"> в связи с введением в отдельных субъектах Российской Федерации правового режима контртеррористической операции и режима чрезвычайной </w:t>
      </w:r>
      <w:r>
        <w:rPr>
          <w:rFonts w:ascii="Garamond" w:hAnsi="Garamond"/>
          <w:sz w:val="24"/>
          <w:szCs w:val="24"/>
        </w:rPr>
        <w:t>ситуации федерального характера.</w:t>
      </w:r>
    </w:p>
    <w:p w14:paraId="07828991" w14:textId="4C2AFDB1" w:rsidR="00D76031" w:rsidRPr="00D76031" w:rsidRDefault="00D76031" w:rsidP="001E0297">
      <w:pPr>
        <w:pBdr>
          <w:top w:val="single" w:sz="4" w:space="1" w:color="auto"/>
          <w:left w:val="single" w:sz="4" w:space="4" w:color="auto"/>
          <w:bottom w:val="single" w:sz="4" w:space="1" w:color="auto"/>
          <w:right w:val="single" w:sz="4" w:space="0" w:color="auto"/>
        </w:pBdr>
        <w:spacing w:after="0"/>
        <w:jc w:val="both"/>
        <w:rPr>
          <w:rFonts w:ascii="Garamond" w:hAnsi="Garamond" w:cs="Garamond"/>
          <w:bCs/>
          <w:sz w:val="24"/>
          <w:szCs w:val="24"/>
        </w:rPr>
      </w:pPr>
      <w:r w:rsidRPr="00D76031">
        <w:rPr>
          <w:rFonts w:ascii="Garamond" w:hAnsi="Garamond" w:cs="Garamond"/>
          <w:b/>
          <w:bCs/>
          <w:sz w:val="24"/>
          <w:szCs w:val="24"/>
        </w:rPr>
        <w:t xml:space="preserve">Дата вступления в силу: </w:t>
      </w:r>
      <w:r w:rsidRPr="00D76031">
        <w:rPr>
          <w:rFonts w:ascii="Garamond" w:hAnsi="Garamond" w:cs="Garamond"/>
          <w:bCs/>
          <w:sz w:val="24"/>
          <w:szCs w:val="24"/>
        </w:rPr>
        <w:t xml:space="preserve">с </w:t>
      </w:r>
      <w:r w:rsidR="00002176">
        <w:rPr>
          <w:rFonts w:ascii="Garamond" w:hAnsi="Garamond" w:cs="Garamond"/>
          <w:bCs/>
          <w:sz w:val="24"/>
          <w:szCs w:val="24"/>
        </w:rPr>
        <w:t>24 сентября 2024 года и</w:t>
      </w:r>
      <w:r w:rsidRPr="00B2382D">
        <w:rPr>
          <w:rFonts w:ascii="Garamond" w:hAnsi="Garamond" w:cs="Garamond"/>
          <w:bCs/>
          <w:sz w:val="24"/>
          <w:szCs w:val="24"/>
        </w:rPr>
        <w:t xml:space="preserve"> распространяют</w:t>
      </w:r>
      <w:r w:rsidR="00002176">
        <w:rPr>
          <w:rFonts w:ascii="Garamond" w:hAnsi="Garamond" w:cs="Garamond"/>
          <w:bCs/>
          <w:sz w:val="24"/>
          <w:szCs w:val="24"/>
        </w:rPr>
        <w:t xml:space="preserve"> свое действие </w:t>
      </w:r>
      <w:r w:rsidRPr="00B2382D">
        <w:rPr>
          <w:rFonts w:ascii="Garamond" w:hAnsi="Garamond" w:cs="Garamond"/>
          <w:bCs/>
          <w:sz w:val="24"/>
          <w:szCs w:val="24"/>
        </w:rPr>
        <w:t>на отношения</w:t>
      </w:r>
      <w:r w:rsidR="002919D2" w:rsidRPr="00B2382D">
        <w:rPr>
          <w:rFonts w:ascii="Garamond" w:hAnsi="Garamond" w:cs="Garamond"/>
          <w:bCs/>
          <w:sz w:val="24"/>
          <w:szCs w:val="24"/>
        </w:rPr>
        <w:t xml:space="preserve"> сторон по Договору о присоединении</w:t>
      </w:r>
      <w:r w:rsidR="00002176">
        <w:rPr>
          <w:rFonts w:ascii="Garamond" w:hAnsi="Garamond" w:cs="Garamond"/>
          <w:bCs/>
          <w:sz w:val="24"/>
          <w:szCs w:val="24"/>
        </w:rPr>
        <w:t xml:space="preserve"> к торговой системе оптового рынка</w:t>
      </w:r>
      <w:r w:rsidRPr="00B2382D">
        <w:rPr>
          <w:rFonts w:ascii="Garamond" w:hAnsi="Garamond" w:cs="Garamond"/>
          <w:bCs/>
          <w:sz w:val="24"/>
          <w:szCs w:val="24"/>
        </w:rPr>
        <w:t xml:space="preserve">, возникшие </w:t>
      </w:r>
      <w:r w:rsidR="00002176">
        <w:rPr>
          <w:rFonts w:ascii="Garamond" w:hAnsi="Garamond" w:cs="Garamond"/>
          <w:bCs/>
          <w:sz w:val="24"/>
          <w:szCs w:val="24"/>
        </w:rPr>
        <w:t xml:space="preserve">с 1 сентября </w:t>
      </w:r>
      <w:r w:rsidRPr="00B2382D">
        <w:rPr>
          <w:rFonts w:ascii="Garamond" w:hAnsi="Garamond" w:cs="Garamond"/>
          <w:bCs/>
          <w:sz w:val="24"/>
          <w:szCs w:val="24"/>
        </w:rPr>
        <w:t xml:space="preserve">2024 </w:t>
      </w:r>
      <w:r w:rsidR="00002176">
        <w:rPr>
          <w:rFonts w:ascii="Garamond" w:hAnsi="Garamond" w:cs="Garamond"/>
          <w:bCs/>
          <w:sz w:val="24"/>
          <w:szCs w:val="24"/>
        </w:rPr>
        <w:t xml:space="preserve">года, </w:t>
      </w:r>
      <w:r w:rsidRPr="00B2382D">
        <w:rPr>
          <w:rFonts w:ascii="Garamond" w:hAnsi="Garamond" w:cs="Garamond"/>
          <w:bCs/>
          <w:sz w:val="24"/>
          <w:szCs w:val="24"/>
        </w:rPr>
        <w:t xml:space="preserve">и действуют </w:t>
      </w:r>
      <w:r w:rsidR="00C13274" w:rsidRPr="00B2382D">
        <w:rPr>
          <w:rFonts w:ascii="Garamond" w:hAnsi="Garamond" w:cs="Garamond"/>
          <w:bCs/>
          <w:sz w:val="24"/>
          <w:szCs w:val="24"/>
        </w:rPr>
        <w:t>п</w:t>
      </w:r>
      <w:r w:rsidRPr="00B2382D">
        <w:rPr>
          <w:rFonts w:ascii="Garamond" w:hAnsi="Garamond" w:cs="Garamond"/>
          <w:bCs/>
          <w:sz w:val="24"/>
          <w:szCs w:val="24"/>
        </w:rPr>
        <w:t xml:space="preserve">о </w:t>
      </w:r>
      <w:r w:rsidR="00002176">
        <w:rPr>
          <w:rFonts w:ascii="Garamond" w:hAnsi="Garamond" w:cs="Garamond"/>
          <w:bCs/>
          <w:sz w:val="24"/>
          <w:szCs w:val="24"/>
        </w:rPr>
        <w:t xml:space="preserve">9 января </w:t>
      </w:r>
      <w:r w:rsidR="00872516" w:rsidRPr="00B2382D">
        <w:rPr>
          <w:rFonts w:ascii="Garamond" w:hAnsi="Garamond" w:cs="Garamond"/>
          <w:bCs/>
          <w:sz w:val="24"/>
          <w:szCs w:val="24"/>
        </w:rPr>
        <w:t>2025</w:t>
      </w:r>
      <w:r w:rsidRPr="00B2382D">
        <w:rPr>
          <w:rFonts w:ascii="Garamond" w:hAnsi="Garamond" w:cs="Garamond"/>
          <w:bCs/>
          <w:sz w:val="24"/>
          <w:szCs w:val="24"/>
        </w:rPr>
        <w:t xml:space="preserve"> </w:t>
      </w:r>
      <w:r w:rsidR="00002176">
        <w:rPr>
          <w:rFonts w:ascii="Garamond" w:hAnsi="Garamond" w:cs="Garamond"/>
          <w:bCs/>
          <w:sz w:val="24"/>
          <w:szCs w:val="24"/>
        </w:rPr>
        <w:t xml:space="preserve">года </w:t>
      </w:r>
      <w:r w:rsidRPr="00B2382D">
        <w:rPr>
          <w:rFonts w:ascii="Garamond" w:hAnsi="Garamond" w:cs="Garamond"/>
          <w:bCs/>
          <w:sz w:val="24"/>
          <w:szCs w:val="24"/>
        </w:rPr>
        <w:t>(включительно).</w:t>
      </w:r>
    </w:p>
    <w:p w14:paraId="35E42C09" w14:textId="77777777" w:rsidR="00D76031" w:rsidRDefault="00D76031" w:rsidP="00DE5088">
      <w:pPr>
        <w:spacing w:after="0" w:line="240" w:lineRule="auto"/>
        <w:jc w:val="both"/>
        <w:rPr>
          <w:rFonts w:ascii="Garamond" w:eastAsia="Batang" w:hAnsi="Garamond"/>
          <w:b/>
          <w:sz w:val="26"/>
          <w:szCs w:val="26"/>
        </w:rPr>
      </w:pPr>
    </w:p>
    <w:p w14:paraId="0D7A1D21" w14:textId="77777777" w:rsidR="000858D3" w:rsidRPr="000858D3" w:rsidRDefault="000858D3" w:rsidP="004A25C5">
      <w:pPr>
        <w:spacing w:after="0" w:line="240" w:lineRule="auto"/>
        <w:rPr>
          <w:rFonts w:ascii="Garamond" w:hAnsi="Garamond"/>
          <w:b/>
          <w:sz w:val="26"/>
          <w:szCs w:val="26"/>
        </w:rPr>
      </w:pPr>
      <w:r w:rsidRPr="000858D3">
        <w:rPr>
          <w:rFonts w:ascii="Garamond" w:eastAsia="Batang" w:hAnsi="Garamond"/>
          <w:b/>
          <w:sz w:val="26"/>
          <w:szCs w:val="26"/>
        </w:rPr>
        <w:t xml:space="preserve">Предложения по изменениям и дополнениям в </w:t>
      </w:r>
      <w:r w:rsidRPr="000858D3">
        <w:rPr>
          <w:rFonts w:ascii="Garamond" w:hAnsi="Garamond"/>
          <w:b/>
          <w:caps/>
          <w:sz w:val="26"/>
          <w:szCs w:val="26"/>
        </w:rPr>
        <w:t>Регламент финансовых расчетов на оптовом рынке электроэнергии</w:t>
      </w:r>
      <w:r w:rsidRPr="000858D3">
        <w:rPr>
          <w:rFonts w:ascii="Garamond" w:hAnsi="Garamond"/>
          <w:b/>
          <w:sz w:val="26"/>
          <w:szCs w:val="26"/>
        </w:rPr>
        <w:t xml:space="preserve"> (</w:t>
      </w:r>
      <w:r w:rsidRPr="000858D3">
        <w:rPr>
          <w:rFonts w:ascii="Garamond" w:hAnsi="Garamond"/>
          <w:b/>
          <w:bCs/>
          <w:sz w:val="26"/>
          <w:szCs w:val="26"/>
        </w:rPr>
        <w:t>Приложение № 16 к</w:t>
      </w:r>
      <w:r w:rsidRPr="000858D3">
        <w:rPr>
          <w:rFonts w:ascii="Garamond" w:hAnsi="Garamond"/>
          <w:b/>
          <w:bCs/>
          <w:i/>
          <w:sz w:val="26"/>
          <w:szCs w:val="26"/>
        </w:rPr>
        <w:t xml:space="preserve"> </w:t>
      </w:r>
      <w:r w:rsidRPr="000858D3">
        <w:rPr>
          <w:rFonts w:ascii="Garamond" w:hAnsi="Garamond"/>
          <w:b/>
          <w:bCs/>
          <w:sz w:val="26"/>
          <w:szCs w:val="26"/>
        </w:rPr>
        <w:t>Д</w:t>
      </w:r>
      <w:r w:rsidRPr="000858D3">
        <w:rPr>
          <w:rFonts w:ascii="Garamond" w:hAnsi="Garamond"/>
          <w:b/>
          <w:sz w:val="26"/>
          <w:szCs w:val="26"/>
        </w:rPr>
        <w:t xml:space="preserve">оговору о присоединении к торговой системе оптового рынка) </w:t>
      </w:r>
    </w:p>
    <w:p w14:paraId="20BC35E2" w14:textId="77777777" w:rsidR="000858D3" w:rsidRPr="000858D3" w:rsidRDefault="000858D3" w:rsidP="000858D3">
      <w:pPr>
        <w:spacing w:after="0" w:line="240" w:lineRule="auto"/>
        <w:rPr>
          <w:rFonts w:ascii="Garamond" w:hAnsi="Garamond"/>
          <w:b/>
          <w:sz w:val="26"/>
          <w:szCs w:val="26"/>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6520"/>
        <w:gridCol w:w="7088"/>
      </w:tblGrid>
      <w:tr w:rsidR="000858D3" w:rsidRPr="000858D3" w14:paraId="6D46958D" w14:textId="77777777" w:rsidTr="004A25C5">
        <w:trPr>
          <w:trHeight w:val="435"/>
        </w:trPr>
        <w:tc>
          <w:tcPr>
            <w:tcW w:w="1135" w:type="dxa"/>
            <w:vAlign w:val="center"/>
          </w:tcPr>
          <w:p w14:paraId="6F6BF019" w14:textId="77777777" w:rsidR="000858D3" w:rsidRPr="000858D3" w:rsidRDefault="000858D3" w:rsidP="000858D3">
            <w:pPr>
              <w:widowControl w:val="0"/>
              <w:spacing w:after="0" w:line="240" w:lineRule="auto"/>
              <w:jc w:val="center"/>
              <w:rPr>
                <w:rFonts w:ascii="Garamond" w:hAnsi="Garamond"/>
                <w:b/>
              </w:rPr>
            </w:pPr>
            <w:r w:rsidRPr="000858D3">
              <w:rPr>
                <w:rFonts w:ascii="Garamond" w:hAnsi="Garamond"/>
                <w:b/>
              </w:rPr>
              <w:t>№</w:t>
            </w:r>
          </w:p>
          <w:p w14:paraId="1AE6D67C" w14:textId="77777777" w:rsidR="000858D3" w:rsidRPr="000858D3" w:rsidRDefault="000858D3" w:rsidP="000858D3">
            <w:pPr>
              <w:spacing w:after="0" w:line="240" w:lineRule="auto"/>
              <w:jc w:val="center"/>
              <w:rPr>
                <w:rFonts w:ascii="Garamond" w:hAnsi="Garamond"/>
                <w:b/>
              </w:rPr>
            </w:pPr>
            <w:r w:rsidRPr="000858D3">
              <w:rPr>
                <w:rFonts w:ascii="Garamond" w:hAnsi="Garamond"/>
                <w:b/>
              </w:rPr>
              <w:t>пункта</w:t>
            </w:r>
          </w:p>
        </w:tc>
        <w:tc>
          <w:tcPr>
            <w:tcW w:w="6520" w:type="dxa"/>
            <w:vAlign w:val="center"/>
          </w:tcPr>
          <w:p w14:paraId="24BF2000" w14:textId="77777777" w:rsidR="000858D3" w:rsidRPr="000858D3" w:rsidRDefault="000858D3" w:rsidP="000858D3">
            <w:pPr>
              <w:widowControl w:val="0"/>
              <w:spacing w:after="0" w:line="240" w:lineRule="auto"/>
              <w:jc w:val="center"/>
              <w:rPr>
                <w:rFonts w:ascii="Garamond" w:hAnsi="Garamond"/>
                <w:b/>
                <w:bCs/>
              </w:rPr>
            </w:pPr>
            <w:r w:rsidRPr="000858D3">
              <w:rPr>
                <w:rFonts w:ascii="Garamond" w:hAnsi="Garamond"/>
                <w:b/>
                <w:bCs/>
              </w:rPr>
              <w:t>Редакция, действующая на момент</w:t>
            </w:r>
          </w:p>
          <w:p w14:paraId="533B6861" w14:textId="77777777" w:rsidR="000858D3" w:rsidRPr="000858D3" w:rsidRDefault="000858D3" w:rsidP="000858D3">
            <w:pPr>
              <w:spacing w:after="0" w:line="240" w:lineRule="auto"/>
              <w:jc w:val="center"/>
              <w:rPr>
                <w:rFonts w:ascii="Garamond" w:hAnsi="Garamond" w:cs="Garamond"/>
                <w:b/>
                <w:bCs/>
              </w:rPr>
            </w:pPr>
            <w:r w:rsidRPr="000858D3">
              <w:rPr>
                <w:rFonts w:ascii="Garamond" w:hAnsi="Garamond"/>
                <w:b/>
                <w:bCs/>
              </w:rPr>
              <w:t>вступления в силу изменений</w:t>
            </w:r>
          </w:p>
        </w:tc>
        <w:tc>
          <w:tcPr>
            <w:tcW w:w="7088" w:type="dxa"/>
            <w:vAlign w:val="center"/>
          </w:tcPr>
          <w:p w14:paraId="29203CE9" w14:textId="77777777" w:rsidR="000858D3" w:rsidRPr="000858D3" w:rsidRDefault="000858D3" w:rsidP="000858D3">
            <w:pPr>
              <w:widowControl w:val="0"/>
              <w:spacing w:after="0" w:line="240" w:lineRule="auto"/>
              <w:jc w:val="center"/>
              <w:rPr>
                <w:rFonts w:ascii="Garamond" w:hAnsi="Garamond"/>
                <w:b/>
              </w:rPr>
            </w:pPr>
            <w:r w:rsidRPr="000858D3">
              <w:rPr>
                <w:rFonts w:ascii="Garamond" w:hAnsi="Garamond"/>
                <w:b/>
              </w:rPr>
              <w:t>Предлагаемая редакция</w:t>
            </w:r>
          </w:p>
          <w:p w14:paraId="54CD9128" w14:textId="77777777" w:rsidR="000858D3" w:rsidRPr="000858D3" w:rsidRDefault="000858D3" w:rsidP="000858D3">
            <w:pPr>
              <w:spacing w:after="0" w:line="240" w:lineRule="auto"/>
              <w:jc w:val="center"/>
              <w:rPr>
                <w:rFonts w:ascii="Garamond" w:hAnsi="Garamond" w:cs="Garamond"/>
                <w:b/>
                <w:bCs/>
              </w:rPr>
            </w:pPr>
            <w:r w:rsidRPr="000858D3">
              <w:rPr>
                <w:rFonts w:ascii="Garamond" w:hAnsi="Garamond"/>
              </w:rPr>
              <w:t>(изменения выделены цветом)</w:t>
            </w:r>
          </w:p>
        </w:tc>
      </w:tr>
      <w:tr w:rsidR="000858D3" w:rsidRPr="000858D3" w14:paraId="09320EA1" w14:textId="77777777" w:rsidTr="004A25C5">
        <w:trPr>
          <w:trHeight w:val="435"/>
        </w:trPr>
        <w:tc>
          <w:tcPr>
            <w:tcW w:w="1135" w:type="dxa"/>
            <w:vAlign w:val="center"/>
          </w:tcPr>
          <w:p w14:paraId="47E44340" w14:textId="77777777" w:rsidR="000858D3" w:rsidRPr="000858D3" w:rsidRDefault="000858D3" w:rsidP="000858D3">
            <w:pPr>
              <w:spacing w:after="0"/>
              <w:jc w:val="center"/>
              <w:rPr>
                <w:rFonts w:ascii="Garamond" w:hAnsi="Garamond"/>
                <w:b/>
              </w:rPr>
            </w:pPr>
            <w:r w:rsidRPr="000858D3">
              <w:rPr>
                <w:rFonts w:ascii="Garamond" w:hAnsi="Garamond"/>
                <w:b/>
              </w:rPr>
              <w:t>12.5</w:t>
            </w:r>
          </w:p>
        </w:tc>
        <w:tc>
          <w:tcPr>
            <w:tcW w:w="6520" w:type="dxa"/>
          </w:tcPr>
          <w:p w14:paraId="1AF4C000" w14:textId="77777777" w:rsidR="00246CD4" w:rsidRPr="00246CD4" w:rsidRDefault="00246CD4" w:rsidP="00F63AD8">
            <w:pPr>
              <w:widowControl w:val="0"/>
              <w:spacing w:before="120" w:after="120" w:line="240" w:lineRule="auto"/>
              <w:ind w:firstLine="454"/>
              <w:jc w:val="both"/>
              <w:rPr>
                <w:rFonts w:ascii="Garamond" w:hAnsi="Garamond" w:cs="Garamond"/>
                <w:b/>
                <w:bCs/>
                <w:sz w:val="4"/>
              </w:rPr>
            </w:pPr>
          </w:p>
          <w:p w14:paraId="5A155F51" w14:textId="4942A15E" w:rsidR="00B1767C" w:rsidRPr="00B1767C" w:rsidRDefault="00B1767C" w:rsidP="00B1767C">
            <w:pPr>
              <w:pStyle w:val="a5"/>
              <w:ind w:firstLine="540"/>
              <w:rPr>
                <w:rFonts w:ascii="Garamond" w:hAnsi="Garamond"/>
                <w:lang w:val="ru-RU"/>
              </w:rPr>
            </w:pPr>
            <w:r w:rsidRPr="00B1767C">
              <w:rPr>
                <w:rFonts w:ascii="Garamond" w:hAnsi="Garamond"/>
                <w:lang w:val="ru-RU"/>
              </w:rPr>
              <w:t>…</w:t>
            </w:r>
          </w:p>
          <w:p w14:paraId="2728A786" w14:textId="2DDEDEC8" w:rsidR="00B1767C" w:rsidRPr="00B1767C" w:rsidRDefault="00B1767C" w:rsidP="00B1767C">
            <w:pPr>
              <w:pStyle w:val="a5"/>
              <w:ind w:firstLine="540"/>
              <w:rPr>
                <w:rFonts w:ascii="Garamond" w:hAnsi="Garamond"/>
                <w:szCs w:val="22"/>
                <w:lang w:val="ru-RU"/>
              </w:rPr>
            </w:pPr>
            <w:r w:rsidRPr="00B1767C">
              <w:rPr>
                <w:rFonts w:ascii="Garamond" w:hAnsi="Garamond"/>
                <w:lang w:val="ru-RU"/>
              </w:rPr>
              <w:t xml:space="preserve">17) ЦФР и КО осуществляют </w:t>
            </w:r>
            <w:r w:rsidRPr="00B1767C">
              <w:rPr>
                <w:rFonts w:ascii="Garamond" w:hAnsi="Garamond"/>
                <w:spacing w:val="1"/>
                <w:lang w:val="ru-RU"/>
              </w:rPr>
              <w:t xml:space="preserve">расчет неустойки (пени) за нарушение сроков исполнения </w:t>
            </w:r>
            <w:r w:rsidRPr="00B1767C">
              <w:rPr>
                <w:rFonts w:ascii="Garamond" w:hAnsi="Garamond"/>
                <w:lang w:val="ru-RU"/>
              </w:rPr>
              <w:t>обязательств в отношении единого закупщика на территории новых субъектов Российской Федерации в соответствии с п. 12.5.6 настоящего Регламента.</w:t>
            </w:r>
          </w:p>
          <w:p w14:paraId="3A7679FF" w14:textId="335AA7E2" w:rsidR="008B4821" w:rsidRDefault="00B1767C" w:rsidP="00B1767C">
            <w:pPr>
              <w:widowControl w:val="0"/>
              <w:spacing w:before="120" w:after="120" w:line="240" w:lineRule="auto"/>
              <w:ind w:firstLine="454"/>
              <w:jc w:val="both"/>
              <w:rPr>
                <w:rFonts w:ascii="Garamond" w:hAnsi="Garamond"/>
              </w:rPr>
            </w:pPr>
            <w:r w:rsidRPr="00B1767C">
              <w:rPr>
                <w:rFonts w:ascii="Garamond" w:hAnsi="Garamond"/>
              </w:rPr>
              <w:t xml:space="preserve">В случае если неустойка (пени), рассчитанная после даты, </w:t>
            </w:r>
            <w:r w:rsidRPr="00B1767C">
              <w:rPr>
                <w:rFonts w:ascii="Garamond" w:hAnsi="Garamond"/>
                <w:spacing w:val="1"/>
              </w:rPr>
              <w:t>в которую ЦФР должен прекратить расчет неустойки (пени) в соответствии с настоящим разделом</w:t>
            </w:r>
            <w:r w:rsidRPr="00B1767C">
              <w:rPr>
                <w:rFonts w:ascii="Garamond" w:hAnsi="Garamond"/>
              </w:rPr>
              <w:t>, оплачена полностью или частично, урегулирование вопросов, связанных с произведенной оплатой неустойки (пени), производится участниками оптового рынка – продавцом и покупателем в двустороннем порядке без участия ЦФР.</w:t>
            </w:r>
          </w:p>
          <w:p w14:paraId="37E74CEA" w14:textId="5B742FB0" w:rsidR="00B1767C" w:rsidRPr="00B1767C" w:rsidRDefault="00B1767C" w:rsidP="00B1767C">
            <w:pPr>
              <w:widowControl w:val="0"/>
              <w:spacing w:before="120" w:after="120" w:line="240" w:lineRule="auto"/>
              <w:ind w:firstLine="454"/>
              <w:jc w:val="both"/>
              <w:rPr>
                <w:rFonts w:ascii="Garamond" w:hAnsi="Garamond" w:cs="Garamond"/>
                <w:b/>
                <w:bCs/>
              </w:rPr>
            </w:pPr>
            <w:r>
              <w:rPr>
                <w:rFonts w:ascii="Garamond" w:hAnsi="Garamond"/>
              </w:rPr>
              <w:t>…</w:t>
            </w:r>
          </w:p>
          <w:p w14:paraId="6E32F5BD" w14:textId="77777777" w:rsidR="00B86F37" w:rsidRPr="00B86F37" w:rsidRDefault="00B86F37" w:rsidP="00F63AD8">
            <w:pPr>
              <w:widowControl w:val="0"/>
              <w:spacing w:before="120" w:after="120" w:line="240" w:lineRule="auto"/>
              <w:ind w:firstLine="454"/>
              <w:jc w:val="both"/>
              <w:rPr>
                <w:rFonts w:ascii="Garamond" w:hAnsi="Garamond" w:cs="Garamond"/>
                <w:bCs/>
              </w:rPr>
            </w:pPr>
          </w:p>
        </w:tc>
        <w:tc>
          <w:tcPr>
            <w:tcW w:w="7088" w:type="dxa"/>
            <w:vAlign w:val="center"/>
          </w:tcPr>
          <w:p w14:paraId="78623B98" w14:textId="77777777" w:rsidR="00B1767C" w:rsidRPr="00B1767C" w:rsidRDefault="00B1767C" w:rsidP="00B1767C">
            <w:pPr>
              <w:pStyle w:val="a5"/>
              <w:ind w:firstLine="540"/>
              <w:rPr>
                <w:rFonts w:ascii="Garamond" w:hAnsi="Garamond"/>
                <w:lang w:val="ru-RU"/>
              </w:rPr>
            </w:pPr>
            <w:r w:rsidRPr="00B1767C">
              <w:rPr>
                <w:rFonts w:ascii="Garamond" w:hAnsi="Garamond"/>
                <w:lang w:val="ru-RU"/>
              </w:rPr>
              <w:t>…</w:t>
            </w:r>
          </w:p>
          <w:p w14:paraId="1E9B6D7A" w14:textId="6B953718" w:rsidR="00B1767C" w:rsidRDefault="00B1767C" w:rsidP="00B1767C">
            <w:pPr>
              <w:widowControl w:val="0"/>
              <w:spacing w:before="120" w:after="120" w:line="240" w:lineRule="auto"/>
              <w:ind w:firstLine="571"/>
              <w:jc w:val="both"/>
              <w:rPr>
                <w:rFonts w:ascii="Garamond" w:eastAsia="Times New Roman" w:hAnsi="Garamond"/>
                <w:lang w:eastAsia="ru-RU"/>
              </w:rPr>
            </w:pPr>
            <w:r w:rsidRPr="00B1767C">
              <w:rPr>
                <w:rFonts w:ascii="Garamond" w:hAnsi="Garamond"/>
              </w:rPr>
              <w:t xml:space="preserve">17) ЦФР и КО осуществляют </w:t>
            </w:r>
            <w:r w:rsidRPr="00B1767C">
              <w:rPr>
                <w:rFonts w:ascii="Garamond" w:hAnsi="Garamond"/>
                <w:spacing w:val="1"/>
              </w:rPr>
              <w:t xml:space="preserve">расчет неустойки (пени) за нарушение сроков исполнения </w:t>
            </w:r>
            <w:r w:rsidRPr="00B1767C">
              <w:rPr>
                <w:rFonts w:ascii="Garamond" w:hAnsi="Garamond"/>
              </w:rPr>
              <w:t>обязательств в отношении единого закупщика на территории новых субъектов Российской Федерации в соответствии с п. 12.5.6 настоящего Регламента.</w:t>
            </w:r>
          </w:p>
          <w:p w14:paraId="6E1B8748" w14:textId="2B66139F" w:rsidR="00BF5EB0" w:rsidRPr="00B1767C" w:rsidRDefault="00702ABA" w:rsidP="00F63AD8">
            <w:pPr>
              <w:widowControl w:val="0"/>
              <w:spacing w:before="120" w:after="120" w:line="240" w:lineRule="auto"/>
              <w:ind w:firstLine="571"/>
              <w:jc w:val="both"/>
              <w:rPr>
                <w:rFonts w:ascii="Garamond" w:eastAsia="Times New Roman" w:hAnsi="Garamond"/>
                <w:highlight w:val="yellow"/>
                <w:lang w:eastAsia="ru-RU"/>
              </w:rPr>
            </w:pPr>
            <w:r w:rsidRPr="00B1767C">
              <w:rPr>
                <w:rFonts w:ascii="Garamond" w:eastAsia="Times New Roman" w:hAnsi="Garamond"/>
                <w:highlight w:val="yellow"/>
                <w:lang w:eastAsia="ru-RU"/>
              </w:rPr>
              <w:t>18</w:t>
            </w:r>
            <w:r w:rsidR="000858D3" w:rsidRPr="00B1767C">
              <w:rPr>
                <w:rFonts w:ascii="Garamond" w:eastAsia="Times New Roman" w:hAnsi="Garamond"/>
                <w:highlight w:val="yellow"/>
                <w:lang w:eastAsia="ru-RU"/>
              </w:rPr>
              <w:t xml:space="preserve">) </w:t>
            </w:r>
            <w:proofErr w:type="gramStart"/>
            <w:r w:rsidR="002E181A" w:rsidRPr="00B1767C">
              <w:rPr>
                <w:rFonts w:ascii="Garamond" w:eastAsia="Times New Roman" w:hAnsi="Garamond"/>
                <w:highlight w:val="yellow"/>
                <w:lang w:eastAsia="ru-RU"/>
              </w:rPr>
              <w:t>В</w:t>
            </w:r>
            <w:proofErr w:type="gramEnd"/>
            <w:r w:rsidR="002E181A" w:rsidRPr="00B1767C">
              <w:rPr>
                <w:rFonts w:ascii="Garamond" w:eastAsia="Times New Roman" w:hAnsi="Garamond"/>
                <w:highlight w:val="yellow"/>
                <w:lang w:eastAsia="ru-RU"/>
              </w:rPr>
              <w:t xml:space="preserve"> отношении участников</w:t>
            </w:r>
            <w:r w:rsidR="00445EE8" w:rsidRPr="00B1767C">
              <w:rPr>
                <w:rFonts w:ascii="Garamond" w:eastAsia="Times New Roman" w:hAnsi="Garamond"/>
                <w:highlight w:val="yellow"/>
                <w:lang w:eastAsia="ru-RU"/>
              </w:rPr>
              <w:t xml:space="preserve"> оптового рынка</w:t>
            </w:r>
            <w:r w:rsidR="002E181A" w:rsidRPr="00B1767C">
              <w:rPr>
                <w:rFonts w:ascii="Garamond" w:eastAsia="Times New Roman" w:hAnsi="Garamond"/>
                <w:highlight w:val="yellow"/>
                <w:lang w:eastAsia="ru-RU"/>
              </w:rPr>
              <w:t xml:space="preserve">, функционирующих на </w:t>
            </w:r>
            <w:r w:rsidR="000B49C8" w:rsidRPr="00B1767C">
              <w:rPr>
                <w:rFonts w:ascii="Garamond" w:eastAsia="Times New Roman" w:hAnsi="Garamond"/>
                <w:highlight w:val="yellow"/>
                <w:lang w:eastAsia="ru-RU"/>
              </w:rPr>
              <w:t xml:space="preserve">отдельных </w:t>
            </w:r>
            <w:r w:rsidR="002E181A" w:rsidRPr="00B1767C">
              <w:rPr>
                <w:rFonts w:ascii="Garamond" w:eastAsia="Times New Roman" w:hAnsi="Garamond"/>
                <w:highlight w:val="yellow"/>
                <w:lang w:eastAsia="ru-RU"/>
              </w:rPr>
              <w:t>территориях субъекта Российск</w:t>
            </w:r>
            <w:r w:rsidR="00CE56D4" w:rsidRPr="00B1767C">
              <w:rPr>
                <w:rFonts w:ascii="Garamond" w:eastAsia="Times New Roman" w:hAnsi="Garamond"/>
                <w:highlight w:val="yellow"/>
                <w:lang w:eastAsia="ru-RU"/>
              </w:rPr>
              <w:t>ой Федерации, определенн</w:t>
            </w:r>
            <w:r w:rsidR="002E181A" w:rsidRPr="00B1767C">
              <w:rPr>
                <w:rFonts w:ascii="Garamond" w:eastAsia="Times New Roman" w:hAnsi="Garamond"/>
                <w:highlight w:val="yellow"/>
                <w:lang w:eastAsia="ru-RU"/>
              </w:rPr>
              <w:t xml:space="preserve">ого решением Наблюдательного совета СР, </w:t>
            </w:r>
            <w:r w:rsidR="00445EE8" w:rsidRPr="00B1767C">
              <w:rPr>
                <w:rFonts w:ascii="Garamond" w:eastAsia="Times New Roman" w:hAnsi="Garamond"/>
                <w:highlight w:val="yellow"/>
                <w:lang w:eastAsia="ru-RU"/>
              </w:rPr>
              <w:t xml:space="preserve">и для которых решением Наблюдательного совета СР утверждена сумма допустимой задолженности, в отношении которой применяются особенности расчета и </w:t>
            </w:r>
            <w:r w:rsidR="00FB56B1">
              <w:rPr>
                <w:rFonts w:ascii="Garamond" w:eastAsia="Times New Roman" w:hAnsi="Garamond"/>
                <w:highlight w:val="yellow"/>
                <w:lang w:eastAsia="ru-RU"/>
              </w:rPr>
              <w:t>у</w:t>
            </w:r>
            <w:r w:rsidR="00445EE8" w:rsidRPr="00B1767C">
              <w:rPr>
                <w:rFonts w:ascii="Garamond" w:eastAsia="Times New Roman" w:hAnsi="Garamond"/>
                <w:highlight w:val="yellow"/>
                <w:lang w:eastAsia="ru-RU"/>
              </w:rPr>
              <w:t xml:space="preserve">платы неустойки (пени), </w:t>
            </w:r>
            <w:r w:rsidR="00BF5EB0" w:rsidRPr="00B1767C">
              <w:rPr>
                <w:rFonts w:ascii="Garamond" w:eastAsia="Times New Roman" w:hAnsi="Garamond"/>
                <w:highlight w:val="yellow"/>
                <w:lang w:eastAsia="ru-RU"/>
              </w:rPr>
              <w:t xml:space="preserve">ЦФР осуществляет расчет </w:t>
            </w:r>
            <w:r w:rsidR="00AD056E" w:rsidRPr="00B1767C">
              <w:rPr>
                <w:rFonts w:ascii="Garamond" w:eastAsia="Times New Roman" w:hAnsi="Garamond"/>
                <w:highlight w:val="yellow"/>
                <w:lang w:eastAsia="ru-RU"/>
              </w:rPr>
              <w:t>неустойки (пени) за нарушение сроков исполнения обязательств в соответствии с пунктом 12.5.7 настоящего Регламента.</w:t>
            </w:r>
          </w:p>
          <w:p w14:paraId="4EB57802" w14:textId="3E391D99" w:rsidR="000461EB" w:rsidRPr="00B1767C" w:rsidRDefault="00445EE8" w:rsidP="00F63AD8">
            <w:pPr>
              <w:widowControl w:val="0"/>
              <w:spacing w:before="120" w:after="120" w:line="240" w:lineRule="auto"/>
              <w:ind w:firstLine="571"/>
              <w:jc w:val="both"/>
              <w:rPr>
                <w:rFonts w:ascii="Garamond" w:eastAsia="Times New Roman" w:hAnsi="Garamond"/>
                <w:highlight w:val="yellow"/>
                <w:lang w:eastAsia="ru-RU"/>
              </w:rPr>
            </w:pPr>
            <w:r w:rsidRPr="00B1767C">
              <w:rPr>
                <w:rFonts w:ascii="Garamond" w:eastAsia="Times New Roman" w:hAnsi="Garamond"/>
                <w:highlight w:val="yellow"/>
                <w:lang w:eastAsia="ru-RU"/>
              </w:rPr>
              <w:t xml:space="preserve">Сумма допустимой задолженности, в отношении которой применяются особенности расчета и </w:t>
            </w:r>
            <w:r w:rsidR="00FB56B1">
              <w:rPr>
                <w:rFonts w:ascii="Garamond" w:eastAsia="Times New Roman" w:hAnsi="Garamond"/>
                <w:highlight w:val="yellow"/>
                <w:lang w:eastAsia="ru-RU"/>
              </w:rPr>
              <w:t>у</w:t>
            </w:r>
            <w:r w:rsidRPr="00B1767C">
              <w:rPr>
                <w:rFonts w:ascii="Garamond" w:eastAsia="Times New Roman" w:hAnsi="Garamond"/>
                <w:highlight w:val="yellow"/>
                <w:lang w:eastAsia="ru-RU"/>
              </w:rPr>
              <w:t>платы неустойки (пени), утверждается решением Наблюдательного совета СР для следующих участников</w:t>
            </w:r>
            <w:r w:rsidR="000461EB" w:rsidRPr="00B1767C">
              <w:rPr>
                <w:rFonts w:ascii="Garamond" w:eastAsia="Times New Roman" w:hAnsi="Garamond"/>
                <w:highlight w:val="yellow"/>
                <w:lang w:eastAsia="ru-RU"/>
              </w:rPr>
              <w:t xml:space="preserve"> </w:t>
            </w:r>
            <w:r w:rsidRPr="00B1767C">
              <w:rPr>
                <w:rFonts w:ascii="Garamond" w:eastAsia="Times New Roman" w:hAnsi="Garamond"/>
                <w:highlight w:val="yellow"/>
                <w:lang w:eastAsia="ru-RU"/>
              </w:rPr>
              <w:t>оптового рынка, функционирующих</w:t>
            </w:r>
            <w:r w:rsidR="000461EB" w:rsidRPr="00B1767C">
              <w:rPr>
                <w:rFonts w:ascii="Garamond" w:eastAsia="Times New Roman" w:hAnsi="Garamond"/>
                <w:highlight w:val="yellow"/>
                <w:lang w:eastAsia="ru-RU"/>
              </w:rPr>
              <w:t xml:space="preserve"> на </w:t>
            </w:r>
            <w:r w:rsidR="00B6249F" w:rsidRPr="00B1767C">
              <w:rPr>
                <w:rFonts w:ascii="Garamond" w:eastAsia="Times New Roman" w:hAnsi="Garamond"/>
                <w:highlight w:val="yellow"/>
                <w:lang w:eastAsia="ru-RU"/>
              </w:rPr>
              <w:t xml:space="preserve">отдельных </w:t>
            </w:r>
            <w:r w:rsidR="000461EB" w:rsidRPr="00B1767C">
              <w:rPr>
                <w:rFonts w:ascii="Garamond" w:eastAsia="Times New Roman" w:hAnsi="Garamond"/>
                <w:highlight w:val="yellow"/>
                <w:lang w:eastAsia="ru-RU"/>
              </w:rPr>
              <w:t>территориях субъекта Российской Федерации, определяемого решением Наблюдательног</w:t>
            </w:r>
            <w:r w:rsidRPr="00B1767C">
              <w:rPr>
                <w:rFonts w:ascii="Garamond" w:eastAsia="Times New Roman" w:hAnsi="Garamond"/>
                <w:highlight w:val="yellow"/>
                <w:lang w:eastAsia="ru-RU"/>
              </w:rPr>
              <w:t>о совета СР</w:t>
            </w:r>
            <w:r w:rsidR="000461EB" w:rsidRPr="00B1767C">
              <w:rPr>
                <w:rFonts w:ascii="Garamond" w:eastAsia="Times New Roman" w:hAnsi="Garamond"/>
                <w:highlight w:val="yellow"/>
                <w:lang w:eastAsia="ru-RU"/>
              </w:rPr>
              <w:t>:</w:t>
            </w:r>
          </w:p>
          <w:p w14:paraId="65522E59" w14:textId="3167B1E2" w:rsidR="00007C07" w:rsidRPr="00B1767C" w:rsidRDefault="00007C07" w:rsidP="00F63AD8">
            <w:pPr>
              <w:widowControl w:val="0"/>
              <w:spacing w:before="120" w:after="120" w:line="240" w:lineRule="auto"/>
              <w:ind w:firstLine="571"/>
              <w:jc w:val="both"/>
              <w:rPr>
                <w:rFonts w:ascii="Garamond" w:eastAsia="Times New Roman" w:hAnsi="Garamond"/>
                <w:highlight w:val="yellow"/>
                <w:lang w:eastAsia="ru-RU"/>
              </w:rPr>
            </w:pPr>
            <w:r w:rsidRPr="00B1767C">
              <w:rPr>
                <w:rFonts w:ascii="Garamond" w:eastAsia="Times New Roman" w:hAnsi="Garamond"/>
                <w:highlight w:val="yellow"/>
                <w:lang w:eastAsia="ru-RU"/>
              </w:rPr>
              <w:t xml:space="preserve">гарантирующий поставщик, ГТП которого расположена на </w:t>
            </w:r>
            <w:r w:rsidRPr="00B1767C">
              <w:rPr>
                <w:rFonts w:ascii="Garamond" w:eastAsia="Times New Roman" w:hAnsi="Garamond"/>
                <w:highlight w:val="yellow"/>
                <w:lang w:eastAsia="ru-RU"/>
              </w:rPr>
              <w:lastRenderedPageBreak/>
              <w:t xml:space="preserve">территории субъекта Российской Федерации, определенного решением Наблюдательного совета СР, в котором возможно наступление негативных последствий в результате террористических посягательств недружественных государств и к которому относятся территории, перечисленные в пункте 1.6 </w:t>
            </w:r>
            <w:r w:rsidRPr="00321E3E">
              <w:rPr>
                <w:rFonts w:ascii="Garamond" w:eastAsia="Times New Roman" w:hAnsi="Garamond"/>
                <w:i/>
                <w:highlight w:val="yellow"/>
                <w:lang w:eastAsia="ru-RU"/>
              </w:rPr>
              <w:t>Порядка установления соответствия систем учета электроэнергии техническим требованиям оптового рынка</w:t>
            </w:r>
            <w:r w:rsidRPr="00B1767C">
              <w:rPr>
                <w:rFonts w:ascii="Garamond" w:eastAsia="Times New Roman" w:hAnsi="Garamond"/>
                <w:highlight w:val="yellow"/>
                <w:lang w:eastAsia="ru-RU"/>
              </w:rPr>
              <w:t xml:space="preserve"> (Приложение № 11.3 к </w:t>
            </w:r>
            <w:r w:rsidRPr="00321E3E">
              <w:rPr>
                <w:rFonts w:ascii="Garamond" w:eastAsia="Times New Roman" w:hAnsi="Garamond"/>
                <w:i/>
                <w:highlight w:val="yellow"/>
                <w:lang w:eastAsia="ru-RU"/>
              </w:rPr>
              <w:t>Положению о порядке получения статуса субъекта оптового рынка и ведения реестра субъектов оптового рынка</w:t>
            </w:r>
            <w:r w:rsidRPr="00B1767C">
              <w:rPr>
                <w:rFonts w:ascii="Garamond" w:eastAsia="Times New Roman" w:hAnsi="Garamond"/>
                <w:highlight w:val="yellow"/>
                <w:lang w:eastAsia="ru-RU"/>
              </w:rPr>
              <w:t>) (далее – Порядок установления соответствия систем учета техническим требованиям);</w:t>
            </w:r>
          </w:p>
          <w:p w14:paraId="18F3A91E" w14:textId="21294821" w:rsidR="00A1159E" w:rsidRDefault="00007C07" w:rsidP="00F63AD8">
            <w:pPr>
              <w:widowControl w:val="0"/>
              <w:spacing w:before="120" w:after="120" w:line="240" w:lineRule="auto"/>
              <w:ind w:firstLine="571"/>
              <w:jc w:val="both"/>
              <w:rPr>
                <w:rFonts w:ascii="Garamond" w:eastAsia="Times New Roman" w:hAnsi="Garamond"/>
                <w:lang w:eastAsia="ru-RU"/>
              </w:rPr>
            </w:pPr>
            <w:r w:rsidRPr="00B1767C">
              <w:rPr>
                <w:rFonts w:ascii="Garamond" w:eastAsia="Times New Roman" w:hAnsi="Garamond"/>
                <w:highlight w:val="yellow"/>
                <w:lang w:eastAsia="ru-RU"/>
              </w:rPr>
              <w:t>иные участники оптового рынка, в состав ГТП потребления которых входят точки поставки (точки измерений), расположенные на территориях, перечисленных в пункте 1.6 Порядка установления соответствия систем учета техническим требованиям, относящихся к субъекту Российской Федерации, определяемому решением Наблюдательного совета СР, в котором возможно наступление негативных последствий в результате террористических посягательств недружественных государств, при условии пред</w:t>
            </w:r>
            <w:r w:rsidR="00FB56B1">
              <w:rPr>
                <w:rFonts w:ascii="Garamond" w:eastAsia="Times New Roman" w:hAnsi="Garamond"/>
                <w:highlight w:val="yellow"/>
                <w:lang w:eastAsia="ru-RU"/>
              </w:rPr>
              <w:t>о</w:t>
            </w:r>
            <w:r w:rsidRPr="00B1767C">
              <w:rPr>
                <w:rFonts w:ascii="Garamond" w:eastAsia="Times New Roman" w:hAnsi="Garamond"/>
                <w:highlight w:val="yellow"/>
                <w:lang w:eastAsia="ru-RU"/>
              </w:rPr>
              <w:t>ставления такими участниками оптового рынка в СР подтверждения, что точки поставки, входящие в состав такой ГТП потребления, расположены на указанных территориях</w:t>
            </w:r>
            <w:r w:rsidR="00445EE8" w:rsidRPr="00B1767C">
              <w:rPr>
                <w:rFonts w:ascii="Garamond" w:eastAsia="Times New Roman" w:hAnsi="Garamond"/>
                <w:highlight w:val="yellow"/>
                <w:lang w:eastAsia="ru-RU"/>
              </w:rPr>
              <w:t>.</w:t>
            </w:r>
            <w:r w:rsidR="00445EE8">
              <w:rPr>
                <w:rFonts w:ascii="Garamond" w:eastAsia="Times New Roman" w:hAnsi="Garamond"/>
                <w:lang w:eastAsia="ru-RU"/>
              </w:rPr>
              <w:t xml:space="preserve"> </w:t>
            </w:r>
          </w:p>
          <w:p w14:paraId="7760446B" w14:textId="77777777" w:rsidR="00B1767C" w:rsidRDefault="00B1767C" w:rsidP="00B1767C">
            <w:pPr>
              <w:widowControl w:val="0"/>
              <w:spacing w:before="120" w:after="120" w:line="240" w:lineRule="auto"/>
              <w:ind w:firstLine="454"/>
              <w:jc w:val="both"/>
              <w:rPr>
                <w:rFonts w:ascii="Garamond" w:hAnsi="Garamond"/>
              </w:rPr>
            </w:pPr>
            <w:r w:rsidRPr="00B1767C">
              <w:rPr>
                <w:rFonts w:ascii="Garamond" w:hAnsi="Garamond"/>
              </w:rPr>
              <w:t xml:space="preserve">В случае если неустойка (пени), рассчитанная после даты, </w:t>
            </w:r>
            <w:r w:rsidRPr="00B1767C">
              <w:rPr>
                <w:rFonts w:ascii="Garamond" w:hAnsi="Garamond"/>
                <w:spacing w:val="1"/>
              </w:rPr>
              <w:t>в которую ЦФР должен прекратить расчет неустойки (пени) в соответствии с настоящим разделом</w:t>
            </w:r>
            <w:r w:rsidRPr="00B1767C">
              <w:rPr>
                <w:rFonts w:ascii="Garamond" w:hAnsi="Garamond"/>
              </w:rPr>
              <w:t>, оплачена полностью или частично, урегулирование вопросов, связанных с произведенной оплатой неустойки (пени), производится участниками оптового рынка – продавцом и покупателем в двустороннем порядке без участия ЦФР.</w:t>
            </w:r>
          </w:p>
          <w:p w14:paraId="340A4627" w14:textId="432DC158" w:rsidR="00B1767C" w:rsidRPr="00616BF6" w:rsidRDefault="00B1767C" w:rsidP="00B1767C">
            <w:pPr>
              <w:widowControl w:val="0"/>
              <w:spacing w:before="120" w:after="120" w:line="240" w:lineRule="auto"/>
              <w:ind w:firstLine="571"/>
              <w:jc w:val="both"/>
              <w:rPr>
                <w:rFonts w:ascii="Garamond" w:eastAsia="Times New Roman" w:hAnsi="Garamond"/>
                <w:lang w:eastAsia="ru-RU"/>
              </w:rPr>
            </w:pPr>
            <w:r>
              <w:rPr>
                <w:rFonts w:ascii="Garamond" w:hAnsi="Garamond"/>
              </w:rPr>
              <w:t>…</w:t>
            </w:r>
          </w:p>
        </w:tc>
      </w:tr>
      <w:tr w:rsidR="000858D3" w:rsidRPr="000858D3" w14:paraId="717D0EF4" w14:textId="77777777" w:rsidTr="004A25C5">
        <w:trPr>
          <w:trHeight w:val="435"/>
        </w:trPr>
        <w:tc>
          <w:tcPr>
            <w:tcW w:w="1135" w:type="dxa"/>
            <w:vAlign w:val="center"/>
          </w:tcPr>
          <w:p w14:paraId="6067DC66" w14:textId="77777777" w:rsidR="000858D3" w:rsidRPr="00D62200" w:rsidRDefault="000858D3" w:rsidP="000858D3">
            <w:pPr>
              <w:spacing w:after="0"/>
              <w:jc w:val="center"/>
              <w:rPr>
                <w:rFonts w:ascii="Garamond" w:hAnsi="Garamond"/>
                <w:b/>
                <w:color w:val="FF3B3B"/>
              </w:rPr>
            </w:pPr>
            <w:r w:rsidRPr="00D62200">
              <w:rPr>
                <w:rFonts w:ascii="Garamond" w:hAnsi="Garamond"/>
                <w:b/>
              </w:rPr>
              <w:lastRenderedPageBreak/>
              <w:t>12.5.</w:t>
            </w:r>
            <w:r w:rsidRPr="000858D3">
              <w:rPr>
                <w:rFonts w:ascii="Garamond" w:hAnsi="Garamond"/>
                <w:b/>
              </w:rPr>
              <w:t>7</w:t>
            </w:r>
          </w:p>
        </w:tc>
        <w:tc>
          <w:tcPr>
            <w:tcW w:w="6520" w:type="dxa"/>
          </w:tcPr>
          <w:p w14:paraId="0B7F31D0" w14:textId="77777777" w:rsidR="000858D3" w:rsidRPr="000858D3" w:rsidRDefault="000858D3" w:rsidP="00F63AD8">
            <w:pPr>
              <w:widowControl w:val="0"/>
              <w:spacing w:before="120" w:after="120" w:line="240" w:lineRule="auto"/>
              <w:jc w:val="center"/>
              <w:rPr>
                <w:rFonts w:ascii="Garamond" w:hAnsi="Garamond" w:cs="Garamond"/>
                <w:b/>
                <w:bCs/>
              </w:rPr>
            </w:pPr>
            <w:r w:rsidRPr="000858D3">
              <w:rPr>
                <w:rFonts w:ascii="Garamond" w:hAnsi="Garamond" w:cs="Garamond"/>
                <w:b/>
                <w:bCs/>
              </w:rPr>
              <w:t>Добавить пункт</w:t>
            </w:r>
          </w:p>
        </w:tc>
        <w:tc>
          <w:tcPr>
            <w:tcW w:w="7088" w:type="dxa"/>
            <w:vAlign w:val="center"/>
          </w:tcPr>
          <w:p w14:paraId="29A6BC99" w14:textId="550FF8AD" w:rsidR="000858D3" w:rsidRPr="00616BF6" w:rsidRDefault="000858D3" w:rsidP="00F63AD8">
            <w:pPr>
              <w:widowControl w:val="0"/>
              <w:spacing w:before="120" w:after="120" w:line="240" w:lineRule="auto"/>
              <w:ind w:firstLine="609"/>
              <w:jc w:val="both"/>
              <w:rPr>
                <w:rFonts w:ascii="Garamond" w:hAnsi="Garamond" w:cs="Garamond"/>
                <w:b/>
                <w:bCs/>
              </w:rPr>
            </w:pPr>
            <w:r w:rsidRPr="00616BF6">
              <w:rPr>
                <w:rFonts w:ascii="Garamond" w:hAnsi="Garamond" w:cs="Garamond"/>
                <w:b/>
                <w:bCs/>
              </w:rPr>
              <w:t>12.5.</w:t>
            </w:r>
            <w:r w:rsidR="0005323F" w:rsidRPr="00616BF6">
              <w:rPr>
                <w:rFonts w:ascii="Garamond" w:hAnsi="Garamond" w:cs="Garamond"/>
                <w:b/>
                <w:bCs/>
              </w:rPr>
              <w:t>7</w:t>
            </w:r>
            <w:r w:rsidRPr="004E03C7">
              <w:rPr>
                <w:rFonts w:ascii="Garamond" w:hAnsi="Garamond" w:cs="Garamond"/>
                <w:b/>
                <w:bCs/>
              </w:rPr>
              <w:t>. Порядок расчета неустойки (пени) на задолженность</w:t>
            </w:r>
            <w:r w:rsidR="006576A8">
              <w:rPr>
                <w:rFonts w:ascii="Garamond" w:hAnsi="Garamond" w:cs="Garamond"/>
                <w:b/>
                <w:bCs/>
              </w:rPr>
              <w:t xml:space="preserve"> участников оптового рынка, функционирующих </w:t>
            </w:r>
            <w:r w:rsidR="00C1543A">
              <w:rPr>
                <w:rFonts w:ascii="Garamond" w:hAnsi="Garamond" w:cs="Garamond"/>
                <w:b/>
                <w:bCs/>
              </w:rPr>
              <w:t>на территориях субъекта</w:t>
            </w:r>
            <w:r w:rsidR="006576A8">
              <w:rPr>
                <w:rFonts w:ascii="Garamond" w:hAnsi="Garamond" w:cs="Garamond"/>
                <w:b/>
                <w:bCs/>
              </w:rPr>
              <w:t xml:space="preserve"> Российской Федерации, определяемо</w:t>
            </w:r>
            <w:r w:rsidR="00C1543A">
              <w:rPr>
                <w:rFonts w:ascii="Garamond" w:hAnsi="Garamond" w:cs="Garamond"/>
                <w:b/>
                <w:bCs/>
              </w:rPr>
              <w:t>го</w:t>
            </w:r>
            <w:r w:rsidR="006576A8">
              <w:rPr>
                <w:rFonts w:ascii="Garamond" w:hAnsi="Garamond" w:cs="Garamond"/>
                <w:b/>
                <w:bCs/>
              </w:rPr>
              <w:t xml:space="preserve"> решением Наблюдательного совета СР</w:t>
            </w:r>
          </w:p>
          <w:p w14:paraId="1155AACD" w14:textId="364507C0" w:rsidR="006C32FB" w:rsidRDefault="000858D3" w:rsidP="00F63AD8">
            <w:pPr>
              <w:widowControl w:val="0"/>
              <w:spacing w:before="120" w:after="120" w:line="240" w:lineRule="auto"/>
              <w:ind w:firstLine="567"/>
              <w:jc w:val="both"/>
              <w:rPr>
                <w:rFonts w:ascii="Garamond" w:hAnsi="Garamond"/>
              </w:rPr>
            </w:pPr>
            <w:r w:rsidRPr="00616BF6">
              <w:rPr>
                <w:rFonts w:ascii="Garamond" w:hAnsi="Garamond"/>
              </w:rPr>
              <w:t xml:space="preserve">12.5.7.1. </w:t>
            </w:r>
            <w:r w:rsidR="00EE3188">
              <w:rPr>
                <w:rFonts w:ascii="Garamond" w:hAnsi="Garamond"/>
              </w:rPr>
              <w:t>Участник оптового рынка, функционирующий на отдельных территориях</w:t>
            </w:r>
            <w:r w:rsidR="00EE3188">
              <w:rPr>
                <w:rFonts w:ascii="Garamond" w:hAnsi="Garamond"/>
                <w:lang w:eastAsia="ru-RU"/>
              </w:rPr>
              <w:t xml:space="preserve"> субъекта Российской Федерации, </w:t>
            </w:r>
            <w:r w:rsidR="00EE3188">
              <w:rPr>
                <w:rFonts w:ascii="Garamond" w:hAnsi="Garamond"/>
              </w:rPr>
              <w:t xml:space="preserve">определенного решением Наблюдательного совета СР, вправе направить на рассмотрение Наблюдательного совета СР предложение о сумме допустимой задолженности, в отношении которой применяются особенности расчета и </w:t>
            </w:r>
            <w:r w:rsidR="00FB56B1">
              <w:rPr>
                <w:rFonts w:ascii="Garamond" w:hAnsi="Garamond"/>
              </w:rPr>
              <w:lastRenderedPageBreak/>
              <w:t>у</w:t>
            </w:r>
            <w:r w:rsidR="00EE3188">
              <w:rPr>
                <w:rFonts w:ascii="Garamond" w:hAnsi="Garamond"/>
              </w:rPr>
              <w:t xml:space="preserve">платы неустойки (пени) (далее в настоящем пункте – сумма допустимой </w:t>
            </w:r>
            <w:r w:rsidR="00EE3188" w:rsidRPr="00EE3188">
              <w:rPr>
                <w:rFonts w:ascii="Garamond" w:hAnsi="Garamond"/>
              </w:rPr>
              <w:t>задолженности), рассчитанной им исходя из суммы денежных средств, подлежащих оплате за коммунальные услуги</w:t>
            </w:r>
            <w:r w:rsidR="00FB56B1">
              <w:rPr>
                <w:rFonts w:ascii="Garamond" w:hAnsi="Garamond"/>
              </w:rPr>
              <w:t xml:space="preserve"> по электроснабжению гражданами-</w:t>
            </w:r>
            <w:r w:rsidR="00EE3188" w:rsidRPr="00EE3188">
              <w:rPr>
                <w:rFonts w:ascii="Garamond" w:hAnsi="Garamond"/>
              </w:rPr>
              <w:t>потребителями, которым такой участник оптового рынка предоставляет коммунальные услуги по электроснабжению на указанных территориях</w:t>
            </w:r>
            <w:r w:rsidR="006C32FB">
              <w:rPr>
                <w:rFonts w:ascii="Garamond" w:hAnsi="Garamond"/>
              </w:rPr>
              <w:t>.</w:t>
            </w:r>
          </w:p>
          <w:p w14:paraId="7C9E10B8" w14:textId="5211A4A0" w:rsidR="000858D3" w:rsidRPr="00616BF6" w:rsidRDefault="00EE3188" w:rsidP="00F63AD8">
            <w:pPr>
              <w:widowControl w:val="0"/>
              <w:spacing w:before="120" w:after="120" w:line="240" w:lineRule="auto"/>
              <w:ind w:firstLine="567"/>
              <w:jc w:val="both"/>
              <w:rPr>
                <w:rFonts w:ascii="Garamond" w:hAnsi="Garamond"/>
              </w:rPr>
            </w:pPr>
            <w:r>
              <w:rPr>
                <w:rFonts w:ascii="Garamond" w:hAnsi="Garamond"/>
              </w:rPr>
              <w:t>Не позднее 5 (пяти) рабочих дней после утверждения Наблюдательным советом СР суммы допустимой задолженности в отношении участника оптового рынка, функционирующего на отдельных территориях субъекта Российской Федерации, определенного решением Наблюдательного совета СР, СР передает в ЦФР на бумажном носителе с подписью уполномоченного лица выписку из протокола заседания Наблюдательного совета СР, включающую информацию о сумме допустимой задолженности</w:t>
            </w:r>
            <w:r w:rsidR="000858D3" w:rsidRPr="00616BF6">
              <w:rPr>
                <w:rFonts w:ascii="Garamond" w:hAnsi="Garamond"/>
              </w:rPr>
              <w:t xml:space="preserve">. </w:t>
            </w:r>
          </w:p>
          <w:p w14:paraId="56F46C90" w14:textId="4ADF0C7C" w:rsidR="00220767" w:rsidRPr="00616BF6" w:rsidRDefault="0005323F" w:rsidP="00F63AD8">
            <w:pPr>
              <w:pStyle w:val="a5"/>
              <w:widowControl w:val="0"/>
              <w:ind w:firstLine="598"/>
              <w:rPr>
                <w:rFonts w:ascii="Garamond" w:hAnsi="Garamond"/>
                <w:szCs w:val="22"/>
                <w:lang w:val="ru-RU"/>
              </w:rPr>
            </w:pPr>
            <w:r w:rsidRPr="00616BF6">
              <w:rPr>
                <w:rFonts w:ascii="Garamond" w:hAnsi="Garamond"/>
                <w:szCs w:val="22"/>
                <w:lang w:val="ru-RU"/>
              </w:rPr>
              <w:t>12.5.7</w:t>
            </w:r>
            <w:r w:rsidR="00220767" w:rsidRPr="00616BF6">
              <w:rPr>
                <w:rFonts w:ascii="Garamond" w:hAnsi="Garamond"/>
                <w:szCs w:val="22"/>
                <w:lang w:val="ru-RU"/>
              </w:rPr>
              <w:t xml:space="preserve">.2. </w:t>
            </w:r>
            <w:r w:rsidR="00220767" w:rsidRPr="00616BF6">
              <w:rPr>
                <w:rFonts w:ascii="Garamond" w:eastAsia="Calibri" w:hAnsi="Garamond"/>
                <w:szCs w:val="22"/>
                <w:lang w:val="ru-RU"/>
              </w:rPr>
              <w:t xml:space="preserve">ЦФР не осуществляет расчет обязательств по </w:t>
            </w:r>
            <w:r w:rsidR="00FB56B1">
              <w:rPr>
                <w:rFonts w:ascii="Garamond" w:eastAsia="Calibri" w:hAnsi="Garamond"/>
                <w:szCs w:val="22"/>
                <w:lang w:val="ru-RU"/>
              </w:rPr>
              <w:t>у</w:t>
            </w:r>
            <w:r w:rsidR="00220767" w:rsidRPr="00616BF6">
              <w:rPr>
                <w:rFonts w:ascii="Garamond" w:eastAsia="Calibri" w:hAnsi="Garamond"/>
                <w:szCs w:val="22"/>
                <w:lang w:val="ru-RU"/>
              </w:rPr>
              <w:t>плате неустойки (пени)</w:t>
            </w:r>
            <w:r w:rsidR="00ED06D3">
              <w:rPr>
                <w:rFonts w:ascii="Garamond" w:eastAsia="Calibri" w:hAnsi="Garamond"/>
                <w:szCs w:val="22"/>
                <w:lang w:val="ru-RU"/>
              </w:rPr>
              <w:t xml:space="preserve"> </w:t>
            </w:r>
            <w:r w:rsidR="00220767" w:rsidRPr="00616BF6">
              <w:rPr>
                <w:rFonts w:ascii="Garamond" w:eastAsia="Calibri" w:hAnsi="Garamond"/>
                <w:szCs w:val="22"/>
                <w:lang w:val="ru-RU"/>
              </w:rPr>
              <w:t xml:space="preserve">по итогу месяца за нарушение сроков исполнения обязательств по оплате, перечисленных в пункте 12.1 настоящего Регламента, </w:t>
            </w:r>
            <w:r w:rsidR="00C1543A">
              <w:rPr>
                <w:rFonts w:ascii="Garamond" w:hAnsi="Garamond"/>
                <w:lang w:val="ru-RU"/>
              </w:rPr>
              <w:t xml:space="preserve">в отношении участника оптового рынка, функционирующего на </w:t>
            </w:r>
            <w:r w:rsidR="00E76680">
              <w:rPr>
                <w:rFonts w:ascii="Garamond" w:hAnsi="Garamond"/>
                <w:lang w:val="ru-RU"/>
              </w:rPr>
              <w:t xml:space="preserve">отдельных </w:t>
            </w:r>
            <w:r w:rsidR="00C1543A">
              <w:rPr>
                <w:rFonts w:ascii="Garamond" w:hAnsi="Garamond"/>
                <w:lang w:val="ru-RU"/>
              </w:rPr>
              <w:t>территориях субъекта Российской Федерации, определяемого решением Наблюдательного совета СР</w:t>
            </w:r>
            <w:r w:rsidR="00AA52F9">
              <w:rPr>
                <w:rFonts w:ascii="Garamond" w:hAnsi="Garamond"/>
                <w:lang w:val="ru-RU"/>
              </w:rPr>
              <w:t xml:space="preserve"> </w:t>
            </w:r>
            <w:r w:rsidR="00AA52F9">
              <w:rPr>
                <w:rFonts w:ascii="Garamond" w:eastAsia="Calibri" w:hAnsi="Garamond"/>
                <w:szCs w:val="22"/>
                <w:lang w:val="ru-RU"/>
              </w:rPr>
              <w:t>(с первого числа месяца, в котором в отношении указанного участника оптового рынка Наблюдательным советом СР принято решение об утверждении суммы допустимой задолженности)</w:t>
            </w:r>
            <w:r w:rsidR="00220767" w:rsidRPr="00616BF6">
              <w:rPr>
                <w:rFonts w:ascii="Garamond" w:hAnsi="Garamond"/>
                <w:szCs w:val="22"/>
                <w:lang w:val="ru-RU"/>
              </w:rPr>
              <w:t xml:space="preserve">, в случае, если в расчетном месяце не зафиксирован ни один случай превышения величины неисполненных (ненадлежащим образом исполненных) обязательств такого участника по итогам рабочего дня суммы допустимой задолженности. </w:t>
            </w:r>
          </w:p>
          <w:p w14:paraId="79F5A4C1" w14:textId="27DA767F" w:rsidR="00220767" w:rsidRPr="00616BF6" w:rsidRDefault="0005323F" w:rsidP="00F63AD8">
            <w:pPr>
              <w:pStyle w:val="a5"/>
              <w:widowControl w:val="0"/>
              <w:ind w:firstLine="598"/>
              <w:rPr>
                <w:rFonts w:ascii="Garamond" w:hAnsi="Garamond"/>
                <w:szCs w:val="22"/>
                <w:lang w:val="ru-RU"/>
              </w:rPr>
            </w:pPr>
            <w:r w:rsidRPr="00616BF6">
              <w:rPr>
                <w:rFonts w:ascii="Garamond" w:hAnsi="Garamond"/>
                <w:szCs w:val="22"/>
                <w:lang w:val="ru-RU"/>
              </w:rPr>
              <w:t>12.5.7</w:t>
            </w:r>
            <w:r w:rsidR="00220767" w:rsidRPr="00616BF6">
              <w:rPr>
                <w:rFonts w:ascii="Garamond" w:hAnsi="Garamond"/>
                <w:szCs w:val="22"/>
                <w:lang w:val="ru-RU"/>
              </w:rPr>
              <w:t xml:space="preserve">.3. В случае если в расчетном месяце величина неисполненных (ненадлежащим образом исполненных) обязательств по оплате электрической энергии и (или) мощности, </w:t>
            </w:r>
            <w:r w:rsidR="00220767" w:rsidRPr="00616BF6">
              <w:rPr>
                <w:rFonts w:ascii="Garamond" w:hAnsi="Garamond"/>
                <w:bCs/>
                <w:lang w:val="ru-RU"/>
              </w:rPr>
              <w:t>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w:t>
            </w:r>
            <w:r w:rsidR="00220767" w:rsidRPr="00616BF6">
              <w:rPr>
                <w:rFonts w:ascii="Garamond" w:hAnsi="Garamond"/>
                <w:bCs/>
                <w:color w:val="000000"/>
                <w:spacing w:val="4"/>
                <w:lang w:val="ru-RU"/>
              </w:rPr>
              <w:t xml:space="preserve"> </w:t>
            </w:r>
            <w:r w:rsidR="00220767" w:rsidRPr="00616BF6">
              <w:rPr>
                <w:rFonts w:ascii="Garamond" w:hAnsi="Garamond"/>
                <w:szCs w:val="22"/>
                <w:lang w:val="ru-RU"/>
              </w:rPr>
              <w:t xml:space="preserve">а также услуг инфраструктурных организаций </w:t>
            </w:r>
            <w:r w:rsidR="00C1543A">
              <w:rPr>
                <w:rFonts w:ascii="Garamond" w:hAnsi="Garamond"/>
                <w:lang w:val="ru-RU"/>
              </w:rPr>
              <w:t xml:space="preserve">участника оптового рынка, функционирующего на </w:t>
            </w:r>
            <w:r w:rsidR="00E76680">
              <w:rPr>
                <w:rFonts w:ascii="Garamond" w:hAnsi="Garamond"/>
                <w:lang w:val="ru-RU"/>
              </w:rPr>
              <w:t xml:space="preserve">отдельных </w:t>
            </w:r>
            <w:r w:rsidR="00C1543A">
              <w:rPr>
                <w:rFonts w:ascii="Garamond" w:hAnsi="Garamond"/>
                <w:lang w:val="ru-RU"/>
              </w:rPr>
              <w:t>территориях субъекта Российской Федерации, определяемого решением Наблюдательного совета СР</w:t>
            </w:r>
            <w:r w:rsidR="00220767" w:rsidRPr="00616BF6">
              <w:rPr>
                <w:rFonts w:ascii="Garamond" w:hAnsi="Garamond"/>
                <w:szCs w:val="22"/>
                <w:lang w:val="ru-RU"/>
              </w:rPr>
              <w:t xml:space="preserve">, по итогам хотя бы одного рабочего дня превышает сумму допустимой задолженности, ЦФР осуществляет расчет обязательств по </w:t>
            </w:r>
            <w:r w:rsidR="00FB56B1">
              <w:rPr>
                <w:rFonts w:ascii="Garamond" w:hAnsi="Garamond"/>
                <w:szCs w:val="22"/>
                <w:lang w:val="ru-RU"/>
              </w:rPr>
              <w:t>у</w:t>
            </w:r>
            <w:r w:rsidR="00220767" w:rsidRPr="00616BF6">
              <w:rPr>
                <w:rFonts w:ascii="Garamond" w:hAnsi="Garamond"/>
                <w:szCs w:val="22"/>
                <w:lang w:val="ru-RU"/>
              </w:rPr>
              <w:t xml:space="preserve">плате неустойки (пени) по итогу месяца за нарушение сроков исполнения </w:t>
            </w:r>
            <w:r w:rsidR="00220767" w:rsidRPr="00616BF6">
              <w:rPr>
                <w:rFonts w:ascii="Garamond" w:hAnsi="Garamond"/>
                <w:szCs w:val="22"/>
                <w:lang w:val="ru-RU"/>
              </w:rPr>
              <w:lastRenderedPageBreak/>
              <w:t>обязательств по оплате</w:t>
            </w:r>
            <w:r w:rsidR="00220767" w:rsidRPr="00616BF6">
              <w:rPr>
                <w:rFonts w:ascii="Garamond" w:hAnsi="Garamond"/>
                <w:lang w:val="ru-RU"/>
              </w:rPr>
              <w:t xml:space="preserve">, </w:t>
            </w:r>
            <w:r w:rsidR="00220767" w:rsidRPr="00616BF6">
              <w:rPr>
                <w:rFonts w:ascii="Garamond" w:hAnsi="Garamond"/>
                <w:bCs/>
                <w:color w:val="000000"/>
                <w:spacing w:val="4"/>
                <w:lang w:val="ru-RU"/>
              </w:rPr>
              <w:t>перечисленных в пункте 12.1 настоящего Регламента,</w:t>
            </w:r>
            <w:r w:rsidR="00220767" w:rsidRPr="00616BF6">
              <w:rPr>
                <w:rFonts w:ascii="Garamond" w:hAnsi="Garamond"/>
                <w:lang w:val="ru-RU"/>
              </w:rPr>
              <w:t xml:space="preserve"> </w:t>
            </w:r>
            <w:r w:rsidR="00220767" w:rsidRPr="00616BF6">
              <w:rPr>
                <w:rFonts w:ascii="Garamond" w:hAnsi="Garamond"/>
                <w:szCs w:val="22"/>
                <w:lang w:val="ru-RU"/>
              </w:rPr>
              <w:t>таким участником путем суммирования неустойки (пени), рассчитанной за соответствующий рабочий день, по итогам которого величина неисполненных (ненадлежащим образом исполненных) обязательств такого участника превышает сумму допустимой задолженности.</w:t>
            </w:r>
          </w:p>
          <w:p w14:paraId="5FBE7526" w14:textId="281F52F7" w:rsidR="00220767" w:rsidRPr="00616BF6" w:rsidRDefault="0005323F" w:rsidP="00F63AD8">
            <w:pPr>
              <w:pStyle w:val="a5"/>
              <w:widowControl w:val="0"/>
              <w:ind w:firstLine="598"/>
              <w:rPr>
                <w:rFonts w:ascii="Garamond" w:hAnsi="Garamond"/>
                <w:szCs w:val="22"/>
                <w:lang w:val="ru-RU"/>
              </w:rPr>
            </w:pPr>
            <w:r w:rsidRPr="00616BF6">
              <w:rPr>
                <w:rFonts w:ascii="Garamond" w:hAnsi="Garamond"/>
                <w:szCs w:val="22"/>
                <w:lang w:val="ru-RU"/>
              </w:rPr>
              <w:t>12.5.7</w:t>
            </w:r>
            <w:r w:rsidR="00220767" w:rsidRPr="00616BF6">
              <w:rPr>
                <w:rFonts w:ascii="Garamond" w:hAnsi="Garamond"/>
                <w:szCs w:val="22"/>
                <w:lang w:val="ru-RU"/>
              </w:rPr>
              <w:t xml:space="preserve">.4. ЦФР включает в Сводный реестр платежей, передаваемый в уполномоченную кредитную организацию, обязательства по </w:t>
            </w:r>
            <w:r w:rsidR="00FB56B1">
              <w:rPr>
                <w:rFonts w:ascii="Garamond" w:hAnsi="Garamond"/>
                <w:szCs w:val="22"/>
                <w:lang w:val="ru-RU"/>
              </w:rPr>
              <w:t>у</w:t>
            </w:r>
            <w:r w:rsidR="00220767" w:rsidRPr="00616BF6">
              <w:rPr>
                <w:rFonts w:ascii="Garamond" w:hAnsi="Garamond"/>
                <w:szCs w:val="22"/>
                <w:lang w:val="ru-RU"/>
              </w:rPr>
              <w:t>плате неустойки (пени), рассчитанные КО:</w:t>
            </w:r>
          </w:p>
          <w:p w14:paraId="28A12885" w14:textId="77777777" w:rsidR="00220767" w:rsidRPr="00616BF6" w:rsidRDefault="00220767" w:rsidP="00F63AD8">
            <w:pPr>
              <w:pStyle w:val="a5"/>
              <w:widowControl w:val="0"/>
              <w:ind w:firstLine="598"/>
              <w:rPr>
                <w:rFonts w:ascii="Garamond" w:hAnsi="Garamond"/>
                <w:szCs w:val="22"/>
                <w:lang w:val="ru-RU"/>
              </w:rPr>
            </w:pPr>
            <w:r w:rsidRPr="00616BF6">
              <w:rPr>
                <w:rFonts w:ascii="Garamond" w:hAnsi="Garamond"/>
                <w:lang w:val="ru-RU"/>
              </w:rPr>
              <w:t xml:space="preserve">– </w:t>
            </w:r>
            <w:r w:rsidRPr="00616BF6">
              <w:rPr>
                <w:rFonts w:ascii="Garamond" w:hAnsi="Garamond"/>
                <w:szCs w:val="22"/>
                <w:lang w:val="ru-RU"/>
              </w:rPr>
              <w:t xml:space="preserve">по оплате услуг КО, фактически оказанных участникам оптового рынка, </w:t>
            </w:r>
          </w:p>
          <w:p w14:paraId="499C3781" w14:textId="4B21B95E" w:rsidR="00220767" w:rsidRPr="00616BF6" w:rsidRDefault="00220767" w:rsidP="00F63AD8">
            <w:pPr>
              <w:pStyle w:val="a5"/>
              <w:widowControl w:val="0"/>
              <w:ind w:firstLine="598"/>
              <w:rPr>
                <w:rFonts w:ascii="Garamond" w:hAnsi="Garamond"/>
                <w:szCs w:val="22"/>
                <w:lang w:val="ru-RU"/>
              </w:rPr>
            </w:pPr>
            <w:r w:rsidRPr="00616BF6">
              <w:rPr>
                <w:rFonts w:ascii="Garamond" w:hAnsi="Garamond"/>
                <w:szCs w:val="22"/>
                <w:lang w:val="ru-RU"/>
              </w:rPr>
              <w:t>– по оплате авансовых платежей за услугу КО –</w:t>
            </w:r>
          </w:p>
          <w:p w14:paraId="090A2AC1" w14:textId="7B5C95A1" w:rsidR="00220767" w:rsidRPr="00616BF6" w:rsidRDefault="00220767" w:rsidP="00F63AD8">
            <w:pPr>
              <w:pStyle w:val="a5"/>
              <w:widowControl w:val="0"/>
              <w:rPr>
                <w:rFonts w:ascii="Garamond" w:hAnsi="Garamond"/>
                <w:szCs w:val="22"/>
                <w:lang w:val="ru-RU"/>
              </w:rPr>
            </w:pPr>
            <w:r w:rsidRPr="00616BF6">
              <w:rPr>
                <w:rFonts w:ascii="Garamond" w:hAnsi="Garamond"/>
                <w:szCs w:val="22"/>
                <w:lang w:val="ru-RU"/>
              </w:rPr>
              <w:t xml:space="preserve">в отношении </w:t>
            </w:r>
            <w:r w:rsidR="0041042B">
              <w:rPr>
                <w:rFonts w:ascii="Garamond" w:hAnsi="Garamond"/>
                <w:lang w:val="ru-RU"/>
              </w:rPr>
              <w:t xml:space="preserve">участника оптового рынка, функционирующего на </w:t>
            </w:r>
            <w:r w:rsidR="00E76680">
              <w:rPr>
                <w:rFonts w:ascii="Garamond" w:hAnsi="Garamond"/>
                <w:lang w:val="ru-RU"/>
              </w:rPr>
              <w:t xml:space="preserve">отдельных </w:t>
            </w:r>
            <w:r w:rsidR="0041042B">
              <w:rPr>
                <w:rFonts w:ascii="Garamond" w:hAnsi="Garamond"/>
                <w:lang w:val="ru-RU"/>
              </w:rPr>
              <w:t>территориях субъекта Российской Федерации, определяемого решением Наблюдательного совета СР</w:t>
            </w:r>
            <w:r w:rsidRPr="00D76031">
              <w:rPr>
                <w:rFonts w:ascii="Garamond" w:hAnsi="Garamond"/>
                <w:szCs w:val="22"/>
                <w:lang w:val="ru-RU"/>
              </w:rPr>
              <w:t>,</w:t>
            </w:r>
            <w:r w:rsidRPr="00616BF6">
              <w:rPr>
                <w:rFonts w:ascii="Garamond" w:hAnsi="Garamond"/>
                <w:szCs w:val="22"/>
                <w:lang w:val="ru-RU"/>
              </w:rPr>
              <w:t xml:space="preserve"> в случае, если величина неисполненных (ненадлежащим образом исполненных) обязательств такого участника по итогам хотя бы одного рабочего дня месяца, в котором рассчитана соответствующая неустойка (пени) по оплате услуг КО, превышает сумму допустимой задолженности.</w:t>
            </w:r>
          </w:p>
          <w:p w14:paraId="18BEF9AD" w14:textId="6D151225" w:rsidR="00D44085" w:rsidRPr="00616BF6" w:rsidRDefault="0005323F" w:rsidP="00F63AD8">
            <w:pPr>
              <w:pStyle w:val="a5"/>
              <w:widowControl w:val="0"/>
              <w:ind w:firstLine="598"/>
              <w:rPr>
                <w:rFonts w:ascii="Garamond" w:hAnsi="Garamond"/>
                <w:szCs w:val="22"/>
                <w:lang w:val="ru-RU"/>
              </w:rPr>
            </w:pPr>
            <w:r w:rsidRPr="00616BF6">
              <w:rPr>
                <w:rFonts w:ascii="Garamond" w:hAnsi="Garamond"/>
                <w:szCs w:val="22"/>
                <w:lang w:val="ru-RU"/>
              </w:rPr>
              <w:t>12.5.7</w:t>
            </w:r>
            <w:r w:rsidR="00220767" w:rsidRPr="00616BF6">
              <w:rPr>
                <w:rFonts w:ascii="Garamond" w:hAnsi="Garamond"/>
                <w:szCs w:val="22"/>
                <w:lang w:val="ru-RU"/>
              </w:rPr>
              <w:t xml:space="preserve">.5. При определении величины неисполненных (ненадлежащим образом исполненных) обязательств не учитываются обязательства по оплате, расчеты по которым в соответствии с </w:t>
            </w:r>
            <w:r w:rsidR="00220767" w:rsidRPr="00616BF6">
              <w:rPr>
                <w:rFonts w:ascii="Garamond" w:hAnsi="Garamond"/>
                <w:i/>
                <w:szCs w:val="22"/>
                <w:lang w:val="ru-RU"/>
              </w:rPr>
              <w:t xml:space="preserve">Договором о присоединении к торговой системе оптового рынка </w:t>
            </w:r>
            <w:r w:rsidR="00220767" w:rsidRPr="00616BF6">
              <w:rPr>
                <w:rFonts w:ascii="Garamond" w:hAnsi="Garamond"/>
                <w:szCs w:val="22"/>
                <w:lang w:val="ru-RU"/>
              </w:rPr>
              <w:t>осуществляются вне уполномоченной кредитной организации. Не учитываются также неисполненные обязательства контрагента в случае, если при проведении платежей в Инф</w:t>
            </w:r>
            <w:bookmarkStart w:id="2" w:name="_GoBack"/>
            <w:bookmarkEnd w:id="2"/>
            <w:r w:rsidR="00220767" w:rsidRPr="00616BF6">
              <w:rPr>
                <w:rFonts w:ascii="Garamond" w:hAnsi="Garamond"/>
                <w:szCs w:val="22"/>
                <w:lang w:val="ru-RU"/>
              </w:rPr>
              <w:t>ормации об остатках на торговых счетах, направленной уполномоченной кредитной организацией в ЦФР в соответствии с приложением 54 к настоящему Регламенту, отсутствуют данные о торговом счете участника – получателя денежных средств.</w:t>
            </w:r>
            <w:r w:rsidR="005C54C7">
              <w:rPr>
                <w:rFonts w:ascii="Garamond" w:hAnsi="Garamond"/>
                <w:szCs w:val="22"/>
                <w:lang w:val="ru-RU"/>
              </w:rPr>
              <w:t xml:space="preserve"> </w:t>
            </w:r>
          </w:p>
        </w:tc>
      </w:tr>
    </w:tbl>
    <w:p w14:paraId="279DCAC5" w14:textId="77777777" w:rsidR="00321E3E" w:rsidRDefault="00321E3E" w:rsidP="00F7120C">
      <w:pPr>
        <w:spacing w:after="0" w:line="240" w:lineRule="auto"/>
        <w:jc w:val="right"/>
        <w:rPr>
          <w:rFonts w:ascii="Garamond" w:hAnsi="Garamond"/>
          <w:b/>
          <w:sz w:val="28"/>
          <w:szCs w:val="28"/>
        </w:rPr>
      </w:pPr>
    </w:p>
    <w:p w14:paraId="38F55E57" w14:textId="77777777" w:rsidR="00B14F08" w:rsidRDefault="00B14F08" w:rsidP="00F7120C">
      <w:pPr>
        <w:spacing w:after="0" w:line="240" w:lineRule="auto"/>
        <w:jc w:val="right"/>
        <w:rPr>
          <w:rFonts w:ascii="Garamond" w:hAnsi="Garamond"/>
          <w:b/>
          <w:sz w:val="28"/>
          <w:szCs w:val="28"/>
        </w:rPr>
      </w:pPr>
    </w:p>
    <w:p w14:paraId="4958CDB6" w14:textId="77777777" w:rsidR="00B14F08" w:rsidRDefault="00B14F08" w:rsidP="00F7120C">
      <w:pPr>
        <w:spacing w:after="0" w:line="240" w:lineRule="auto"/>
        <w:jc w:val="right"/>
        <w:rPr>
          <w:rFonts w:ascii="Garamond" w:hAnsi="Garamond"/>
          <w:b/>
          <w:sz w:val="28"/>
          <w:szCs w:val="28"/>
        </w:rPr>
      </w:pPr>
    </w:p>
    <w:p w14:paraId="76478406" w14:textId="77777777" w:rsidR="00291F6D" w:rsidRDefault="00291F6D" w:rsidP="00F7120C">
      <w:pPr>
        <w:spacing w:after="0" w:line="240" w:lineRule="auto"/>
        <w:jc w:val="right"/>
        <w:rPr>
          <w:rFonts w:ascii="Garamond" w:hAnsi="Garamond"/>
          <w:b/>
          <w:sz w:val="28"/>
          <w:szCs w:val="28"/>
        </w:rPr>
      </w:pPr>
    </w:p>
    <w:p w14:paraId="05AB5799" w14:textId="77777777" w:rsidR="009E1A41" w:rsidRDefault="009E1A41" w:rsidP="00F7120C">
      <w:pPr>
        <w:spacing w:after="0" w:line="240" w:lineRule="auto"/>
        <w:jc w:val="right"/>
        <w:rPr>
          <w:rFonts w:ascii="Garamond" w:hAnsi="Garamond"/>
          <w:b/>
          <w:sz w:val="28"/>
          <w:szCs w:val="28"/>
        </w:rPr>
        <w:sectPr w:rsidR="009E1A41" w:rsidSect="00367249">
          <w:footerReference w:type="default" r:id="rId23"/>
          <w:pgSz w:w="16838" w:h="11906" w:orient="landscape"/>
          <w:pgMar w:top="1134" w:right="1103" w:bottom="567" w:left="1134" w:header="709" w:footer="709" w:gutter="0"/>
          <w:cols w:space="708"/>
          <w:titlePg/>
          <w:docGrid w:linePitch="360"/>
        </w:sectPr>
      </w:pPr>
    </w:p>
    <w:p w14:paraId="4C41E366" w14:textId="2426F5AB" w:rsidR="00F7120C" w:rsidRPr="00F7120C" w:rsidRDefault="00F7120C" w:rsidP="00F7120C">
      <w:pPr>
        <w:spacing w:after="0" w:line="240" w:lineRule="auto"/>
        <w:jc w:val="right"/>
        <w:rPr>
          <w:rFonts w:ascii="Garamond" w:hAnsi="Garamond"/>
          <w:b/>
          <w:sz w:val="28"/>
          <w:szCs w:val="28"/>
        </w:rPr>
      </w:pPr>
      <w:r w:rsidRPr="00F7120C">
        <w:rPr>
          <w:rFonts w:ascii="Garamond" w:hAnsi="Garamond"/>
          <w:b/>
          <w:sz w:val="28"/>
          <w:szCs w:val="28"/>
        </w:rPr>
        <w:lastRenderedPageBreak/>
        <w:t>Приложение № 8.4.4</w:t>
      </w:r>
    </w:p>
    <w:p w14:paraId="71C603FC" w14:textId="77777777" w:rsidR="00D76031" w:rsidRPr="00C13274" w:rsidRDefault="00D76031" w:rsidP="00D76031">
      <w:pPr>
        <w:spacing w:after="0" w:line="240" w:lineRule="auto"/>
        <w:rPr>
          <w:rFonts w:ascii="Garamond" w:hAnsi="Garamond"/>
          <w:b/>
          <w:sz w:val="26"/>
        </w:rPr>
      </w:pPr>
    </w:p>
    <w:p w14:paraId="5493C000" w14:textId="77777777" w:rsidR="00E3767A" w:rsidRPr="00D76031" w:rsidRDefault="00E3767A" w:rsidP="00327F44">
      <w:pPr>
        <w:pBdr>
          <w:top w:val="single" w:sz="4" w:space="1" w:color="auto"/>
          <w:left w:val="single" w:sz="4" w:space="4" w:color="auto"/>
          <w:bottom w:val="single" w:sz="4" w:space="1" w:color="auto"/>
          <w:right w:val="single" w:sz="4" w:space="0" w:color="auto"/>
        </w:pBdr>
        <w:spacing w:after="0" w:line="240" w:lineRule="auto"/>
        <w:jc w:val="both"/>
        <w:rPr>
          <w:rFonts w:ascii="Garamond" w:hAnsi="Garamond"/>
          <w:sz w:val="24"/>
          <w:szCs w:val="24"/>
        </w:rPr>
      </w:pPr>
      <w:r w:rsidRPr="00D76031">
        <w:rPr>
          <w:rFonts w:ascii="Garamond" w:hAnsi="Garamond"/>
          <w:b/>
          <w:sz w:val="24"/>
          <w:szCs w:val="24"/>
        </w:rPr>
        <w:t xml:space="preserve">Обоснование: </w:t>
      </w:r>
      <w:r>
        <w:rPr>
          <w:rFonts w:ascii="Garamond" w:hAnsi="Garamond"/>
          <w:sz w:val="24"/>
          <w:szCs w:val="24"/>
        </w:rPr>
        <w:t xml:space="preserve">предлагается внести изменения в </w:t>
      </w:r>
      <w:r w:rsidR="00031D16" w:rsidRPr="00031D16">
        <w:rPr>
          <w:rFonts w:ascii="Garamond" w:hAnsi="Garamond" w:cs="Garamond"/>
          <w:bCs/>
          <w:sz w:val="24"/>
          <w:szCs w:val="24"/>
        </w:rPr>
        <w:t xml:space="preserve">Положение о порядке предоставления финансовых гарантий на оптовом рынке (Приложение </w:t>
      </w:r>
      <w:r w:rsidR="00031D16">
        <w:rPr>
          <w:rFonts w:ascii="Garamond" w:hAnsi="Garamond" w:cs="Garamond"/>
          <w:bCs/>
          <w:sz w:val="24"/>
          <w:szCs w:val="24"/>
        </w:rPr>
        <w:br/>
      </w:r>
      <w:r w:rsidR="00031D16" w:rsidRPr="00031D16">
        <w:rPr>
          <w:rFonts w:ascii="Garamond" w:hAnsi="Garamond" w:cs="Garamond"/>
          <w:bCs/>
          <w:sz w:val="24"/>
          <w:szCs w:val="24"/>
        </w:rPr>
        <w:t>№ 26 к Договору о присоединении к торговой системе оптового рынка)</w:t>
      </w:r>
      <w:r w:rsidR="00031D16">
        <w:rPr>
          <w:rFonts w:ascii="Garamond" w:hAnsi="Garamond" w:cs="Garamond"/>
          <w:bCs/>
          <w:sz w:val="24"/>
          <w:szCs w:val="24"/>
        </w:rPr>
        <w:t xml:space="preserve"> </w:t>
      </w:r>
      <w:r w:rsidRPr="00D76031">
        <w:rPr>
          <w:rFonts w:ascii="Garamond" w:hAnsi="Garamond"/>
          <w:sz w:val="24"/>
          <w:szCs w:val="24"/>
        </w:rPr>
        <w:t xml:space="preserve">в связи с введением в отдельных субъектах Российской Федерации правового режима контртеррористической операции и режима чрезвычайной </w:t>
      </w:r>
      <w:r>
        <w:rPr>
          <w:rFonts w:ascii="Garamond" w:hAnsi="Garamond"/>
          <w:sz w:val="24"/>
          <w:szCs w:val="24"/>
        </w:rPr>
        <w:t>ситуации федерального характера.</w:t>
      </w:r>
    </w:p>
    <w:p w14:paraId="433997BE" w14:textId="446C33E3" w:rsidR="00031D16" w:rsidRPr="00D76031" w:rsidRDefault="00E3767A" w:rsidP="00327F44">
      <w:pPr>
        <w:pBdr>
          <w:top w:val="single" w:sz="4" w:space="1" w:color="auto"/>
          <w:left w:val="single" w:sz="4" w:space="4" w:color="auto"/>
          <w:bottom w:val="single" w:sz="4" w:space="1" w:color="auto"/>
          <w:right w:val="single" w:sz="4" w:space="0" w:color="auto"/>
        </w:pBdr>
        <w:spacing w:after="0" w:line="240" w:lineRule="auto"/>
        <w:jc w:val="both"/>
        <w:rPr>
          <w:rFonts w:ascii="Garamond" w:hAnsi="Garamond" w:cs="Garamond"/>
          <w:bCs/>
          <w:sz w:val="24"/>
          <w:szCs w:val="24"/>
        </w:rPr>
      </w:pPr>
      <w:r w:rsidRPr="00D76031">
        <w:rPr>
          <w:rFonts w:ascii="Garamond" w:hAnsi="Garamond" w:cs="Garamond"/>
          <w:b/>
          <w:bCs/>
          <w:sz w:val="24"/>
          <w:szCs w:val="24"/>
        </w:rPr>
        <w:t xml:space="preserve">Дата вступления в силу: </w:t>
      </w:r>
      <w:r w:rsidR="00031D16" w:rsidRPr="00031D16">
        <w:rPr>
          <w:rFonts w:ascii="Garamond" w:hAnsi="Garamond" w:cs="Garamond"/>
          <w:bCs/>
          <w:sz w:val="24"/>
          <w:szCs w:val="24"/>
        </w:rPr>
        <w:t xml:space="preserve">с </w:t>
      </w:r>
      <w:r w:rsidR="00002176">
        <w:rPr>
          <w:rFonts w:ascii="Garamond" w:hAnsi="Garamond" w:cs="Garamond"/>
          <w:bCs/>
          <w:sz w:val="24"/>
          <w:szCs w:val="24"/>
        </w:rPr>
        <w:t>24 сентября 2024 года</w:t>
      </w:r>
      <w:r w:rsidR="00031D16" w:rsidRPr="003A04C6">
        <w:rPr>
          <w:rFonts w:ascii="Garamond" w:hAnsi="Garamond" w:cs="Garamond"/>
          <w:bCs/>
          <w:sz w:val="24"/>
          <w:szCs w:val="24"/>
        </w:rPr>
        <w:t xml:space="preserve"> и действуют </w:t>
      </w:r>
      <w:r w:rsidR="00C13274" w:rsidRPr="003A04C6">
        <w:rPr>
          <w:rFonts w:ascii="Garamond" w:hAnsi="Garamond" w:cs="Garamond"/>
          <w:bCs/>
          <w:sz w:val="24"/>
          <w:szCs w:val="24"/>
        </w:rPr>
        <w:t>п</w:t>
      </w:r>
      <w:r w:rsidR="00031D16" w:rsidRPr="003A04C6">
        <w:rPr>
          <w:rFonts w:ascii="Garamond" w:hAnsi="Garamond" w:cs="Garamond"/>
          <w:bCs/>
          <w:sz w:val="24"/>
          <w:szCs w:val="24"/>
        </w:rPr>
        <w:t xml:space="preserve">о </w:t>
      </w:r>
      <w:r w:rsidR="00983F9A">
        <w:rPr>
          <w:rFonts w:ascii="Garamond" w:hAnsi="Garamond" w:cs="Garamond"/>
          <w:bCs/>
          <w:sz w:val="24"/>
          <w:szCs w:val="24"/>
        </w:rPr>
        <w:t>31</w:t>
      </w:r>
      <w:r w:rsidR="00002176">
        <w:rPr>
          <w:rFonts w:ascii="Garamond" w:hAnsi="Garamond" w:cs="Garamond"/>
          <w:bCs/>
          <w:sz w:val="24"/>
          <w:szCs w:val="24"/>
        </w:rPr>
        <w:t xml:space="preserve"> мая </w:t>
      </w:r>
      <w:r w:rsidR="00872516" w:rsidRPr="00B2382D">
        <w:rPr>
          <w:rFonts w:ascii="Garamond" w:hAnsi="Garamond" w:cs="Garamond"/>
          <w:bCs/>
          <w:sz w:val="24"/>
          <w:szCs w:val="24"/>
        </w:rPr>
        <w:t>2025</w:t>
      </w:r>
      <w:r w:rsidR="00002176">
        <w:rPr>
          <w:rFonts w:ascii="Garamond" w:hAnsi="Garamond" w:cs="Garamond"/>
          <w:bCs/>
          <w:sz w:val="24"/>
          <w:szCs w:val="24"/>
        </w:rPr>
        <w:t xml:space="preserve"> года</w:t>
      </w:r>
      <w:r w:rsidR="00031D16" w:rsidRPr="00B2382D">
        <w:rPr>
          <w:rFonts w:ascii="Garamond" w:hAnsi="Garamond" w:cs="Garamond"/>
          <w:bCs/>
          <w:sz w:val="24"/>
          <w:szCs w:val="24"/>
        </w:rPr>
        <w:t xml:space="preserve"> (</w:t>
      </w:r>
      <w:r w:rsidR="00031D16" w:rsidRPr="003A04C6">
        <w:rPr>
          <w:rFonts w:ascii="Garamond" w:hAnsi="Garamond" w:cs="Garamond"/>
          <w:bCs/>
          <w:sz w:val="24"/>
          <w:szCs w:val="24"/>
        </w:rPr>
        <w:t>включительно</w:t>
      </w:r>
      <w:r w:rsidR="00031D16" w:rsidRPr="00031D16">
        <w:rPr>
          <w:rFonts w:ascii="Garamond" w:hAnsi="Garamond" w:cs="Garamond"/>
          <w:bCs/>
          <w:sz w:val="24"/>
          <w:szCs w:val="24"/>
        </w:rPr>
        <w:t>).</w:t>
      </w:r>
    </w:p>
    <w:p w14:paraId="6B7EB35A" w14:textId="77777777" w:rsidR="00337FA4" w:rsidRDefault="00337FA4" w:rsidP="004A25C5">
      <w:pPr>
        <w:spacing w:after="0" w:line="240" w:lineRule="auto"/>
        <w:rPr>
          <w:rFonts w:ascii="Garamond" w:hAnsi="Garamond"/>
          <w:b/>
          <w:sz w:val="26"/>
        </w:rPr>
      </w:pPr>
    </w:p>
    <w:p w14:paraId="0F577CBF" w14:textId="5274F242" w:rsidR="00E4072F" w:rsidRDefault="00D46B87" w:rsidP="004A25C5">
      <w:pPr>
        <w:spacing w:after="0" w:line="240" w:lineRule="auto"/>
        <w:rPr>
          <w:rFonts w:ascii="Garamond" w:hAnsi="Garamond"/>
          <w:b/>
          <w:sz w:val="26"/>
        </w:rPr>
      </w:pPr>
      <w:r>
        <w:rPr>
          <w:rFonts w:ascii="Garamond" w:hAnsi="Garamond"/>
          <w:b/>
          <w:sz w:val="26"/>
        </w:rPr>
        <w:t xml:space="preserve">Предложения по изменениям и дополнениям в </w:t>
      </w:r>
      <w:r w:rsidR="00CD41EB" w:rsidRPr="00CD41EB">
        <w:rPr>
          <w:rFonts w:ascii="Garamond" w:hAnsi="Garamond"/>
          <w:b/>
          <w:sz w:val="26"/>
        </w:rPr>
        <w:t>ПОЛОЖЕНИЕ</w:t>
      </w:r>
      <w:r w:rsidR="00CD41EB">
        <w:rPr>
          <w:rFonts w:ascii="Garamond" w:hAnsi="Garamond"/>
          <w:b/>
          <w:sz w:val="26"/>
        </w:rPr>
        <w:t xml:space="preserve"> </w:t>
      </w:r>
      <w:r w:rsidR="00CD41EB" w:rsidRPr="00CD41EB">
        <w:rPr>
          <w:rFonts w:ascii="Garamond" w:hAnsi="Garamond"/>
          <w:b/>
          <w:sz w:val="26"/>
        </w:rPr>
        <w:t>О ПОРЯДКЕ ПРЕДОСТАВЛЕНИЯ ФИНАНСОВЫХ ГАРАНТИЙ НА ОПТОВОМ РЫНКЕ</w:t>
      </w:r>
      <w:r>
        <w:rPr>
          <w:rFonts w:ascii="Garamond" w:hAnsi="Garamond"/>
          <w:b/>
          <w:sz w:val="26"/>
        </w:rPr>
        <w:t xml:space="preserve"> (Приложение № </w:t>
      </w:r>
      <w:r w:rsidR="00CD41EB">
        <w:rPr>
          <w:rFonts w:ascii="Garamond" w:hAnsi="Garamond"/>
          <w:b/>
          <w:sz w:val="26"/>
        </w:rPr>
        <w:t>2</w:t>
      </w:r>
      <w:r>
        <w:rPr>
          <w:rFonts w:ascii="Garamond" w:hAnsi="Garamond"/>
          <w:b/>
          <w:sz w:val="26"/>
        </w:rPr>
        <w:t>6 к Договору о присоединении к торговой системе оптового рынка)</w:t>
      </w:r>
    </w:p>
    <w:p w14:paraId="2A596F20" w14:textId="77777777" w:rsidR="00DE5088" w:rsidRDefault="00DE5088" w:rsidP="00CD41EB">
      <w:pPr>
        <w:spacing w:after="0" w:line="240" w:lineRule="auto"/>
        <w:rPr>
          <w:rFonts w:ascii="Garamond" w:hAnsi="Garamond"/>
          <w:b/>
          <w:sz w:val="26"/>
        </w:rPr>
      </w:pPr>
    </w:p>
    <w:tbl>
      <w:tblPr>
        <w:tblStyle w:val="af6"/>
        <w:tblW w:w="14596" w:type="dxa"/>
        <w:tblLook w:val="04A0" w:firstRow="1" w:lastRow="0" w:firstColumn="1" w:lastColumn="0" w:noHBand="0" w:noVBand="1"/>
      </w:tblPr>
      <w:tblGrid>
        <w:gridCol w:w="1019"/>
        <w:gridCol w:w="6773"/>
        <w:gridCol w:w="6804"/>
      </w:tblGrid>
      <w:tr w:rsidR="00DE5088" w:rsidRPr="004A25C5" w14:paraId="2508BD59" w14:textId="77777777" w:rsidTr="00A85488">
        <w:tc>
          <w:tcPr>
            <w:tcW w:w="1019" w:type="dxa"/>
          </w:tcPr>
          <w:p w14:paraId="4408D9E5" w14:textId="77777777" w:rsidR="00DE5088" w:rsidRPr="004A25C5" w:rsidRDefault="00DE5088" w:rsidP="00DE5088">
            <w:pPr>
              <w:jc w:val="center"/>
              <w:rPr>
                <w:rFonts w:ascii="Garamond" w:hAnsi="Garamond"/>
                <w:b/>
              </w:rPr>
            </w:pPr>
            <w:r w:rsidRPr="004A25C5">
              <w:rPr>
                <w:rFonts w:ascii="Garamond" w:hAnsi="Garamond"/>
                <w:b/>
              </w:rPr>
              <w:t>№ пункта</w:t>
            </w:r>
          </w:p>
        </w:tc>
        <w:tc>
          <w:tcPr>
            <w:tcW w:w="6773" w:type="dxa"/>
          </w:tcPr>
          <w:p w14:paraId="229BF3AB" w14:textId="77777777" w:rsidR="00DE5088" w:rsidRPr="004A25C5" w:rsidRDefault="00DE5088" w:rsidP="00DE5088">
            <w:pPr>
              <w:jc w:val="center"/>
              <w:rPr>
                <w:rFonts w:ascii="Garamond" w:hAnsi="Garamond" w:cs="Garamond"/>
                <w:b/>
              </w:rPr>
            </w:pPr>
            <w:r w:rsidRPr="004A25C5">
              <w:rPr>
                <w:rFonts w:ascii="Garamond" w:hAnsi="Garamond" w:cs="Garamond"/>
                <w:b/>
              </w:rPr>
              <w:t>Редакция, действующая на момент</w:t>
            </w:r>
          </w:p>
          <w:p w14:paraId="53DFB9EA" w14:textId="77777777" w:rsidR="00DE5088" w:rsidRPr="004A25C5" w:rsidRDefault="00DE5088" w:rsidP="00DE5088">
            <w:pPr>
              <w:jc w:val="center"/>
              <w:rPr>
                <w:rFonts w:ascii="Garamond" w:hAnsi="Garamond"/>
                <w:b/>
              </w:rPr>
            </w:pPr>
            <w:r w:rsidRPr="004A25C5">
              <w:rPr>
                <w:rFonts w:ascii="Garamond" w:hAnsi="Garamond" w:cs="Garamond"/>
                <w:b/>
              </w:rPr>
              <w:t>вступления в силу изменений</w:t>
            </w:r>
          </w:p>
        </w:tc>
        <w:tc>
          <w:tcPr>
            <w:tcW w:w="6804" w:type="dxa"/>
          </w:tcPr>
          <w:p w14:paraId="48EC3B32" w14:textId="77777777" w:rsidR="00DE5088" w:rsidRPr="004A25C5" w:rsidRDefault="00DE5088" w:rsidP="00DE5088">
            <w:pPr>
              <w:jc w:val="center"/>
              <w:rPr>
                <w:rFonts w:ascii="Garamond" w:hAnsi="Garamond" w:cs="Garamond"/>
                <w:b/>
              </w:rPr>
            </w:pPr>
            <w:r w:rsidRPr="004A25C5">
              <w:rPr>
                <w:rFonts w:ascii="Garamond" w:hAnsi="Garamond" w:cs="Garamond"/>
                <w:b/>
              </w:rPr>
              <w:t>Предлагаемая редакция</w:t>
            </w:r>
          </w:p>
          <w:p w14:paraId="29A7CA4D" w14:textId="77777777" w:rsidR="00DE5088" w:rsidRPr="004A25C5" w:rsidRDefault="00DE5088" w:rsidP="00DE5088">
            <w:pPr>
              <w:jc w:val="center"/>
              <w:rPr>
                <w:rFonts w:ascii="Garamond" w:hAnsi="Garamond"/>
                <w:b/>
              </w:rPr>
            </w:pPr>
            <w:r w:rsidRPr="004A25C5">
              <w:rPr>
                <w:rFonts w:ascii="Garamond" w:hAnsi="Garamond" w:cs="Garamond"/>
              </w:rPr>
              <w:t>(изменения выделены цветом)</w:t>
            </w:r>
          </w:p>
        </w:tc>
      </w:tr>
      <w:tr w:rsidR="00DE5088" w:rsidRPr="004A25C5" w14:paraId="60E3B58F" w14:textId="77777777" w:rsidTr="00A85488">
        <w:tc>
          <w:tcPr>
            <w:tcW w:w="1019" w:type="dxa"/>
          </w:tcPr>
          <w:p w14:paraId="5B54BCD9" w14:textId="437844C6" w:rsidR="00DE5088" w:rsidRPr="004A25C5" w:rsidRDefault="00851F10" w:rsidP="00851F10">
            <w:pPr>
              <w:widowControl w:val="0"/>
              <w:spacing w:before="120" w:after="120"/>
              <w:jc w:val="center"/>
              <w:rPr>
                <w:rFonts w:ascii="Garamond" w:hAnsi="Garamond"/>
                <w:b/>
              </w:rPr>
            </w:pPr>
            <w:r>
              <w:rPr>
                <w:rFonts w:ascii="Garamond" w:hAnsi="Garamond"/>
                <w:b/>
              </w:rPr>
              <w:t>4.2</w:t>
            </w:r>
          </w:p>
        </w:tc>
        <w:tc>
          <w:tcPr>
            <w:tcW w:w="6773" w:type="dxa"/>
          </w:tcPr>
          <w:p w14:paraId="5CDDAF8A" w14:textId="77777777" w:rsidR="00DE5088" w:rsidRPr="004A25C5" w:rsidRDefault="00DE5088" w:rsidP="00851F10">
            <w:pPr>
              <w:widowControl w:val="0"/>
              <w:spacing w:before="120" w:after="120"/>
              <w:ind w:firstLine="408"/>
              <w:jc w:val="both"/>
              <w:rPr>
                <w:rFonts w:ascii="Garamond" w:hAnsi="Garamond"/>
              </w:rPr>
            </w:pPr>
            <w:r w:rsidRPr="004A25C5">
              <w:rPr>
                <w:rFonts w:ascii="Garamond" w:hAnsi="Garamond"/>
              </w:rPr>
              <w:t xml:space="preserve">ЦФР не позднее 12 (двенадцатого) числа месяца m либо не позднее следующего рабочего дня, если 12 (двенадцатое) число месяца m приходится на нерабочий день, по </w:t>
            </w:r>
            <w:proofErr w:type="spellStart"/>
            <w:r w:rsidRPr="004A25C5">
              <w:rPr>
                <w:rFonts w:ascii="Garamond" w:hAnsi="Garamond"/>
              </w:rPr>
              <w:t>соcтоянию</w:t>
            </w:r>
            <w:proofErr w:type="spellEnd"/>
            <w:r w:rsidRPr="004A25C5">
              <w:rPr>
                <w:rFonts w:ascii="Garamond" w:hAnsi="Garamond"/>
              </w:rPr>
              <w:t xml:space="preserve"> на 7 (седьмое) число месяца либо по состоянию следующего рабочего дня после 7-го числа месяца m, если 7 (седьмое) число месяца m приходится на нерабочий день (если m – январь, то не позднее 4 рабочих дней после даты платежа 14 января по состоянию на 4 (четвертый) рабочий день до даты платежа 14 января; если m – май, то не позднее 12 (двенадцатого) числа месяца m по состоянию на 4 (четвертый) рабочий день до начала месяца m), осуществляет следующие действия по фиксации повторного факта нарушения требования о предоставлении обеспечения исполнения обязательств по оплате электрической энергии на оптовом рынке:</w:t>
            </w:r>
          </w:p>
          <w:p w14:paraId="3FA431C0" w14:textId="77777777" w:rsidR="00DE5088" w:rsidRPr="004A25C5" w:rsidRDefault="00DE5088" w:rsidP="00851F10">
            <w:pPr>
              <w:widowControl w:val="0"/>
              <w:spacing w:before="120" w:after="120"/>
              <w:ind w:firstLine="408"/>
              <w:jc w:val="both"/>
              <w:rPr>
                <w:rFonts w:ascii="Garamond" w:hAnsi="Garamond"/>
              </w:rPr>
            </w:pPr>
            <w:r w:rsidRPr="004A25C5">
              <w:rPr>
                <w:rFonts w:ascii="Garamond" w:hAnsi="Garamond"/>
              </w:rPr>
              <w:t>…</w:t>
            </w:r>
          </w:p>
          <w:p w14:paraId="19156CD1" w14:textId="77777777" w:rsidR="00DE5088" w:rsidRPr="004A25C5" w:rsidRDefault="00DE5088" w:rsidP="00851F10">
            <w:pPr>
              <w:widowControl w:val="0"/>
              <w:spacing w:before="120" w:after="120"/>
              <w:ind w:firstLine="408"/>
              <w:jc w:val="both"/>
              <w:rPr>
                <w:rFonts w:ascii="Garamond" w:hAnsi="Garamond"/>
              </w:rPr>
            </w:pPr>
            <w:r w:rsidRPr="004A25C5">
              <w:rPr>
                <w:rFonts w:ascii="Garamond" w:hAnsi="Garamond"/>
              </w:rPr>
              <w:t xml:space="preserve">В отношении покупателей, не предоставивших финансовые гарантии на месяц m и месяц m+1, ЦФР направляет в Совет рынка уведомления о фиксации факта нарушения в порядке, предусмотренном </w:t>
            </w:r>
            <w:r w:rsidRPr="001A0173">
              <w:rPr>
                <w:rFonts w:ascii="Garamond" w:hAnsi="Garamond"/>
                <w:i/>
              </w:rPr>
              <w:t>Положением о применении санкций на оптовом рынке электрической энергии и мощности</w:t>
            </w:r>
            <w:r w:rsidRPr="004A25C5">
              <w:rPr>
                <w:rFonts w:ascii="Garamond" w:hAnsi="Garamond"/>
              </w:rPr>
              <w:t xml:space="preserve"> (Приложение № 21 к </w:t>
            </w:r>
            <w:r w:rsidRPr="001A0173">
              <w:rPr>
                <w:rFonts w:ascii="Garamond" w:hAnsi="Garamond"/>
                <w:i/>
              </w:rPr>
              <w:t>Договору о присоединении к торговой системе оптового рынка</w:t>
            </w:r>
            <w:r w:rsidRPr="004A25C5">
              <w:rPr>
                <w:rFonts w:ascii="Garamond" w:hAnsi="Garamond"/>
              </w:rPr>
              <w:t>).</w:t>
            </w:r>
          </w:p>
          <w:p w14:paraId="65FC4E23" w14:textId="77777777" w:rsidR="00DE5088" w:rsidRPr="004A25C5" w:rsidRDefault="00DE5088" w:rsidP="00851F10">
            <w:pPr>
              <w:widowControl w:val="0"/>
              <w:spacing w:before="120" w:after="120"/>
              <w:ind w:firstLine="408"/>
              <w:jc w:val="both"/>
              <w:rPr>
                <w:rFonts w:ascii="Garamond" w:hAnsi="Garamond"/>
              </w:rPr>
            </w:pPr>
            <w:r w:rsidRPr="004A25C5">
              <w:rPr>
                <w:rFonts w:ascii="Garamond" w:hAnsi="Garamond"/>
              </w:rPr>
              <w:t>…</w:t>
            </w:r>
          </w:p>
        </w:tc>
        <w:tc>
          <w:tcPr>
            <w:tcW w:w="6804" w:type="dxa"/>
          </w:tcPr>
          <w:p w14:paraId="1B4E881B" w14:textId="77777777" w:rsidR="00DE5088" w:rsidRPr="004A25C5" w:rsidRDefault="00DE5088" w:rsidP="00851F10">
            <w:pPr>
              <w:widowControl w:val="0"/>
              <w:tabs>
                <w:tab w:val="left" w:pos="567"/>
              </w:tabs>
              <w:spacing w:before="120" w:after="120"/>
              <w:ind w:firstLine="482"/>
              <w:jc w:val="both"/>
              <w:rPr>
                <w:rFonts w:ascii="Garamond" w:hAnsi="Garamond"/>
              </w:rPr>
            </w:pPr>
            <w:r w:rsidRPr="004A25C5">
              <w:rPr>
                <w:rFonts w:ascii="Garamond" w:hAnsi="Garamond"/>
              </w:rPr>
              <w:t xml:space="preserve">ЦФР не позднее 12 (двенадцатого) числа месяца </w:t>
            </w:r>
            <w:r w:rsidRPr="004A25C5">
              <w:rPr>
                <w:rFonts w:ascii="Garamond" w:hAnsi="Garamond"/>
                <w:i/>
                <w:lang w:val="en-US"/>
              </w:rPr>
              <w:t>m</w:t>
            </w:r>
            <w:r w:rsidRPr="004A25C5">
              <w:rPr>
                <w:rFonts w:ascii="Garamond" w:hAnsi="Garamond"/>
                <w:i/>
              </w:rPr>
              <w:t xml:space="preserve"> </w:t>
            </w:r>
            <w:r w:rsidRPr="004A25C5">
              <w:rPr>
                <w:rFonts w:ascii="Garamond" w:hAnsi="Garamond"/>
              </w:rPr>
              <w:t xml:space="preserve">либо не позднее следующего рабочего дня, если 12 (двенадцатое) число месяца </w:t>
            </w:r>
            <w:r w:rsidRPr="004A25C5">
              <w:rPr>
                <w:rFonts w:ascii="Garamond" w:hAnsi="Garamond"/>
                <w:i/>
              </w:rPr>
              <w:t>m</w:t>
            </w:r>
            <w:r w:rsidRPr="004A25C5">
              <w:rPr>
                <w:rFonts w:ascii="Garamond" w:hAnsi="Garamond"/>
              </w:rPr>
              <w:t xml:space="preserve"> приходится на нерабочий день, по </w:t>
            </w:r>
            <w:proofErr w:type="spellStart"/>
            <w:r w:rsidRPr="004A25C5">
              <w:rPr>
                <w:rFonts w:ascii="Garamond" w:hAnsi="Garamond"/>
              </w:rPr>
              <w:t>соcтоянию</w:t>
            </w:r>
            <w:proofErr w:type="spellEnd"/>
            <w:r w:rsidRPr="004A25C5">
              <w:rPr>
                <w:rFonts w:ascii="Garamond" w:hAnsi="Garamond"/>
              </w:rPr>
              <w:t xml:space="preserve"> на 7 (седьмое) число месяца либо по состоянию следующего рабочего дня после 7-го числа месяца </w:t>
            </w:r>
            <w:r w:rsidRPr="004A25C5">
              <w:rPr>
                <w:rFonts w:ascii="Garamond" w:hAnsi="Garamond"/>
                <w:i/>
                <w:lang w:val="en-US"/>
              </w:rPr>
              <w:t>m</w:t>
            </w:r>
            <w:r w:rsidRPr="004A25C5">
              <w:rPr>
                <w:rFonts w:ascii="Garamond" w:hAnsi="Garamond"/>
              </w:rPr>
              <w:t xml:space="preserve">, если 7 (седьмое) число месяца </w:t>
            </w:r>
            <w:r w:rsidRPr="004A25C5">
              <w:rPr>
                <w:rFonts w:ascii="Garamond" w:hAnsi="Garamond"/>
                <w:i/>
                <w:lang w:val="en-US"/>
              </w:rPr>
              <w:t>m</w:t>
            </w:r>
            <w:r w:rsidRPr="004A25C5">
              <w:rPr>
                <w:rFonts w:ascii="Garamond" w:hAnsi="Garamond"/>
              </w:rPr>
              <w:t xml:space="preserve"> приходится на нерабочий день (если </w:t>
            </w:r>
            <w:r w:rsidRPr="004A25C5">
              <w:rPr>
                <w:rFonts w:ascii="Garamond" w:hAnsi="Garamond"/>
                <w:i/>
              </w:rPr>
              <w:t>m</w:t>
            </w:r>
            <w:r w:rsidRPr="004A25C5">
              <w:rPr>
                <w:rFonts w:ascii="Garamond" w:hAnsi="Garamond"/>
              </w:rPr>
              <w:t xml:space="preserve"> – январь, то не позднее 4 рабочих дней после даты платежа 14 января по состоянию на 4 (четвертый) рабочий день до даты платежа 14 января; если </w:t>
            </w:r>
            <w:r w:rsidRPr="004A25C5">
              <w:rPr>
                <w:rFonts w:ascii="Garamond" w:hAnsi="Garamond"/>
                <w:i/>
              </w:rPr>
              <w:t xml:space="preserve">m </w:t>
            </w:r>
            <w:r w:rsidRPr="004A25C5">
              <w:rPr>
                <w:rFonts w:ascii="Garamond" w:hAnsi="Garamond"/>
              </w:rPr>
              <w:t xml:space="preserve">– май, то не позднее 12 (двенадцатого) числа месяца </w:t>
            </w:r>
            <w:r w:rsidRPr="004A25C5">
              <w:rPr>
                <w:rFonts w:ascii="Garamond" w:hAnsi="Garamond"/>
                <w:i/>
                <w:lang w:val="en-US"/>
              </w:rPr>
              <w:t>m</w:t>
            </w:r>
            <w:r w:rsidRPr="004A25C5">
              <w:rPr>
                <w:rFonts w:ascii="Garamond" w:hAnsi="Garamond"/>
              </w:rPr>
              <w:t xml:space="preserve"> по состоянию на 4 (четвертый) рабочий день до начала месяца </w:t>
            </w:r>
            <w:r w:rsidRPr="004A25C5">
              <w:rPr>
                <w:rFonts w:ascii="Garamond" w:hAnsi="Garamond"/>
                <w:i/>
                <w:lang w:val="en-US"/>
              </w:rPr>
              <w:t>m</w:t>
            </w:r>
            <w:r w:rsidRPr="004A25C5">
              <w:rPr>
                <w:rFonts w:ascii="Garamond" w:hAnsi="Garamond"/>
              </w:rPr>
              <w:t>),</w:t>
            </w:r>
            <w:r w:rsidRPr="004A25C5">
              <w:rPr>
                <w:rFonts w:ascii="Garamond" w:hAnsi="Garamond"/>
                <w:i/>
              </w:rPr>
              <w:t xml:space="preserve"> </w:t>
            </w:r>
            <w:r w:rsidRPr="004A25C5">
              <w:rPr>
                <w:rFonts w:ascii="Garamond" w:hAnsi="Garamond"/>
              </w:rPr>
              <w:t xml:space="preserve">осуществляет следующие действия по фиксации повторного факта нарушения требования о предоставлении </w:t>
            </w:r>
            <w:r w:rsidRPr="004A25C5">
              <w:rPr>
                <w:rFonts w:ascii="Garamond" w:hAnsi="Garamond"/>
                <w:color w:val="000000"/>
              </w:rPr>
              <w:t>обеспечения исполнения обязательств по оплате электрической энергии на оптовом рынке</w:t>
            </w:r>
            <w:r w:rsidRPr="004A25C5">
              <w:rPr>
                <w:rFonts w:ascii="Garamond" w:hAnsi="Garamond"/>
              </w:rPr>
              <w:t>:</w:t>
            </w:r>
          </w:p>
          <w:p w14:paraId="2EC84329" w14:textId="77777777" w:rsidR="00DE5088" w:rsidRPr="004A25C5" w:rsidRDefault="00DE5088" w:rsidP="00851F10">
            <w:pPr>
              <w:widowControl w:val="0"/>
              <w:tabs>
                <w:tab w:val="left" w:pos="851"/>
              </w:tabs>
              <w:spacing w:before="120" w:after="120"/>
              <w:ind w:left="567"/>
              <w:jc w:val="both"/>
              <w:rPr>
                <w:rFonts w:ascii="Garamond" w:hAnsi="Garamond"/>
              </w:rPr>
            </w:pPr>
            <w:r w:rsidRPr="004A25C5">
              <w:rPr>
                <w:rFonts w:ascii="Garamond" w:hAnsi="Garamond"/>
              </w:rPr>
              <w:t>…</w:t>
            </w:r>
          </w:p>
          <w:p w14:paraId="53C53D15" w14:textId="77777777" w:rsidR="00D90529" w:rsidRPr="004A25C5" w:rsidRDefault="00DE5088" w:rsidP="00851F10">
            <w:pPr>
              <w:widowControl w:val="0"/>
              <w:tabs>
                <w:tab w:val="left" w:pos="567"/>
              </w:tabs>
              <w:spacing w:before="120" w:after="120"/>
              <w:jc w:val="both"/>
              <w:rPr>
                <w:rFonts w:ascii="Garamond" w:hAnsi="Garamond"/>
              </w:rPr>
            </w:pPr>
            <w:r w:rsidRPr="004A25C5">
              <w:rPr>
                <w:rFonts w:ascii="Garamond" w:hAnsi="Garamond"/>
              </w:rPr>
              <w:tab/>
              <w:t xml:space="preserve">В отношении покупателей, не предоставивших финансовые гарантии на месяц </w:t>
            </w:r>
            <w:r w:rsidRPr="004A25C5">
              <w:rPr>
                <w:rFonts w:ascii="Garamond" w:hAnsi="Garamond"/>
                <w:i/>
                <w:lang w:val="en-US"/>
              </w:rPr>
              <w:t>m</w:t>
            </w:r>
            <w:r w:rsidRPr="004A25C5">
              <w:rPr>
                <w:rFonts w:ascii="Garamond" w:hAnsi="Garamond"/>
              </w:rPr>
              <w:t xml:space="preserve"> и месяц </w:t>
            </w:r>
            <w:r w:rsidRPr="004A25C5">
              <w:rPr>
                <w:rFonts w:ascii="Garamond" w:hAnsi="Garamond"/>
                <w:i/>
                <w:lang w:val="en-US"/>
              </w:rPr>
              <w:t>m</w:t>
            </w:r>
            <w:r w:rsidRPr="004A25C5">
              <w:rPr>
                <w:rFonts w:ascii="Garamond" w:hAnsi="Garamond"/>
              </w:rPr>
              <w:t xml:space="preserve">+1, ЦФР направляет в Совет рынка уведомления о фиксации факта нарушения в порядке, предусмотренном </w:t>
            </w:r>
            <w:r w:rsidRPr="004A25C5">
              <w:rPr>
                <w:rFonts w:ascii="Garamond" w:hAnsi="Garamond"/>
                <w:i/>
              </w:rPr>
              <w:t xml:space="preserve">Положением о применении санкций на оптовом рынке электрической энергии и мощности </w:t>
            </w:r>
            <w:r w:rsidRPr="004A25C5">
              <w:rPr>
                <w:rFonts w:ascii="Garamond" w:hAnsi="Garamond"/>
              </w:rPr>
              <w:t>(Приложение № 21 к</w:t>
            </w:r>
            <w:r w:rsidRPr="004A25C5">
              <w:rPr>
                <w:rFonts w:ascii="Garamond" w:hAnsi="Garamond"/>
                <w:i/>
              </w:rPr>
              <w:t xml:space="preserve"> Договору о присоединении к торговой системе оптового рынка</w:t>
            </w:r>
            <w:r w:rsidRPr="004A25C5">
              <w:rPr>
                <w:rFonts w:ascii="Garamond" w:hAnsi="Garamond"/>
              </w:rPr>
              <w:t xml:space="preserve">).  </w:t>
            </w:r>
          </w:p>
          <w:p w14:paraId="50C52984" w14:textId="189E273A" w:rsidR="00DE5088" w:rsidRPr="004A25C5" w:rsidRDefault="00DE5088" w:rsidP="00851F10">
            <w:pPr>
              <w:widowControl w:val="0"/>
              <w:tabs>
                <w:tab w:val="left" w:pos="567"/>
              </w:tabs>
              <w:spacing w:before="120" w:after="120"/>
              <w:ind w:firstLine="604"/>
              <w:jc w:val="both"/>
              <w:rPr>
                <w:rFonts w:ascii="Garamond" w:hAnsi="Garamond"/>
                <w:highlight w:val="yellow"/>
              </w:rPr>
            </w:pPr>
            <w:r w:rsidRPr="004A25C5">
              <w:rPr>
                <w:rFonts w:ascii="Garamond" w:hAnsi="Garamond"/>
                <w:highlight w:val="yellow"/>
              </w:rPr>
              <w:t>Указанные уведомления не направляются в отношении</w:t>
            </w:r>
            <w:r w:rsidR="00D44085" w:rsidRPr="004A25C5">
              <w:rPr>
                <w:rFonts w:ascii="Garamond" w:hAnsi="Garamond"/>
                <w:highlight w:val="yellow"/>
              </w:rPr>
              <w:t xml:space="preserve"> участников оптового рынка, </w:t>
            </w:r>
            <w:r w:rsidR="00AD056E" w:rsidRPr="004A25C5">
              <w:rPr>
                <w:rFonts w:ascii="Garamond" w:hAnsi="Garamond"/>
                <w:highlight w:val="yellow"/>
              </w:rPr>
              <w:t xml:space="preserve">функционирующих на территориях субъекта Российской Федерации, определяемого решением Наблюдательного совета СР, и для которых решением Наблюдательного совета СР утверждена сумма допустимой задолженности, в отношении </w:t>
            </w:r>
            <w:r w:rsidR="00AD056E" w:rsidRPr="004A25C5">
              <w:rPr>
                <w:rFonts w:ascii="Garamond" w:hAnsi="Garamond"/>
                <w:highlight w:val="yellow"/>
              </w:rPr>
              <w:lastRenderedPageBreak/>
              <w:t xml:space="preserve">которой применяются особенности расчета и </w:t>
            </w:r>
            <w:r w:rsidR="00FB56B1">
              <w:rPr>
                <w:rFonts w:ascii="Garamond" w:hAnsi="Garamond"/>
                <w:highlight w:val="yellow"/>
              </w:rPr>
              <w:t>у</w:t>
            </w:r>
            <w:r w:rsidR="00AD056E" w:rsidRPr="004A25C5">
              <w:rPr>
                <w:rFonts w:ascii="Garamond" w:hAnsi="Garamond"/>
                <w:highlight w:val="yellow"/>
              </w:rPr>
              <w:t>платы неустойки (пени),</w:t>
            </w:r>
            <w:r w:rsidR="0067114C" w:rsidRPr="004A25C5">
              <w:rPr>
                <w:rFonts w:ascii="Garamond" w:hAnsi="Garamond"/>
                <w:highlight w:val="yellow"/>
              </w:rPr>
              <w:t xml:space="preserve"> указанных в подпункте 18 пункта 12.5 </w:t>
            </w:r>
            <w:r w:rsidR="0067114C" w:rsidRPr="00FB56B1">
              <w:rPr>
                <w:rFonts w:ascii="Garamond" w:hAnsi="Garamond"/>
                <w:i/>
                <w:highlight w:val="yellow"/>
              </w:rPr>
              <w:t>Регламента финансовых расчетов на оптовом рынке электроэнергии</w:t>
            </w:r>
            <w:r w:rsidR="00FB56B1">
              <w:rPr>
                <w:rFonts w:ascii="Garamond" w:hAnsi="Garamond"/>
                <w:highlight w:val="yellow"/>
              </w:rPr>
              <w:t xml:space="preserve"> </w:t>
            </w:r>
            <w:r w:rsidR="00FB56B1" w:rsidRPr="004A25C5">
              <w:rPr>
                <w:rFonts w:ascii="Garamond" w:hAnsi="Garamond"/>
                <w:highlight w:val="yellow"/>
              </w:rPr>
              <w:t xml:space="preserve">(Приложение № 16 к </w:t>
            </w:r>
            <w:r w:rsidR="00FB56B1" w:rsidRPr="004A25C5">
              <w:rPr>
                <w:rFonts w:ascii="Garamond" w:hAnsi="Garamond"/>
                <w:i/>
                <w:highlight w:val="yellow"/>
              </w:rPr>
              <w:t>Договору о присоединении к торговой системе оптового рынка</w:t>
            </w:r>
            <w:r w:rsidR="00FB56B1" w:rsidRPr="004A25C5">
              <w:rPr>
                <w:rFonts w:ascii="Garamond" w:hAnsi="Garamond"/>
                <w:highlight w:val="yellow"/>
              </w:rPr>
              <w:t>)</w:t>
            </w:r>
            <w:r w:rsidR="0067114C" w:rsidRPr="004A25C5">
              <w:rPr>
                <w:rFonts w:ascii="Garamond" w:hAnsi="Garamond"/>
                <w:highlight w:val="yellow"/>
              </w:rPr>
              <w:t>,</w:t>
            </w:r>
            <w:r w:rsidR="00AD056E" w:rsidRPr="004A25C5">
              <w:rPr>
                <w:rFonts w:ascii="Garamond" w:hAnsi="Garamond"/>
                <w:highlight w:val="yellow"/>
              </w:rPr>
              <w:t xml:space="preserve"> </w:t>
            </w:r>
            <w:r w:rsidRPr="004A25C5">
              <w:rPr>
                <w:rFonts w:ascii="Garamond" w:hAnsi="Garamond"/>
                <w:highlight w:val="yellow"/>
              </w:rPr>
              <w:t xml:space="preserve">в случае если </w:t>
            </w:r>
            <w:r w:rsidR="00EA2F33" w:rsidRPr="004A25C5">
              <w:rPr>
                <w:rFonts w:ascii="Garamond" w:hAnsi="Garamond"/>
                <w:highlight w:val="yellow"/>
              </w:rPr>
              <w:t xml:space="preserve">в расчетном месяце </w:t>
            </w:r>
            <w:r w:rsidR="00EA2F33" w:rsidRPr="004A25C5">
              <w:rPr>
                <w:rFonts w:ascii="Garamond" w:hAnsi="Garamond"/>
                <w:i/>
                <w:highlight w:val="yellow"/>
                <w:lang w:val="en-US"/>
              </w:rPr>
              <w:t>m</w:t>
            </w:r>
            <w:r w:rsidR="00FB56B1">
              <w:rPr>
                <w:rFonts w:ascii="Garamond" w:hAnsi="Garamond"/>
                <w:highlight w:val="yellow"/>
              </w:rPr>
              <w:t>–</w:t>
            </w:r>
            <w:r w:rsidR="00EA2F33" w:rsidRPr="004A25C5">
              <w:rPr>
                <w:rFonts w:ascii="Garamond" w:hAnsi="Garamond"/>
                <w:highlight w:val="yellow"/>
              </w:rPr>
              <w:t>1 (если</w:t>
            </w:r>
            <w:r w:rsidR="00835D8F">
              <w:rPr>
                <w:rFonts w:ascii="Garamond" w:hAnsi="Garamond"/>
                <w:highlight w:val="yellow"/>
              </w:rPr>
              <w:t xml:space="preserve"> </w:t>
            </w:r>
            <w:r w:rsidR="00EA2F33" w:rsidRPr="004A25C5">
              <w:rPr>
                <w:rFonts w:ascii="Garamond" w:hAnsi="Garamond"/>
                <w:i/>
                <w:highlight w:val="yellow"/>
                <w:lang w:val="en-US"/>
              </w:rPr>
              <w:t>m</w:t>
            </w:r>
            <w:r w:rsidR="00FB56B1">
              <w:rPr>
                <w:rFonts w:ascii="Garamond" w:hAnsi="Garamond"/>
                <w:highlight w:val="yellow"/>
              </w:rPr>
              <w:t>–</w:t>
            </w:r>
            <w:r w:rsidR="00EA2F33" w:rsidRPr="004A25C5">
              <w:rPr>
                <w:rFonts w:ascii="Garamond" w:hAnsi="Garamond"/>
                <w:highlight w:val="yellow"/>
              </w:rPr>
              <w:t xml:space="preserve">1 входит в период с сентября 2024 года по декабрь 2024 года) </w:t>
            </w:r>
            <w:r w:rsidRPr="004A25C5">
              <w:rPr>
                <w:rFonts w:ascii="Garamond" w:hAnsi="Garamond"/>
                <w:highlight w:val="yellow"/>
              </w:rPr>
              <w:t>не зафиксирован ни один случай превышения величины неисполненных (ненадлежащим образом исполненных) обязательств так</w:t>
            </w:r>
            <w:r w:rsidR="00B106B4" w:rsidRPr="004A25C5">
              <w:rPr>
                <w:rFonts w:ascii="Garamond" w:hAnsi="Garamond"/>
                <w:highlight w:val="yellow"/>
              </w:rPr>
              <w:t>их</w:t>
            </w:r>
            <w:r w:rsidRPr="004A25C5">
              <w:rPr>
                <w:rFonts w:ascii="Garamond" w:hAnsi="Garamond"/>
                <w:highlight w:val="yellow"/>
              </w:rPr>
              <w:t xml:space="preserve"> участник</w:t>
            </w:r>
            <w:r w:rsidR="00B106B4" w:rsidRPr="004A25C5">
              <w:rPr>
                <w:rFonts w:ascii="Garamond" w:hAnsi="Garamond"/>
                <w:highlight w:val="yellow"/>
              </w:rPr>
              <w:t>ов</w:t>
            </w:r>
            <w:r w:rsidRPr="004A25C5">
              <w:rPr>
                <w:rFonts w:ascii="Garamond" w:hAnsi="Garamond"/>
                <w:highlight w:val="yellow"/>
              </w:rPr>
              <w:t xml:space="preserve"> по итогам рабочего дня над суммой допустимой задолженности, в отношении которой применяются особенности расчета и </w:t>
            </w:r>
            <w:r w:rsidR="00FB56B1">
              <w:rPr>
                <w:rFonts w:ascii="Garamond" w:hAnsi="Garamond"/>
                <w:highlight w:val="yellow"/>
              </w:rPr>
              <w:t>у</w:t>
            </w:r>
            <w:r w:rsidRPr="004A25C5">
              <w:rPr>
                <w:rFonts w:ascii="Garamond" w:hAnsi="Garamond"/>
                <w:highlight w:val="yellow"/>
              </w:rPr>
              <w:t xml:space="preserve">платы неустойки (пени) в соответствии с п. 12.5.7 </w:t>
            </w:r>
            <w:r w:rsidRPr="004A25C5">
              <w:rPr>
                <w:rFonts w:ascii="Garamond" w:hAnsi="Garamond"/>
                <w:i/>
                <w:highlight w:val="yellow"/>
              </w:rPr>
              <w:t>Регламента финансовых расчетов на оптовом рынке электроэнергии</w:t>
            </w:r>
            <w:r w:rsidRPr="004A25C5">
              <w:rPr>
                <w:rFonts w:ascii="Garamond" w:hAnsi="Garamond"/>
                <w:highlight w:val="yellow"/>
              </w:rPr>
              <w:t xml:space="preserve"> (Приложение № 16 к </w:t>
            </w:r>
            <w:r w:rsidRPr="004A25C5">
              <w:rPr>
                <w:rFonts w:ascii="Garamond" w:hAnsi="Garamond"/>
                <w:i/>
                <w:highlight w:val="yellow"/>
              </w:rPr>
              <w:t>Договору о присоединении к торговой системе оптового рынка</w:t>
            </w:r>
            <w:r w:rsidRPr="004A25C5">
              <w:rPr>
                <w:rFonts w:ascii="Garamond" w:hAnsi="Garamond"/>
                <w:highlight w:val="yellow"/>
              </w:rPr>
              <w:t>)</w:t>
            </w:r>
            <w:r w:rsidR="00FB56B1">
              <w:rPr>
                <w:rFonts w:ascii="Garamond" w:hAnsi="Garamond"/>
                <w:highlight w:val="yellow"/>
              </w:rPr>
              <w:t>,</w:t>
            </w:r>
            <w:r w:rsidR="00872516" w:rsidRPr="004A25C5">
              <w:rPr>
                <w:rFonts w:ascii="Garamond" w:hAnsi="Garamond"/>
                <w:highlight w:val="yellow"/>
              </w:rPr>
              <w:t xml:space="preserve"> или </w:t>
            </w:r>
            <w:r w:rsidR="00EA2F33" w:rsidRPr="004A25C5">
              <w:rPr>
                <w:rFonts w:ascii="Garamond" w:hAnsi="Garamond"/>
                <w:highlight w:val="yellow"/>
              </w:rPr>
              <w:t xml:space="preserve">в расчетном месяце </w:t>
            </w:r>
            <w:r w:rsidR="00EA2F33" w:rsidRPr="004A25C5">
              <w:rPr>
                <w:rFonts w:ascii="Garamond" w:hAnsi="Garamond"/>
                <w:i/>
                <w:highlight w:val="yellow"/>
                <w:lang w:val="en-US"/>
              </w:rPr>
              <w:t>m</w:t>
            </w:r>
            <w:r w:rsidR="00FB56B1">
              <w:rPr>
                <w:rFonts w:ascii="Garamond" w:hAnsi="Garamond"/>
                <w:highlight w:val="yellow"/>
              </w:rPr>
              <w:t>–1 (если</w:t>
            </w:r>
            <w:r w:rsidR="00EA2F33" w:rsidRPr="004A25C5">
              <w:rPr>
                <w:rFonts w:ascii="Garamond" w:hAnsi="Garamond"/>
                <w:highlight w:val="yellow"/>
              </w:rPr>
              <w:t xml:space="preserve"> </w:t>
            </w:r>
            <w:r w:rsidR="00EA2F33" w:rsidRPr="004A25C5">
              <w:rPr>
                <w:rFonts w:ascii="Garamond" w:hAnsi="Garamond"/>
                <w:i/>
                <w:highlight w:val="yellow"/>
                <w:lang w:val="en-US"/>
              </w:rPr>
              <w:t>m</w:t>
            </w:r>
            <w:r w:rsidR="00FB56B1">
              <w:rPr>
                <w:rFonts w:ascii="Garamond" w:hAnsi="Garamond"/>
                <w:highlight w:val="yellow"/>
              </w:rPr>
              <w:t>–1</w:t>
            </w:r>
            <w:r w:rsidR="00835D8F">
              <w:rPr>
                <w:rFonts w:ascii="Garamond" w:hAnsi="Garamond"/>
                <w:highlight w:val="yellow"/>
              </w:rPr>
              <w:t xml:space="preserve"> </w:t>
            </w:r>
            <w:r w:rsidR="00FB56B1">
              <w:rPr>
                <w:rFonts w:ascii="Garamond" w:hAnsi="Garamond"/>
                <w:highlight w:val="yellow"/>
              </w:rPr>
              <w:t>входит в период с января</w:t>
            </w:r>
            <w:r w:rsidR="00EA2F33" w:rsidRPr="004A25C5">
              <w:rPr>
                <w:rFonts w:ascii="Garamond" w:hAnsi="Garamond"/>
                <w:highlight w:val="yellow"/>
              </w:rPr>
              <w:t xml:space="preserve"> по апрель 2025 года)</w:t>
            </w:r>
            <w:r w:rsidR="00FB56B1">
              <w:rPr>
                <w:rFonts w:ascii="Garamond" w:hAnsi="Garamond"/>
                <w:highlight w:val="yellow"/>
              </w:rPr>
              <w:t xml:space="preserve"> </w:t>
            </w:r>
            <w:r w:rsidR="00872516" w:rsidRPr="004A25C5">
              <w:rPr>
                <w:rFonts w:ascii="Garamond" w:hAnsi="Garamond"/>
                <w:highlight w:val="yellow"/>
              </w:rPr>
              <w:t>по итогам каждого рабочего дня неисполненные (ненадлежащим образом исполненные) обязательства отсутствовали</w:t>
            </w:r>
            <w:r w:rsidRPr="004A25C5">
              <w:rPr>
                <w:rFonts w:ascii="Garamond" w:hAnsi="Garamond"/>
                <w:highlight w:val="yellow"/>
              </w:rPr>
              <w:t>.</w:t>
            </w:r>
          </w:p>
          <w:p w14:paraId="36D69375" w14:textId="77777777" w:rsidR="00DE5088" w:rsidRPr="004A25C5" w:rsidRDefault="00DE5088" w:rsidP="00851F10">
            <w:pPr>
              <w:widowControl w:val="0"/>
              <w:spacing w:before="120" w:after="120"/>
              <w:rPr>
                <w:rFonts w:ascii="Garamond" w:hAnsi="Garamond"/>
                <w:b/>
              </w:rPr>
            </w:pPr>
            <w:r w:rsidRPr="004A25C5">
              <w:rPr>
                <w:rFonts w:ascii="Garamond" w:hAnsi="Garamond"/>
              </w:rPr>
              <w:tab/>
              <w:t>…</w:t>
            </w:r>
          </w:p>
        </w:tc>
      </w:tr>
    </w:tbl>
    <w:p w14:paraId="20006FC8" w14:textId="77777777" w:rsidR="00CD46D5" w:rsidRDefault="00CD46D5" w:rsidP="00A85488">
      <w:pPr>
        <w:spacing w:after="0" w:line="240" w:lineRule="auto"/>
        <w:rPr>
          <w:rFonts w:ascii="Garamond" w:hAnsi="Garamond"/>
          <w:b/>
          <w:sz w:val="28"/>
          <w:szCs w:val="28"/>
        </w:rPr>
      </w:pPr>
    </w:p>
    <w:p w14:paraId="0EDFB80D" w14:textId="77777777" w:rsidR="00337FA4" w:rsidRDefault="00337FA4">
      <w:pPr>
        <w:rPr>
          <w:rFonts w:ascii="Garamond" w:hAnsi="Garamond"/>
          <w:b/>
          <w:sz w:val="28"/>
          <w:szCs w:val="28"/>
        </w:rPr>
      </w:pPr>
      <w:r>
        <w:rPr>
          <w:rFonts w:ascii="Garamond" w:hAnsi="Garamond"/>
          <w:b/>
          <w:sz w:val="28"/>
          <w:szCs w:val="28"/>
        </w:rPr>
        <w:br w:type="page"/>
      </w:r>
    </w:p>
    <w:p w14:paraId="7EE2FEE6" w14:textId="30ECFE2C" w:rsidR="00F7120C" w:rsidRPr="00F7120C" w:rsidRDefault="00F7120C" w:rsidP="00F7120C">
      <w:pPr>
        <w:spacing w:after="0" w:line="240" w:lineRule="auto"/>
        <w:jc w:val="right"/>
        <w:rPr>
          <w:rFonts w:ascii="Garamond" w:hAnsi="Garamond"/>
          <w:b/>
          <w:sz w:val="28"/>
          <w:szCs w:val="28"/>
        </w:rPr>
      </w:pPr>
      <w:r w:rsidRPr="00F7120C">
        <w:rPr>
          <w:rFonts w:ascii="Garamond" w:hAnsi="Garamond"/>
          <w:b/>
          <w:sz w:val="28"/>
          <w:szCs w:val="28"/>
        </w:rPr>
        <w:lastRenderedPageBreak/>
        <w:t>Приложение № 8.4.</w:t>
      </w:r>
      <w:r>
        <w:rPr>
          <w:rFonts w:ascii="Garamond" w:hAnsi="Garamond"/>
          <w:b/>
          <w:sz w:val="28"/>
          <w:szCs w:val="28"/>
        </w:rPr>
        <w:t>5</w:t>
      </w:r>
    </w:p>
    <w:p w14:paraId="216FFE21" w14:textId="77777777" w:rsidR="00960A54" w:rsidRDefault="00960A54" w:rsidP="00960A54">
      <w:pPr>
        <w:spacing w:after="0" w:line="240" w:lineRule="auto"/>
        <w:jc w:val="right"/>
        <w:rPr>
          <w:rFonts w:ascii="Garamond" w:hAnsi="Garamond"/>
          <w:b/>
          <w:sz w:val="28"/>
          <w:szCs w:val="28"/>
          <w:lang w:val="en-US"/>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3"/>
      </w:tblGrid>
      <w:tr w:rsidR="00960A54" w:rsidRPr="00CE743D" w14:paraId="16F9AA25" w14:textId="77777777" w:rsidTr="00960A54">
        <w:tc>
          <w:tcPr>
            <w:tcW w:w="14743" w:type="dxa"/>
          </w:tcPr>
          <w:p w14:paraId="02FB0911" w14:textId="77777777" w:rsidR="00960A54" w:rsidRPr="00960A54" w:rsidRDefault="00960A54" w:rsidP="00B92519">
            <w:pPr>
              <w:pStyle w:val="ConsPlusNormal"/>
              <w:tabs>
                <w:tab w:val="left" w:pos="360"/>
              </w:tabs>
              <w:ind w:firstLine="0"/>
              <w:rPr>
                <w:rFonts w:ascii="Garamond" w:hAnsi="Garamond"/>
                <w:sz w:val="24"/>
                <w:szCs w:val="24"/>
              </w:rPr>
            </w:pPr>
            <w:r w:rsidRPr="00CE743D">
              <w:rPr>
                <w:rFonts w:ascii="Garamond" w:hAnsi="Garamond"/>
                <w:b/>
                <w:bCs/>
                <w:sz w:val="24"/>
                <w:szCs w:val="24"/>
              </w:rPr>
              <w:t>Обоснование</w:t>
            </w:r>
            <w:r w:rsidRPr="00CE743D">
              <w:rPr>
                <w:rFonts w:ascii="Garamond" w:hAnsi="Garamond"/>
                <w:b/>
                <w:sz w:val="24"/>
                <w:szCs w:val="24"/>
              </w:rPr>
              <w:t xml:space="preserve">: </w:t>
            </w:r>
            <w:r>
              <w:rPr>
                <w:rFonts w:ascii="Garamond" w:hAnsi="Garamond"/>
                <w:sz w:val="24"/>
                <w:szCs w:val="24"/>
              </w:rPr>
              <w:t>в</w:t>
            </w:r>
            <w:r w:rsidRPr="008202B9">
              <w:rPr>
                <w:rFonts w:ascii="Garamond" w:hAnsi="Garamond"/>
                <w:sz w:val="24"/>
                <w:szCs w:val="24"/>
              </w:rPr>
              <w:t xml:space="preserve"> связи с </w:t>
            </w:r>
            <w:r>
              <w:rPr>
                <w:rFonts w:ascii="Garamond" w:hAnsi="Garamond"/>
                <w:sz w:val="24"/>
                <w:szCs w:val="24"/>
              </w:rPr>
              <w:t xml:space="preserve">временным </w:t>
            </w:r>
            <w:r w:rsidRPr="008202B9">
              <w:rPr>
                <w:rFonts w:ascii="Garamond" w:hAnsi="Garamond"/>
                <w:sz w:val="24"/>
                <w:szCs w:val="24"/>
              </w:rPr>
              <w:t>о</w:t>
            </w:r>
            <w:r>
              <w:rPr>
                <w:rFonts w:ascii="Garamond" w:hAnsi="Garamond"/>
                <w:sz w:val="24"/>
                <w:szCs w:val="24"/>
              </w:rPr>
              <w:t>тсутствием</w:t>
            </w:r>
            <w:r w:rsidRPr="008202B9">
              <w:rPr>
                <w:rFonts w:ascii="Garamond" w:hAnsi="Garamond"/>
                <w:sz w:val="24"/>
                <w:szCs w:val="24"/>
              </w:rPr>
              <w:t xml:space="preserve"> возможност</w:t>
            </w:r>
            <w:r>
              <w:rPr>
                <w:rFonts w:ascii="Garamond" w:hAnsi="Garamond"/>
                <w:sz w:val="24"/>
                <w:szCs w:val="24"/>
              </w:rPr>
              <w:t>и</w:t>
            </w:r>
            <w:r w:rsidRPr="008202B9">
              <w:rPr>
                <w:rFonts w:ascii="Garamond" w:hAnsi="Garamond"/>
                <w:sz w:val="24"/>
                <w:szCs w:val="24"/>
              </w:rPr>
              <w:t xml:space="preserve"> выполнения субъектами оптового рынка</w:t>
            </w:r>
            <w:r>
              <w:rPr>
                <w:rFonts w:ascii="Garamond" w:hAnsi="Garamond"/>
                <w:sz w:val="24"/>
                <w:szCs w:val="24"/>
              </w:rPr>
              <w:t xml:space="preserve"> </w:t>
            </w:r>
            <w:r w:rsidRPr="008202B9">
              <w:rPr>
                <w:rFonts w:ascii="Garamond" w:hAnsi="Garamond"/>
                <w:sz w:val="24"/>
                <w:szCs w:val="24"/>
              </w:rPr>
              <w:t>требований по подтверждению соответствия систем коммерческого учета электроэнергии техническим требования</w:t>
            </w:r>
            <w:r>
              <w:rPr>
                <w:rFonts w:ascii="Garamond" w:hAnsi="Garamond"/>
                <w:sz w:val="24"/>
                <w:szCs w:val="24"/>
              </w:rPr>
              <w:t xml:space="preserve">м оптового рынка </w:t>
            </w:r>
            <w:r w:rsidRPr="008E58D6">
              <w:rPr>
                <w:rFonts w:ascii="Garamond" w:hAnsi="Garamond"/>
                <w:sz w:val="24"/>
                <w:szCs w:val="24"/>
              </w:rPr>
              <w:t xml:space="preserve">в отношении сечений коммерческого учета (ГТП генерации), в состав которых входят точки </w:t>
            </w:r>
            <w:r>
              <w:rPr>
                <w:rFonts w:ascii="Garamond" w:hAnsi="Garamond"/>
                <w:sz w:val="24"/>
                <w:szCs w:val="24"/>
              </w:rPr>
              <w:t xml:space="preserve">поставки (точки </w:t>
            </w:r>
            <w:r w:rsidRPr="008E58D6">
              <w:rPr>
                <w:rFonts w:ascii="Garamond" w:hAnsi="Garamond"/>
                <w:sz w:val="24"/>
                <w:szCs w:val="24"/>
              </w:rPr>
              <w:t>измерений</w:t>
            </w:r>
            <w:r>
              <w:rPr>
                <w:rFonts w:ascii="Garamond" w:hAnsi="Garamond"/>
                <w:sz w:val="24"/>
                <w:szCs w:val="24"/>
              </w:rPr>
              <w:t>)</w:t>
            </w:r>
            <w:r w:rsidRPr="008E58D6">
              <w:rPr>
                <w:rFonts w:ascii="Garamond" w:hAnsi="Garamond"/>
                <w:sz w:val="24"/>
                <w:szCs w:val="24"/>
              </w:rPr>
              <w:t>, расположенные на объектах электроэнергетики на территориях отдельных административно-территориальных единиц Белгородской, Курской и Брянской областей</w:t>
            </w:r>
            <w:r>
              <w:rPr>
                <w:rFonts w:ascii="Garamond" w:hAnsi="Garamond"/>
                <w:sz w:val="24"/>
                <w:szCs w:val="24"/>
              </w:rPr>
              <w:t>, требуется уточнение условий применения мер ответственности к субъектам оптового рынка за нарушения в сфере коммерческого учета.</w:t>
            </w:r>
          </w:p>
          <w:p w14:paraId="739785EC" w14:textId="77777777" w:rsidR="00960A54" w:rsidRPr="00CE743D" w:rsidRDefault="00960A54" w:rsidP="00B92519">
            <w:pPr>
              <w:pStyle w:val="ConsPlusNormal"/>
              <w:tabs>
                <w:tab w:val="left" w:pos="360"/>
              </w:tabs>
              <w:ind w:firstLine="0"/>
              <w:rPr>
                <w:rFonts w:ascii="Garamond" w:hAnsi="Garamond"/>
                <w:sz w:val="24"/>
                <w:szCs w:val="24"/>
              </w:rPr>
            </w:pPr>
            <w:r w:rsidRPr="00CE743D">
              <w:rPr>
                <w:rFonts w:ascii="Garamond" w:hAnsi="Garamond"/>
                <w:b/>
                <w:bCs/>
                <w:sz w:val="24"/>
                <w:szCs w:val="24"/>
              </w:rPr>
              <w:t xml:space="preserve">Дата вступления в силу: </w:t>
            </w:r>
            <w:r w:rsidRPr="00BE3CF8">
              <w:rPr>
                <w:rFonts w:ascii="Garamond" w:hAnsi="Garamond"/>
                <w:bCs/>
                <w:sz w:val="24"/>
                <w:szCs w:val="24"/>
              </w:rPr>
              <w:t xml:space="preserve">с </w:t>
            </w:r>
            <w:r>
              <w:rPr>
                <w:rFonts w:ascii="Garamond" w:hAnsi="Garamond"/>
                <w:bCs/>
                <w:sz w:val="24"/>
                <w:szCs w:val="24"/>
              </w:rPr>
              <w:t>1 января 2025 года и действуют по 31 декабря 2025 года (включительно).</w:t>
            </w:r>
          </w:p>
        </w:tc>
      </w:tr>
    </w:tbl>
    <w:p w14:paraId="03011E25" w14:textId="77777777" w:rsidR="00960A54" w:rsidRPr="00960A54" w:rsidRDefault="00960A54" w:rsidP="00960A54">
      <w:pPr>
        <w:spacing w:after="0" w:line="240" w:lineRule="auto"/>
        <w:jc w:val="both"/>
        <w:rPr>
          <w:rFonts w:ascii="Garamond" w:hAnsi="Garamond"/>
          <w:b/>
          <w:sz w:val="28"/>
          <w:szCs w:val="28"/>
        </w:rPr>
      </w:pPr>
    </w:p>
    <w:p w14:paraId="5CEE169B" w14:textId="15583B0A" w:rsidR="00960A54" w:rsidRPr="00960A54" w:rsidRDefault="00960A54" w:rsidP="004A25C5">
      <w:pPr>
        <w:suppressAutoHyphens/>
        <w:autoSpaceDE w:val="0"/>
        <w:autoSpaceDN w:val="0"/>
        <w:spacing w:after="0" w:line="240" w:lineRule="auto"/>
        <w:rPr>
          <w:rFonts w:ascii="Garamond" w:eastAsia="Cambria" w:hAnsi="Garamond" w:cs="Cambria"/>
          <w:b/>
          <w:sz w:val="26"/>
          <w:szCs w:val="26"/>
          <w:lang w:eastAsia="ru-RU"/>
        </w:rPr>
      </w:pPr>
      <w:r w:rsidRPr="00960A54">
        <w:rPr>
          <w:rFonts w:ascii="Garamond" w:eastAsia="Cambria" w:hAnsi="Garamond" w:cs="Cambria"/>
          <w:b/>
          <w:sz w:val="26"/>
          <w:szCs w:val="26"/>
          <w:lang w:eastAsia="ru-RU"/>
        </w:rPr>
        <w:t xml:space="preserve">Предложения по изменениям и дополнениям в </w:t>
      </w:r>
      <w:r w:rsidR="00612640" w:rsidRPr="00612640">
        <w:rPr>
          <w:rFonts w:ascii="Garamond" w:hAnsi="Garamond"/>
          <w:b/>
          <w:sz w:val="26"/>
          <w:szCs w:val="26"/>
        </w:rPr>
        <w:t xml:space="preserve">ПОРЯДОК УСТАНОВЛЕНИЯ СООТВЕТСТВИЯ СИСТЕМ УЧЕТА ЭЛЕКТРОЭНЕРГИИ ТЕХНИЧЕСКИМ </w:t>
      </w:r>
      <w:r w:rsidR="00612640" w:rsidRPr="00612640">
        <w:rPr>
          <w:rFonts w:ascii="Garamond" w:hAnsi="Garamond"/>
          <w:b/>
          <w:caps/>
          <w:sz w:val="26"/>
          <w:szCs w:val="26"/>
        </w:rPr>
        <w:t>ТРЕБОВАНИЯМ ОПТОВОГО РЫНКА</w:t>
      </w:r>
      <w:r w:rsidRPr="00960A54">
        <w:rPr>
          <w:rFonts w:ascii="Garamond" w:eastAsia="Cambria" w:hAnsi="Garamond" w:cs="Cambria"/>
          <w:b/>
          <w:sz w:val="26"/>
          <w:szCs w:val="26"/>
          <w:lang w:eastAsia="ru-RU"/>
        </w:rPr>
        <w:t xml:space="preserve"> (</w:t>
      </w:r>
      <w:r w:rsidR="00B84305">
        <w:rPr>
          <w:rFonts w:ascii="Garamond" w:eastAsia="Cambria" w:hAnsi="Garamond" w:cs="Cambria"/>
          <w:b/>
          <w:sz w:val="26"/>
          <w:szCs w:val="26"/>
          <w:lang w:eastAsia="ru-RU"/>
        </w:rPr>
        <w:t>Приложение № 11.3 к Положению о </w:t>
      </w:r>
      <w:r w:rsidRPr="00960A54">
        <w:rPr>
          <w:rFonts w:ascii="Garamond" w:eastAsia="Cambria" w:hAnsi="Garamond" w:cs="Cambria"/>
          <w:b/>
          <w:sz w:val="26"/>
          <w:szCs w:val="26"/>
          <w:lang w:eastAsia="ru-RU"/>
        </w:rPr>
        <w:t>порядке получения статуса субъекта оптового рынка и ведения реестра субъектов оптового рынка)</w:t>
      </w:r>
    </w:p>
    <w:p w14:paraId="34E615BF" w14:textId="77777777" w:rsidR="00960A54" w:rsidRPr="00960A54" w:rsidRDefault="00960A54" w:rsidP="00960A54">
      <w:pPr>
        <w:suppressAutoHyphens/>
        <w:autoSpaceDE w:val="0"/>
        <w:autoSpaceDN w:val="0"/>
        <w:spacing w:after="0" w:line="240" w:lineRule="auto"/>
        <w:jc w:val="both"/>
        <w:rPr>
          <w:rFonts w:ascii="Garamond" w:eastAsia="Cambria" w:hAnsi="Garamond" w:cs="Cambria"/>
          <w:b/>
          <w:sz w:val="26"/>
          <w:szCs w:val="26"/>
          <w:lang w:eastAsia="ru-RU"/>
        </w:rPr>
      </w:pPr>
    </w:p>
    <w:tbl>
      <w:tblPr>
        <w:tblW w:w="146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6691"/>
        <w:gridCol w:w="6946"/>
      </w:tblGrid>
      <w:tr w:rsidR="00960A54" w:rsidRPr="00960A54" w14:paraId="063F2020" w14:textId="77777777" w:rsidTr="00960A54">
        <w:tc>
          <w:tcPr>
            <w:tcW w:w="1031" w:type="dxa"/>
            <w:vAlign w:val="center"/>
          </w:tcPr>
          <w:p w14:paraId="79DD1E45" w14:textId="77777777" w:rsidR="00960A54" w:rsidRPr="00960A54" w:rsidRDefault="00960A54" w:rsidP="00960A54">
            <w:pPr>
              <w:widowControl w:val="0"/>
              <w:suppressAutoHyphens/>
              <w:spacing w:after="0"/>
              <w:jc w:val="center"/>
              <w:rPr>
                <w:rFonts w:ascii="Garamond" w:eastAsia="Cambria" w:hAnsi="Garamond" w:cs="Cambria"/>
                <w:b/>
              </w:rPr>
            </w:pPr>
            <w:r w:rsidRPr="00960A54">
              <w:rPr>
                <w:rFonts w:ascii="Garamond" w:eastAsia="Cambria" w:hAnsi="Garamond" w:cs="Cambria"/>
                <w:b/>
              </w:rPr>
              <w:t>№</w:t>
            </w:r>
          </w:p>
          <w:p w14:paraId="32DF2DC2" w14:textId="77777777" w:rsidR="00960A54" w:rsidRPr="00960A54" w:rsidRDefault="00960A54" w:rsidP="00960A54">
            <w:pPr>
              <w:widowControl w:val="0"/>
              <w:suppressAutoHyphens/>
              <w:spacing w:after="0"/>
              <w:jc w:val="center"/>
              <w:rPr>
                <w:rFonts w:ascii="Garamond" w:eastAsia="Cambria" w:hAnsi="Garamond" w:cs="Cambria"/>
                <w:b/>
              </w:rPr>
            </w:pPr>
            <w:r w:rsidRPr="00960A54">
              <w:rPr>
                <w:rFonts w:ascii="Garamond" w:eastAsia="Cambria" w:hAnsi="Garamond" w:cs="Cambria"/>
                <w:b/>
              </w:rPr>
              <w:t>пункта</w:t>
            </w:r>
          </w:p>
        </w:tc>
        <w:tc>
          <w:tcPr>
            <w:tcW w:w="6691" w:type="dxa"/>
            <w:vAlign w:val="center"/>
          </w:tcPr>
          <w:p w14:paraId="36EB4C82" w14:textId="77777777" w:rsidR="00960A54" w:rsidRPr="00960A54" w:rsidRDefault="00960A54" w:rsidP="00960A54">
            <w:pPr>
              <w:widowControl w:val="0"/>
              <w:suppressAutoHyphens/>
              <w:spacing w:after="0"/>
              <w:jc w:val="center"/>
              <w:rPr>
                <w:rFonts w:ascii="Garamond" w:eastAsia="Cambria" w:hAnsi="Garamond" w:cs="Cambria"/>
                <w:b/>
              </w:rPr>
            </w:pPr>
            <w:r w:rsidRPr="00960A54">
              <w:rPr>
                <w:rFonts w:ascii="Garamond" w:eastAsia="Cambria" w:hAnsi="Garamond" w:cs="Cambria"/>
                <w:b/>
              </w:rPr>
              <w:t xml:space="preserve">Редакция, действующая на момент </w:t>
            </w:r>
          </w:p>
          <w:p w14:paraId="7BE2F9AE" w14:textId="77777777" w:rsidR="00960A54" w:rsidRPr="00960A54" w:rsidRDefault="00960A54" w:rsidP="00960A54">
            <w:pPr>
              <w:widowControl w:val="0"/>
              <w:suppressAutoHyphens/>
              <w:spacing w:after="0"/>
              <w:jc w:val="center"/>
              <w:rPr>
                <w:rFonts w:ascii="Garamond" w:eastAsia="Cambria" w:hAnsi="Garamond" w:cs="Cambria"/>
              </w:rPr>
            </w:pPr>
            <w:r w:rsidRPr="00960A54">
              <w:rPr>
                <w:rFonts w:ascii="Garamond" w:eastAsia="Cambria" w:hAnsi="Garamond" w:cs="Cambria"/>
                <w:b/>
              </w:rPr>
              <w:t>вступления в силу изменений</w:t>
            </w:r>
          </w:p>
        </w:tc>
        <w:tc>
          <w:tcPr>
            <w:tcW w:w="6946" w:type="dxa"/>
          </w:tcPr>
          <w:p w14:paraId="4D917BFA" w14:textId="77777777" w:rsidR="00960A54" w:rsidRPr="00960A54" w:rsidRDefault="00960A54" w:rsidP="00960A54">
            <w:pPr>
              <w:widowControl w:val="0"/>
              <w:suppressAutoHyphens/>
              <w:spacing w:after="0"/>
              <w:jc w:val="center"/>
              <w:rPr>
                <w:rFonts w:ascii="Garamond" w:eastAsia="Cambria" w:hAnsi="Garamond" w:cs="Cambria"/>
                <w:b/>
              </w:rPr>
            </w:pPr>
            <w:r w:rsidRPr="00960A54">
              <w:rPr>
                <w:rFonts w:ascii="Garamond" w:eastAsia="Cambria" w:hAnsi="Garamond" w:cs="Cambria"/>
                <w:b/>
              </w:rPr>
              <w:t>Предлагаемая редакция</w:t>
            </w:r>
          </w:p>
          <w:p w14:paraId="614DF1B9" w14:textId="77777777" w:rsidR="00960A54" w:rsidRPr="00960A54" w:rsidRDefault="00960A54" w:rsidP="00960A54">
            <w:pPr>
              <w:suppressAutoHyphens/>
              <w:spacing w:after="0"/>
              <w:ind w:right="-55"/>
              <w:jc w:val="center"/>
              <w:rPr>
                <w:rFonts w:ascii="Garamond" w:eastAsia="Cambria" w:hAnsi="Garamond" w:cs="Cambria"/>
              </w:rPr>
            </w:pPr>
            <w:r w:rsidRPr="00960A54">
              <w:rPr>
                <w:rFonts w:ascii="Garamond" w:eastAsia="Cambria" w:hAnsi="Garamond" w:cs="Cambria"/>
              </w:rPr>
              <w:t>(изменения выделены цветом)</w:t>
            </w:r>
          </w:p>
        </w:tc>
      </w:tr>
      <w:tr w:rsidR="00960A54" w:rsidRPr="00960A54" w14:paraId="4FD3186C" w14:textId="77777777" w:rsidTr="00960A54">
        <w:trPr>
          <w:trHeight w:val="841"/>
        </w:trPr>
        <w:tc>
          <w:tcPr>
            <w:tcW w:w="1031" w:type="dxa"/>
            <w:vAlign w:val="center"/>
          </w:tcPr>
          <w:p w14:paraId="3EC01DE7" w14:textId="77777777" w:rsidR="00960A54" w:rsidRPr="00960A54" w:rsidRDefault="00960A54" w:rsidP="00960A54">
            <w:pPr>
              <w:widowControl w:val="0"/>
              <w:suppressAutoHyphens/>
              <w:spacing w:after="120" w:line="22" w:lineRule="atLeast"/>
              <w:jc w:val="center"/>
              <w:rPr>
                <w:rFonts w:ascii="Garamond" w:eastAsia="Cambria" w:hAnsi="Garamond" w:cs="Cambria"/>
                <w:b/>
              </w:rPr>
            </w:pPr>
            <w:r w:rsidRPr="00960A54">
              <w:rPr>
                <w:rFonts w:ascii="Garamond" w:eastAsia="Cambria" w:hAnsi="Garamond" w:cs="Cambria"/>
                <w:b/>
              </w:rPr>
              <w:t>1.6</w:t>
            </w:r>
          </w:p>
        </w:tc>
        <w:tc>
          <w:tcPr>
            <w:tcW w:w="6691" w:type="dxa"/>
            <w:vAlign w:val="center"/>
          </w:tcPr>
          <w:p w14:paraId="6B47FC2F" w14:textId="77777777" w:rsidR="00960A54" w:rsidRPr="00960A54" w:rsidRDefault="00960A54" w:rsidP="00960A54">
            <w:pPr>
              <w:tabs>
                <w:tab w:val="left" w:pos="1080"/>
                <w:tab w:val="num" w:pos="1380"/>
              </w:tabs>
              <w:spacing w:after="120" w:line="22" w:lineRule="atLeast"/>
              <w:ind w:right="-1" w:firstLine="629"/>
              <w:jc w:val="both"/>
              <w:rPr>
                <w:rFonts w:ascii="Garamond" w:eastAsia="Cambria" w:hAnsi="Garamond" w:cs="Cambria"/>
                <w:color w:val="000000"/>
                <w:lang w:eastAsia="ru-RU"/>
              </w:rPr>
            </w:pPr>
            <w:r w:rsidRPr="00960A54">
              <w:rPr>
                <w:rFonts w:ascii="Garamond" w:eastAsia="Cambria" w:hAnsi="Garamond" w:cs="Cambria"/>
                <w:lang w:eastAsia="ru-RU"/>
              </w:rPr>
              <w:t>Акт</w:t>
            </w:r>
            <w:r w:rsidRPr="00960A54">
              <w:rPr>
                <w:rFonts w:ascii="Garamond" w:eastAsia="Cambria" w:hAnsi="Garamond" w:cs="Cambria"/>
                <w:color w:val="000000"/>
                <w:lang w:eastAsia="ru-RU"/>
              </w:rPr>
              <w:t xml:space="preserve"> о соответствии СУ по сечению коммерческого учета прекращает свое действие:</w:t>
            </w:r>
          </w:p>
          <w:p w14:paraId="43A28C0A"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 xml:space="preserve">c даты окончания срока действия; </w:t>
            </w:r>
          </w:p>
          <w:p w14:paraId="4DE323F0"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в указанных в Положении о реестре случаях, в связи с изменением действующего состава точек поставки или точек измерений в указанном сечении коммерческого учета – с даты вступления в силу изменений действующего состава точек поставки или точек измерений;</w:t>
            </w:r>
          </w:p>
          <w:p w14:paraId="1DE692E5"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в указанном в Положении о реестре случае, в связи с изменением наименования ранее зарегистрированной ГТП (сечения) – с даты вступления в силу изменений в регистрационную информацию в части изменения наименования ГТП (сечения);</w:t>
            </w:r>
          </w:p>
          <w:p w14:paraId="319E1377"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в указанных в Положении о реестре случаях, в связи с выявленным несоответствием ПСИ по действующему составу точек поставки и точек измерений в части типов (модификаций) приборов учета (при их наличии в ПСИ) / признака включения в СУ с документацией, на основании которой оформлен Акт о соответствии СУ, – с даты вступления в действие ПСИ;</w:t>
            </w:r>
          </w:p>
          <w:p w14:paraId="185D7F85"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 xml:space="preserve">с даты отмены ранее принятого решения о предоставлении субъекту оптового рынка права участия в торговле электрической </w:t>
            </w:r>
            <w:r w:rsidRPr="00960A54">
              <w:rPr>
                <w:rFonts w:ascii="Garamond" w:eastAsia="Cambria" w:hAnsi="Garamond" w:cs="Cambria"/>
                <w:lang w:eastAsia="ru-RU"/>
              </w:rPr>
              <w:lastRenderedPageBreak/>
              <w:t xml:space="preserve">энергией и (или) мощностью на оптовом рынке с использованием соответствующей ГТП в порядке, предусмотренном Положением о реестре; </w:t>
            </w:r>
          </w:p>
          <w:p w14:paraId="55F1C923"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с даты получения права участия в торговле на оптовом рынке по соответствующей ГТП – в отношении Акта о соответствии СУ, ранее выданного в отношении нового сечения коммерческого учета, входящего в состав новой либо изменяемой ГТП, в случаях, предусмотренных подп. «д» п. 4.1.1.1 Положения о реестре при регистрации ПСИ в связи с внесением изменений в регистрационную информацию в соответствии с п. 4.3.2 Положения о реестре;</w:t>
            </w:r>
          </w:p>
          <w:p w14:paraId="37BE29EB"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 xml:space="preserve"> с даты отмены действия Акта о согласовании ГТП в порядке, предусмотренном Положением о реестре;</w:t>
            </w:r>
          </w:p>
          <w:p w14:paraId="155AECEC"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с даты лишения заявителя статуса субъекта оптового рынка электрической энергии и мощности и (или) права участия в торговле на оптовом рынке с использованием ГТП, включающей соответствующее сечение коммерческого учета;</w:t>
            </w:r>
          </w:p>
          <w:p w14:paraId="5C3FD753"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с даты вступления в действие ПСИ с изменением регистрационной информации в части наименований точек поставки (без изменения состава и месторасположения точек поставки, входящих в состав согласованных ГТП) и (или) в части изменения наименования точек измерений, изменения состава и месторасположения точек измерений, входящих в состав согласованных ГТП;</w:t>
            </w:r>
          </w:p>
          <w:p w14:paraId="183470D5"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 xml:space="preserve">с 1-го числа месяца, следующего за месяцем, в отношении которого принят к расчетам корректирующий акт учета (оборота) по ГТП генерации или корректирующий акт учета перетоков по сечению коммерческого учета (макеты 51075), при выполнении условий, предусмотренных </w:t>
            </w:r>
            <w:r w:rsidRPr="00960A54">
              <w:rPr>
                <w:rFonts w:ascii="Garamond" w:eastAsia="Cambria" w:hAnsi="Garamond" w:cs="Cambria"/>
                <w:i/>
                <w:lang w:eastAsia="ru-RU"/>
              </w:rPr>
              <w:t>Регламентом коммерческого учета электроэнергии и мощности</w:t>
            </w:r>
            <w:r w:rsidRPr="00960A54">
              <w:rPr>
                <w:rFonts w:ascii="Garamond" w:eastAsia="Cambria" w:hAnsi="Garamond" w:cs="Cambria"/>
                <w:lang w:eastAsia="ru-RU"/>
              </w:rPr>
              <w:t xml:space="preserve"> (Приложение № 11 к </w:t>
            </w:r>
            <w:r w:rsidRPr="00960A54">
              <w:rPr>
                <w:rFonts w:ascii="Garamond" w:eastAsia="Cambria" w:hAnsi="Garamond" w:cs="Cambria"/>
                <w:i/>
                <w:lang w:eastAsia="ru-RU"/>
              </w:rPr>
              <w:t>Договору о присоединении к торговой системе оптового рынка</w:t>
            </w:r>
            <w:r w:rsidRPr="00960A54">
              <w:rPr>
                <w:rFonts w:ascii="Garamond" w:eastAsia="Cambria" w:hAnsi="Garamond" w:cs="Cambria"/>
                <w:lang w:eastAsia="ru-RU"/>
              </w:rPr>
              <w:t>);</w:t>
            </w:r>
          </w:p>
          <w:p w14:paraId="2ED96183"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в указанных в Положении о реестре случаях, в связи с внесением изменений в регистрационную информацию без изменения состава точек поставки и точек измерений – с даты вступления в силу изменений в регистрационную информацию;</w:t>
            </w:r>
          </w:p>
          <w:p w14:paraId="647EB907"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 xml:space="preserve">по действующему составу точек поставки и точек измерений Акт о соответствии СУ прекращает свое действие с даты вступления в действие в соответствии с п. 1.10 настоящего Порядка Акта о соответствии СУ, полученного в порядке, предусмотренном пп. 2.7, 3.1, </w:t>
            </w:r>
            <w:r w:rsidRPr="00960A54">
              <w:rPr>
                <w:rFonts w:ascii="Garamond" w:eastAsia="Cambria" w:hAnsi="Garamond" w:cs="Cambria"/>
                <w:lang w:eastAsia="ru-RU"/>
              </w:rPr>
              <w:lastRenderedPageBreak/>
              <w:t>3.2 и 3.4 настоящего Порядка, по указанному составу точек поставки и точек измерений;</w:t>
            </w:r>
          </w:p>
          <w:p w14:paraId="6C8D2499"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в случае поступления в КО от заявителя заявления о прекращении действия Акта о соответствии СУ заявителя – с даты направления соответствующего уведомления заявителю;</w:t>
            </w:r>
          </w:p>
          <w:p w14:paraId="7DC1E05D"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в случае получения от Федерального агентства по техническому регулированию и метрологии (Росстандарта) и (или) его подведомственных организаций либо юридических лиц и индивидуальных предпринимателей, аккредитованных в порядке, предусмотренном законодательством Российской Федерации, на выполнение работ и (или) оказание услуг в области обеспечения единства измерений, сведений о несоответствии АИИС КУЭ и (или) компонентов СУ субъекта ОРЭМ либо документов на АИИС КУЭ и (или) компоненты СУ, на основании которых оформлен Акт о соответствии СУ, действующему законодательству Российской Федерации в части обеспечения единства измерений либо сведений о том, что в вышеуказанные документы на АИИС КУЭ и (или) компоненты СУ на момент подачи комплекта документов для проведения процедуры установления соответствия СУ были внесены изменения, – с даты направления КО соответствующего уведомления субъекту ОРЭМ;</w:t>
            </w:r>
          </w:p>
          <w:p w14:paraId="11C94773"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 xml:space="preserve">в указанных в </w:t>
            </w:r>
            <w:r w:rsidRPr="00960A54">
              <w:rPr>
                <w:rFonts w:ascii="Garamond" w:eastAsia="Cambria" w:hAnsi="Garamond" w:cs="Cambria"/>
                <w:i/>
                <w:lang w:eastAsia="ru-RU"/>
              </w:rPr>
              <w:t>Регламенте проведения проверок систем коммерческого учета субъектов оптового рынка</w:t>
            </w:r>
            <w:r w:rsidRPr="00960A54">
              <w:rPr>
                <w:rFonts w:ascii="Garamond" w:eastAsia="Cambria" w:hAnsi="Garamond" w:cs="Cambria"/>
                <w:lang w:eastAsia="ru-RU"/>
              </w:rPr>
              <w:t xml:space="preserve"> (Приложение № 18 к </w:t>
            </w:r>
            <w:r w:rsidRPr="00960A54">
              <w:rPr>
                <w:rFonts w:ascii="Garamond" w:eastAsia="Cambria" w:hAnsi="Garamond" w:cs="Cambria"/>
                <w:i/>
                <w:lang w:eastAsia="ru-RU"/>
              </w:rPr>
              <w:t>Договору о присоединении к торговой системе оптового рынка</w:t>
            </w:r>
            <w:r w:rsidRPr="00960A54">
              <w:rPr>
                <w:rFonts w:ascii="Garamond" w:eastAsia="Cambria" w:hAnsi="Garamond" w:cs="Cambria"/>
                <w:lang w:eastAsia="ru-RU"/>
              </w:rPr>
              <w:t>) случаях, в связи с выявленным несоответствием СУ требованиям Правил оптового рынка электрической энергии (мощности), утвержденных постановлением Правительства РФ от 27.12.2010 № 1172 (далее – Правила оптового рынка), либо в связи со вступлением в действие нового Акта о соответствии СУ в порядке, предусмотренном вышеуказанным Регламентом, по результатам проведения проверки, завершившейся установлением соответствия СУ требованиям Правил оптового рынка;</w:t>
            </w:r>
          </w:p>
          <w:p w14:paraId="71C6BD66" w14:textId="77777777" w:rsidR="00960A54" w:rsidRPr="00960A54" w:rsidRDefault="00960A54" w:rsidP="00960A54">
            <w:pPr>
              <w:numPr>
                <w:ilvl w:val="0"/>
                <w:numId w:val="30"/>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 xml:space="preserve">с даты исключения временного сечения КУ в порядке, предусмотренном </w:t>
            </w:r>
            <w:r w:rsidRPr="00960A54">
              <w:rPr>
                <w:rFonts w:ascii="Garamond" w:eastAsia="Cambria" w:hAnsi="Garamond" w:cs="Cambria"/>
                <w:i/>
                <w:lang w:eastAsia="ru-RU"/>
              </w:rPr>
              <w:t>Регламентом допуска к торговой системе оптового рынка</w:t>
            </w:r>
            <w:r w:rsidRPr="00960A54">
              <w:rPr>
                <w:rFonts w:ascii="Garamond" w:eastAsia="Cambria" w:hAnsi="Garamond" w:cs="Cambria"/>
                <w:lang w:eastAsia="ru-RU"/>
              </w:rPr>
              <w:t xml:space="preserve"> (Приложение № 1 к </w:t>
            </w:r>
            <w:r w:rsidRPr="00960A54">
              <w:rPr>
                <w:rFonts w:ascii="Garamond" w:eastAsia="Cambria" w:hAnsi="Garamond" w:cs="Cambria"/>
                <w:i/>
                <w:lang w:eastAsia="ru-RU"/>
              </w:rPr>
              <w:t>Договору о присоединении к торговой системе оптового рынка</w:t>
            </w:r>
            <w:r w:rsidRPr="00960A54">
              <w:rPr>
                <w:rFonts w:ascii="Garamond" w:eastAsia="Cambria" w:hAnsi="Garamond" w:cs="Cambria"/>
                <w:lang w:eastAsia="ru-RU"/>
              </w:rPr>
              <w:t>).</w:t>
            </w:r>
          </w:p>
          <w:p w14:paraId="705CDBDA" w14:textId="77777777" w:rsidR="00960A54" w:rsidRPr="00960A54" w:rsidRDefault="00960A54" w:rsidP="00960A54">
            <w:pPr>
              <w:pBdr>
                <w:top w:val="nil"/>
                <w:left w:val="nil"/>
                <w:bottom w:val="nil"/>
                <w:right w:val="nil"/>
                <w:between w:val="nil"/>
                <w:bar w:val="nil"/>
              </w:pBdr>
              <w:tabs>
                <w:tab w:val="left" w:pos="1080"/>
              </w:tabs>
              <w:spacing w:after="120" w:line="22" w:lineRule="atLeast"/>
              <w:ind w:firstLine="600"/>
              <w:jc w:val="both"/>
              <w:rPr>
                <w:rFonts w:ascii="Garamond" w:eastAsia="Cambria" w:hAnsi="Garamond" w:cs="Cambria"/>
                <w:lang w:eastAsia="ru-RU"/>
              </w:rPr>
            </w:pPr>
            <w:r w:rsidRPr="00960A54">
              <w:rPr>
                <w:rFonts w:ascii="Garamond" w:eastAsia="Cambria" w:hAnsi="Garamond" w:cs="Cambria"/>
                <w:lang w:eastAsia="ru-RU"/>
              </w:rPr>
              <w:t xml:space="preserve">В случае прекращения действия Акта о соответствии СУ в связи с выявленным несоответствием СУ требованиям Правил оптового рынка на основании </w:t>
            </w:r>
            <w:r w:rsidRPr="00960A54">
              <w:rPr>
                <w:rFonts w:ascii="Garamond" w:eastAsia="Cambria" w:hAnsi="Garamond" w:cs="Cambria"/>
                <w:i/>
                <w:lang w:eastAsia="ru-RU"/>
              </w:rPr>
              <w:t xml:space="preserve">Регламента проведения проверок систем коммерческого </w:t>
            </w:r>
            <w:r w:rsidRPr="00960A54">
              <w:rPr>
                <w:rFonts w:ascii="Garamond" w:eastAsia="Cambria" w:hAnsi="Garamond" w:cs="Cambria"/>
                <w:i/>
                <w:lang w:eastAsia="ru-RU"/>
              </w:rPr>
              <w:lastRenderedPageBreak/>
              <w:t>учета субъектов оптового рынка</w:t>
            </w:r>
            <w:r w:rsidRPr="00960A54">
              <w:rPr>
                <w:rFonts w:ascii="Garamond" w:eastAsia="Cambria" w:hAnsi="Garamond" w:cs="Cambria"/>
                <w:lang w:eastAsia="ru-RU"/>
              </w:rPr>
              <w:t xml:space="preserve"> (Приложение № 18 к </w:t>
            </w:r>
            <w:r w:rsidRPr="00960A54">
              <w:rPr>
                <w:rFonts w:ascii="Garamond" w:eastAsia="Cambria" w:hAnsi="Garamond" w:cs="Cambria"/>
                <w:i/>
                <w:lang w:eastAsia="ru-RU"/>
              </w:rPr>
              <w:t>Договору о присоединении к торговой системе оптового рынка</w:t>
            </w:r>
            <w:r w:rsidRPr="00960A54">
              <w:rPr>
                <w:rFonts w:ascii="Garamond" w:eastAsia="Cambria" w:hAnsi="Garamond" w:cs="Cambria"/>
                <w:lang w:eastAsia="ru-RU"/>
              </w:rPr>
              <w:t xml:space="preserve">) или согласно п. 2.7.4.2 Положения о реестре (в случае направления корректирующего акта учета (оборота) или корректирующего акта учета перетоков (макет 51075) с указанием причины № 1), прекращается действие Акта о соответствии СУ, оформленного на его основании в порядке, предусмотренном разделом 3 настоящего Порядка или п. 4.1.1.1 Положения о реестре, а также последующих </w:t>
            </w:r>
            <w:r w:rsidRPr="00960A54">
              <w:rPr>
                <w:rFonts w:ascii="Garamond" w:eastAsia="Cambria" w:hAnsi="Garamond" w:cs="Cambria"/>
                <w:highlight w:val="yellow"/>
                <w:lang w:eastAsia="ru-RU"/>
              </w:rPr>
              <w:t>а</w:t>
            </w:r>
            <w:r w:rsidRPr="00960A54">
              <w:rPr>
                <w:rFonts w:ascii="Garamond" w:eastAsia="Cambria" w:hAnsi="Garamond" w:cs="Cambria"/>
                <w:lang w:eastAsia="ru-RU"/>
              </w:rPr>
              <w:t>ктов о соответствии СУ, оформленных в указанном порядке на основании прекративших действие.</w:t>
            </w:r>
          </w:p>
          <w:p w14:paraId="356B2651" w14:textId="77777777" w:rsidR="00960A54" w:rsidRPr="00960A54" w:rsidRDefault="00960A54" w:rsidP="00960A54">
            <w:pPr>
              <w:widowControl w:val="0"/>
              <w:suppressAutoHyphens/>
              <w:spacing w:after="120" w:line="22" w:lineRule="atLeast"/>
              <w:jc w:val="center"/>
              <w:rPr>
                <w:rFonts w:ascii="Garamond" w:eastAsia="Cambria" w:hAnsi="Garamond" w:cs="Cambria"/>
                <w:b/>
              </w:rPr>
            </w:pPr>
          </w:p>
        </w:tc>
        <w:tc>
          <w:tcPr>
            <w:tcW w:w="6946" w:type="dxa"/>
            <w:vAlign w:val="center"/>
          </w:tcPr>
          <w:p w14:paraId="6AA9CF75" w14:textId="77777777" w:rsidR="00960A54" w:rsidRPr="00960A54" w:rsidRDefault="00960A54" w:rsidP="00960A54">
            <w:pPr>
              <w:tabs>
                <w:tab w:val="left" w:pos="1080"/>
                <w:tab w:val="num" w:pos="1380"/>
              </w:tabs>
              <w:spacing w:after="120" w:line="22" w:lineRule="atLeast"/>
              <w:ind w:right="-1" w:firstLine="601"/>
              <w:jc w:val="both"/>
              <w:rPr>
                <w:rFonts w:ascii="Garamond" w:eastAsia="Cambria" w:hAnsi="Garamond" w:cs="Cambria"/>
                <w:color w:val="000000"/>
                <w:lang w:eastAsia="ru-RU"/>
              </w:rPr>
            </w:pPr>
            <w:r w:rsidRPr="00960A54">
              <w:rPr>
                <w:rFonts w:ascii="Garamond" w:eastAsia="Cambria" w:hAnsi="Garamond" w:cs="Cambria"/>
                <w:lang w:eastAsia="ru-RU"/>
              </w:rPr>
              <w:lastRenderedPageBreak/>
              <w:t>Акт</w:t>
            </w:r>
            <w:r w:rsidRPr="00960A54">
              <w:rPr>
                <w:rFonts w:ascii="Garamond" w:eastAsia="Cambria" w:hAnsi="Garamond" w:cs="Cambria"/>
                <w:color w:val="000000"/>
                <w:lang w:eastAsia="ru-RU"/>
              </w:rPr>
              <w:t xml:space="preserve"> о соответствии СУ по сечению коммерческого учета прекращает свое действие:</w:t>
            </w:r>
          </w:p>
          <w:p w14:paraId="0F88BA23" w14:textId="77777777" w:rsidR="00960A54" w:rsidRPr="00960A54" w:rsidRDefault="00960A54" w:rsidP="00960A54">
            <w:pPr>
              <w:numPr>
                <w:ilvl w:val="0"/>
                <w:numId w:val="31"/>
              </w:numPr>
              <w:tabs>
                <w:tab w:val="left" w:pos="993"/>
                <w:tab w:val="left" w:pos="1080"/>
              </w:tabs>
              <w:suppressAutoHyphens/>
              <w:spacing w:after="120" w:line="22" w:lineRule="atLeast"/>
              <w:contextualSpacing/>
              <w:jc w:val="both"/>
              <w:rPr>
                <w:rFonts w:ascii="Garamond" w:eastAsia="Cambria" w:hAnsi="Garamond" w:cs="Cambria"/>
                <w:lang w:eastAsia="ru-RU"/>
              </w:rPr>
            </w:pPr>
            <w:r w:rsidRPr="00960A54">
              <w:rPr>
                <w:rFonts w:ascii="Garamond" w:eastAsia="Cambria" w:hAnsi="Garamond" w:cs="Cambria"/>
                <w:lang w:eastAsia="ru-RU"/>
              </w:rPr>
              <w:t xml:space="preserve">c даты окончания срока действия; </w:t>
            </w:r>
          </w:p>
          <w:p w14:paraId="0B598325"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в указанных в Положении о реестре случаях, в связи с изменением действующего состава точек поставки или точек измерений в указанном сечении коммерческого учета – с даты вступления в силу изменений действующего состава точек поставки или точек измерений;</w:t>
            </w:r>
          </w:p>
          <w:p w14:paraId="0408DF4A"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в указанном в Положении о реестре случае, в связи с изменением наименования ранее зарегистрированной ГТП (сечения) – с даты вступления в силу изменений в регистрационную информацию в части изменения наименования ГТП (сечения);</w:t>
            </w:r>
          </w:p>
          <w:p w14:paraId="636AB9E0"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в указанных в Положении о реестре случаях, в связи с выявленным несоответствием ПСИ по действующему составу точек поставки и точек измерений в части типов (модификаций) приборов учета (при их наличии в ПСИ) / признака включения в СУ с документацией, на основании которой оформлен Акт о соответствии СУ, – с даты вступления в действие ПСИ;</w:t>
            </w:r>
          </w:p>
          <w:p w14:paraId="1069B5B9"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 xml:space="preserve">с даты отмены ранее принятого решения о предоставлении субъекту оптового рынка права участия в торговле электрической энергией и (или) мощностью на оптовом рынке с использованием </w:t>
            </w:r>
            <w:r w:rsidRPr="00960A54">
              <w:rPr>
                <w:rFonts w:ascii="Garamond" w:eastAsia="Cambria" w:hAnsi="Garamond" w:cs="Cambria"/>
                <w:lang w:eastAsia="ru-RU"/>
              </w:rPr>
              <w:lastRenderedPageBreak/>
              <w:t xml:space="preserve">соответствующей ГТП в порядке, предусмотренном Положением о реестре; </w:t>
            </w:r>
          </w:p>
          <w:p w14:paraId="426D2A89"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с даты получения права участия в торговле на оптовом рынке по соответствующей ГТП – в отношении Акта о соответствии СУ, ранее выданного в отношении нового сечения коммерческого учета, входящего в состав новой либо изменяемой ГТП, в случаях, предусмотренных подп. «д» п. 4.1.1.1 Положения о реестре при регистрации ПСИ в связи с внесением изменений в регистрационную информацию в соответствии с п. 4.3.2 Положения о реестре;</w:t>
            </w:r>
          </w:p>
          <w:p w14:paraId="7105A9AD"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 xml:space="preserve"> с даты отмены действия Акта о согласовании ГТП в порядке, предусмотренном Положением о реестре;</w:t>
            </w:r>
          </w:p>
          <w:p w14:paraId="014B3EDF"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с даты лишения заявителя статуса субъекта оптового рынка электрической энергии и мощности и (или) права участия в торговле на оптовом рынке с использованием ГТП, включающей соответствующее сечение коммерческого учета;</w:t>
            </w:r>
          </w:p>
          <w:p w14:paraId="3EB7AF94"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с даты вступления в действие ПСИ с изменением регистрационной информации в части наименований точек поставки (без изменения состава и месторасположения точек поставки, входящих в состав согласованных ГТП) и (или) в части изменения наименования точек измерений, изменения состава и месторасположения точек измерений, входящих в состав согласованных ГТП;</w:t>
            </w:r>
          </w:p>
          <w:p w14:paraId="27D78DF2"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 xml:space="preserve">с 1-го числа месяца, следующего за месяцем, в отношении которого принят к расчетам корректирующий акт учета (оборота) по ГТП генерации или корректирующий акт учета перетоков по сечению коммерческого учета (макеты 51075), при выполнении условий, предусмотренных </w:t>
            </w:r>
            <w:r w:rsidRPr="00960A54">
              <w:rPr>
                <w:rFonts w:ascii="Garamond" w:eastAsia="Cambria" w:hAnsi="Garamond" w:cs="Cambria"/>
                <w:i/>
                <w:lang w:eastAsia="ru-RU"/>
              </w:rPr>
              <w:t>Регламентом коммерческого учета электроэнергии и мощности</w:t>
            </w:r>
            <w:r w:rsidRPr="00960A54">
              <w:rPr>
                <w:rFonts w:ascii="Garamond" w:eastAsia="Cambria" w:hAnsi="Garamond" w:cs="Cambria"/>
                <w:lang w:eastAsia="ru-RU"/>
              </w:rPr>
              <w:t xml:space="preserve"> (Приложение № 11 к </w:t>
            </w:r>
            <w:r w:rsidRPr="00960A54">
              <w:rPr>
                <w:rFonts w:ascii="Garamond" w:eastAsia="Cambria" w:hAnsi="Garamond" w:cs="Cambria"/>
                <w:i/>
                <w:lang w:eastAsia="ru-RU"/>
              </w:rPr>
              <w:t>Договору о присоединении к торговой системе оптового рынка</w:t>
            </w:r>
            <w:r w:rsidRPr="00960A54">
              <w:rPr>
                <w:rFonts w:ascii="Garamond" w:eastAsia="Cambria" w:hAnsi="Garamond" w:cs="Cambria"/>
                <w:lang w:eastAsia="ru-RU"/>
              </w:rPr>
              <w:t>);</w:t>
            </w:r>
          </w:p>
          <w:p w14:paraId="136D3F4E"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в указанных в Положении о реестре случаях, в связи с внесением изменений в регистрационную информацию без изменения состава точек поставки и точек измерений – с даты вступления в силу изменений в регистрационную информацию;</w:t>
            </w:r>
          </w:p>
          <w:p w14:paraId="61224443"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по действующему составу точек поставки и точек измерений Акт о соответствии СУ прекращает свое действие с даты вступления в действие в соответствии с п. 1.10 настоящего Порядка Акта о соответствии СУ, полученного в порядке, предусмотренном пп. 2.7, 3.1, 3.2 и 3.4 настоящего Порядка, по указанному составу точек поставки и точек измерений;</w:t>
            </w:r>
          </w:p>
          <w:p w14:paraId="7AA1AFA1"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lastRenderedPageBreak/>
              <w:t>в случае поступления в КО от заявителя заявления о прекращении действия Акта о соответствии СУ заявителя – с даты направления соответствующего уведомления заявителю;</w:t>
            </w:r>
          </w:p>
          <w:p w14:paraId="27DBA5E8"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в случае получения от Федерального агентства по техническому регулированию и метрологии (Росстандарта) и (или) его подведомственных организаций либо юридических лиц и индивидуальных предпринимателей, аккредитованных в порядке, предусмотренном законодательством Российской Федерации, на выполнение работ и (или) оказание услуг в области обеспечения единства измерений, сведений о несоответствии АИИС КУЭ и (или) компонентов СУ субъекта ОРЭМ либо документов на АИИС КУЭ и (или) компоненты СУ, на основании которых оформлен Акт о соответствии СУ, действующему законодательству Российской Федерации в части обеспечения единства измерений либо сведений о том, что в вышеуказанные документы на АИИС КУЭ и (или) компоненты СУ на момент подачи комплекта документов для проведения процедуры установления соответствия СУ были внесены изменения, – с даты направления КО соответствующего уведомления субъекту ОРЭМ;</w:t>
            </w:r>
          </w:p>
          <w:p w14:paraId="307876D8"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 xml:space="preserve">в указанных в </w:t>
            </w:r>
            <w:r w:rsidRPr="00960A54">
              <w:rPr>
                <w:rFonts w:ascii="Garamond" w:eastAsia="Cambria" w:hAnsi="Garamond" w:cs="Cambria"/>
                <w:i/>
                <w:lang w:eastAsia="ru-RU"/>
              </w:rPr>
              <w:t>Регламенте проведения проверок систем коммерческого учета субъектов оптового рынка</w:t>
            </w:r>
            <w:r w:rsidRPr="00960A54">
              <w:rPr>
                <w:rFonts w:ascii="Garamond" w:eastAsia="Cambria" w:hAnsi="Garamond" w:cs="Cambria"/>
                <w:lang w:eastAsia="ru-RU"/>
              </w:rPr>
              <w:t xml:space="preserve"> (Приложение № 18 к </w:t>
            </w:r>
            <w:r w:rsidRPr="00960A54">
              <w:rPr>
                <w:rFonts w:ascii="Garamond" w:eastAsia="Cambria" w:hAnsi="Garamond" w:cs="Cambria"/>
                <w:i/>
                <w:lang w:eastAsia="ru-RU"/>
              </w:rPr>
              <w:t>Договору о присоединении к торговой системе оптового рынка</w:t>
            </w:r>
            <w:r w:rsidRPr="00960A54">
              <w:rPr>
                <w:rFonts w:ascii="Garamond" w:eastAsia="Cambria" w:hAnsi="Garamond" w:cs="Cambria"/>
                <w:lang w:eastAsia="ru-RU"/>
              </w:rPr>
              <w:t>) случаях, в связи с выявленным несоответствием СУ требованиям Правил оптового рынка электрической энергии (мощности), утвержденных постановлением Правительства РФ от 27.12.2010 № 1172 (далее – Правила оптового рынка), либо в связи со вступлением в действие нового Акта о соответствии СУ в порядке, предусмотренном вышеуказанным Регламентом, по результатам проведения проверки, завершившейся установлением соответствия СУ требованиям Правил оптового рынка;</w:t>
            </w:r>
          </w:p>
          <w:p w14:paraId="187413D6" w14:textId="77777777" w:rsidR="00960A54" w:rsidRPr="00960A54" w:rsidRDefault="00960A54" w:rsidP="00960A54">
            <w:pPr>
              <w:numPr>
                <w:ilvl w:val="0"/>
                <w:numId w:val="31"/>
              </w:numPr>
              <w:tabs>
                <w:tab w:val="left" w:pos="993"/>
                <w:tab w:val="left" w:pos="1080"/>
              </w:tabs>
              <w:suppressAutoHyphens/>
              <w:spacing w:after="120" w:line="22" w:lineRule="atLeast"/>
              <w:ind w:left="0" w:firstLine="600"/>
              <w:contextualSpacing/>
              <w:jc w:val="both"/>
              <w:rPr>
                <w:rFonts w:ascii="Garamond" w:eastAsia="Cambria" w:hAnsi="Garamond" w:cs="Cambria"/>
                <w:lang w:eastAsia="ru-RU"/>
              </w:rPr>
            </w:pPr>
            <w:r w:rsidRPr="00960A54">
              <w:rPr>
                <w:rFonts w:ascii="Garamond" w:eastAsia="Cambria" w:hAnsi="Garamond" w:cs="Cambria"/>
                <w:lang w:eastAsia="ru-RU"/>
              </w:rPr>
              <w:t xml:space="preserve">с даты исключения временного сечения КУ в порядке, предусмотренном </w:t>
            </w:r>
            <w:r w:rsidRPr="00960A54">
              <w:rPr>
                <w:rFonts w:ascii="Garamond" w:eastAsia="Cambria" w:hAnsi="Garamond" w:cs="Cambria"/>
                <w:i/>
                <w:lang w:eastAsia="ru-RU"/>
              </w:rPr>
              <w:t>Регламентом допуска к торговой системе оптового рынка</w:t>
            </w:r>
            <w:r w:rsidRPr="00960A54">
              <w:rPr>
                <w:rFonts w:ascii="Garamond" w:eastAsia="Cambria" w:hAnsi="Garamond" w:cs="Cambria"/>
                <w:lang w:eastAsia="ru-RU"/>
              </w:rPr>
              <w:t xml:space="preserve"> (Приложение № 1 к </w:t>
            </w:r>
            <w:r w:rsidRPr="00960A54">
              <w:rPr>
                <w:rFonts w:ascii="Garamond" w:eastAsia="Cambria" w:hAnsi="Garamond" w:cs="Cambria"/>
                <w:i/>
                <w:lang w:eastAsia="ru-RU"/>
              </w:rPr>
              <w:t>Договору о присоединении к торговой системе оптового рынка</w:t>
            </w:r>
            <w:r w:rsidRPr="00960A54">
              <w:rPr>
                <w:rFonts w:ascii="Garamond" w:eastAsia="Cambria" w:hAnsi="Garamond" w:cs="Cambria"/>
                <w:lang w:eastAsia="ru-RU"/>
              </w:rPr>
              <w:t>).</w:t>
            </w:r>
          </w:p>
          <w:p w14:paraId="3829CAA4" w14:textId="77777777" w:rsidR="00960A54" w:rsidRPr="00960A54" w:rsidRDefault="00960A54" w:rsidP="00960A54">
            <w:pPr>
              <w:pBdr>
                <w:top w:val="nil"/>
                <w:left w:val="nil"/>
                <w:bottom w:val="nil"/>
                <w:right w:val="nil"/>
                <w:between w:val="nil"/>
                <w:bar w:val="nil"/>
              </w:pBdr>
              <w:tabs>
                <w:tab w:val="left" w:pos="1080"/>
              </w:tabs>
              <w:spacing w:after="120" w:line="22" w:lineRule="atLeast"/>
              <w:ind w:firstLine="600"/>
              <w:jc w:val="both"/>
              <w:rPr>
                <w:rFonts w:ascii="Garamond" w:eastAsia="Cambria" w:hAnsi="Garamond" w:cs="Cambria"/>
                <w:lang w:eastAsia="ru-RU"/>
              </w:rPr>
            </w:pPr>
            <w:r w:rsidRPr="00960A54">
              <w:rPr>
                <w:rFonts w:ascii="Garamond" w:eastAsia="Cambria" w:hAnsi="Garamond" w:cs="Cambria"/>
                <w:lang w:eastAsia="ru-RU"/>
              </w:rPr>
              <w:t xml:space="preserve">В случае прекращения действия Акта о соответствии СУ в связи с выявленным несоответствием СУ требованиям Правил оптового рынка на основании </w:t>
            </w:r>
            <w:r w:rsidRPr="00960A54">
              <w:rPr>
                <w:rFonts w:ascii="Garamond" w:eastAsia="Cambria" w:hAnsi="Garamond" w:cs="Cambria"/>
                <w:i/>
                <w:lang w:eastAsia="ru-RU"/>
              </w:rPr>
              <w:t>Регламента проведения проверок систем коммерческого учета субъектов оптового рынка</w:t>
            </w:r>
            <w:r w:rsidRPr="00960A54">
              <w:rPr>
                <w:rFonts w:ascii="Garamond" w:eastAsia="Cambria" w:hAnsi="Garamond" w:cs="Cambria"/>
                <w:lang w:eastAsia="ru-RU"/>
              </w:rPr>
              <w:t xml:space="preserve"> (Приложение № 18 к </w:t>
            </w:r>
            <w:r w:rsidRPr="00960A54">
              <w:rPr>
                <w:rFonts w:ascii="Garamond" w:eastAsia="Cambria" w:hAnsi="Garamond" w:cs="Cambria"/>
                <w:i/>
                <w:lang w:eastAsia="ru-RU"/>
              </w:rPr>
              <w:t>Договору о присоединении к торговой системе оптового рынка</w:t>
            </w:r>
            <w:r w:rsidRPr="00960A54">
              <w:rPr>
                <w:rFonts w:ascii="Garamond" w:eastAsia="Cambria" w:hAnsi="Garamond" w:cs="Cambria"/>
                <w:lang w:eastAsia="ru-RU"/>
              </w:rPr>
              <w:t xml:space="preserve">) или согласно п. 2.7.4.2 Положения о реестре (в случае направления корректирующего акта учета (оборота) или корректирующего акта учета перетоков (макет 51075) с указанием </w:t>
            </w:r>
            <w:r w:rsidRPr="00960A54">
              <w:rPr>
                <w:rFonts w:ascii="Garamond" w:eastAsia="Cambria" w:hAnsi="Garamond" w:cs="Cambria"/>
                <w:lang w:eastAsia="ru-RU"/>
              </w:rPr>
              <w:lastRenderedPageBreak/>
              <w:t xml:space="preserve">причины № 1), прекращается действие Акта о соответствии СУ, оформленного на его основании в порядке, предусмотренном разделом 3 настоящего Порядка или п. 4.1.1.1 Положения о реестре, а также последующих </w:t>
            </w:r>
            <w:r w:rsidRPr="00960A54">
              <w:rPr>
                <w:rFonts w:ascii="Garamond" w:eastAsia="Cambria" w:hAnsi="Garamond" w:cs="Cambria"/>
                <w:highlight w:val="yellow"/>
                <w:lang w:eastAsia="ru-RU"/>
              </w:rPr>
              <w:t>А</w:t>
            </w:r>
            <w:r w:rsidRPr="00960A54">
              <w:rPr>
                <w:rFonts w:ascii="Garamond" w:eastAsia="Cambria" w:hAnsi="Garamond" w:cs="Cambria"/>
                <w:lang w:eastAsia="ru-RU"/>
              </w:rPr>
              <w:t>ктов о соответствии СУ, оформленных в указанном порядке на основании прекративших действие.</w:t>
            </w:r>
          </w:p>
          <w:p w14:paraId="364FBD83" w14:textId="77777777" w:rsidR="00960A54" w:rsidRPr="00960A54" w:rsidRDefault="00960A54" w:rsidP="00960A54">
            <w:pPr>
              <w:tabs>
                <w:tab w:val="left" w:pos="960"/>
                <w:tab w:val="left" w:pos="8100"/>
              </w:tabs>
              <w:suppressAutoHyphens/>
              <w:autoSpaceDE w:val="0"/>
              <w:autoSpaceDN w:val="0"/>
              <w:spacing w:after="120" w:line="22" w:lineRule="atLeast"/>
              <w:ind w:firstLine="600"/>
              <w:jc w:val="both"/>
              <w:rPr>
                <w:rFonts w:ascii="Garamond" w:eastAsia="Cambria" w:hAnsi="Garamond" w:cs="Calibri"/>
                <w:highlight w:val="yellow"/>
                <w:lang w:eastAsia="ru-RU"/>
              </w:rPr>
            </w:pPr>
            <w:r w:rsidRPr="00960A54">
              <w:rPr>
                <w:rFonts w:ascii="Garamond" w:eastAsia="Cambria" w:hAnsi="Garamond" w:cs="Cambria"/>
                <w:highlight w:val="yellow"/>
                <w:lang w:eastAsia="ru-RU"/>
              </w:rPr>
              <w:t xml:space="preserve">В случае прекращения действия Акта о соответствии СУ, выданного </w:t>
            </w:r>
            <w:r w:rsidRPr="00960A54">
              <w:rPr>
                <w:rFonts w:ascii="Garamond" w:eastAsia="Cambria" w:hAnsi="Garamond" w:cs="Calibri"/>
                <w:highlight w:val="yellow"/>
                <w:lang w:eastAsia="ru-RU"/>
              </w:rPr>
              <w:t xml:space="preserve">в отношении сечения коммерческого учета и (или) группы точек поставки генерации, в состав которых входят точки поставки (точки измерений), расположенные на объектах электроэнергетики на территориях следующих административно-территориальных единиц: </w:t>
            </w:r>
          </w:p>
          <w:p w14:paraId="2C260C74" w14:textId="77777777" w:rsidR="00960A54" w:rsidRPr="00960A54" w:rsidRDefault="00960A54" w:rsidP="00960A54">
            <w:pPr>
              <w:numPr>
                <w:ilvl w:val="0"/>
                <w:numId w:val="28"/>
              </w:numPr>
              <w:tabs>
                <w:tab w:val="left" w:pos="709"/>
              </w:tabs>
              <w:suppressAutoHyphens/>
              <w:autoSpaceDE w:val="0"/>
              <w:autoSpaceDN w:val="0"/>
              <w:spacing w:after="120" w:line="22" w:lineRule="atLeast"/>
              <w:ind w:left="709" w:hanging="463"/>
              <w:jc w:val="both"/>
              <w:rPr>
                <w:rFonts w:ascii="Garamond" w:eastAsia="Cambria" w:hAnsi="Garamond" w:cs="Calibri"/>
                <w:highlight w:val="yellow"/>
                <w:lang w:eastAsia="ru-RU"/>
              </w:rPr>
            </w:pPr>
            <w:r w:rsidRPr="00960A54">
              <w:rPr>
                <w:rFonts w:ascii="Garamond" w:eastAsia="Cambria" w:hAnsi="Garamond" w:cs="Calibri"/>
                <w:highlight w:val="yellow"/>
                <w:lang w:eastAsia="ru-RU"/>
              </w:rPr>
              <w:t>Белгородской области – Белгородский, Борисовский, Валуйский, Волоконовский, Грайворонский, Краснояружский и Шебекинский районы, а также город областного значения Белгород;</w:t>
            </w:r>
          </w:p>
          <w:p w14:paraId="4AB88B04" w14:textId="77777777" w:rsidR="00960A54" w:rsidRPr="00960A54" w:rsidRDefault="00960A54" w:rsidP="00960A54">
            <w:pPr>
              <w:numPr>
                <w:ilvl w:val="0"/>
                <w:numId w:val="28"/>
              </w:numPr>
              <w:tabs>
                <w:tab w:val="left" w:pos="960"/>
              </w:tabs>
              <w:suppressAutoHyphens/>
              <w:autoSpaceDE w:val="0"/>
              <w:autoSpaceDN w:val="0"/>
              <w:spacing w:after="120" w:line="22" w:lineRule="atLeast"/>
              <w:ind w:left="747"/>
              <w:jc w:val="both"/>
              <w:rPr>
                <w:rFonts w:ascii="Garamond" w:eastAsia="Cambria" w:hAnsi="Garamond" w:cs="Calibri"/>
                <w:highlight w:val="yellow"/>
                <w:lang w:eastAsia="ru-RU"/>
              </w:rPr>
            </w:pPr>
            <w:r w:rsidRPr="00960A54">
              <w:rPr>
                <w:rFonts w:ascii="Garamond" w:eastAsia="Cambria" w:hAnsi="Garamond" w:cs="Calibri"/>
                <w:highlight w:val="yellow"/>
                <w:lang w:eastAsia="ru-RU"/>
              </w:rPr>
              <w:t>Курской области – Беловский, Глушковский, Кореневский, Рыльский, Суджанский, Хомутовский, Большесолдатский и Льговский районы;</w:t>
            </w:r>
          </w:p>
          <w:p w14:paraId="24BA003B" w14:textId="56553C02" w:rsidR="00960A54" w:rsidRPr="00960A54" w:rsidRDefault="00960A54" w:rsidP="00960A54">
            <w:pPr>
              <w:numPr>
                <w:ilvl w:val="0"/>
                <w:numId w:val="28"/>
              </w:numPr>
              <w:tabs>
                <w:tab w:val="left" w:pos="709"/>
              </w:tabs>
              <w:suppressAutoHyphens/>
              <w:autoSpaceDE w:val="0"/>
              <w:autoSpaceDN w:val="0"/>
              <w:spacing w:after="120" w:line="22" w:lineRule="atLeast"/>
              <w:ind w:left="709" w:hanging="463"/>
              <w:jc w:val="both"/>
              <w:rPr>
                <w:rFonts w:ascii="Garamond" w:eastAsia="Cambria" w:hAnsi="Garamond" w:cs="Calibri"/>
                <w:highlight w:val="yellow"/>
                <w:lang w:eastAsia="ru-RU"/>
              </w:rPr>
            </w:pPr>
            <w:r w:rsidRPr="00960A54">
              <w:rPr>
                <w:rFonts w:ascii="Garamond" w:eastAsia="Cambria" w:hAnsi="Garamond" w:cs="Calibri"/>
                <w:highlight w:val="yellow"/>
                <w:lang w:eastAsia="ru-RU"/>
              </w:rPr>
              <w:t xml:space="preserve">Брянской области – Климовский, </w:t>
            </w:r>
            <w:proofErr w:type="spellStart"/>
            <w:r w:rsidRPr="00960A54">
              <w:rPr>
                <w:rFonts w:ascii="Garamond" w:eastAsia="Cambria" w:hAnsi="Garamond" w:cs="Calibri"/>
                <w:highlight w:val="yellow"/>
                <w:lang w:eastAsia="ru-RU"/>
              </w:rPr>
              <w:t>Погарский</w:t>
            </w:r>
            <w:proofErr w:type="spellEnd"/>
            <w:r w:rsidRPr="00960A54">
              <w:rPr>
                <w:rFonts w:ascii="Garamond" w:eastAsia="Cambria" w:hAnsi="Garamond" w:cs="Calibri"/>
                <w:highlight w:val="yellow"/>
                <w:lang w:eastAsia="ru-RU"/>
              </w:rPr>
              <w:t xml:space="preserve">, </w:t>
            </w:r>
            <w:proofErr w:type="spellStart"/>
            <w:r w:rsidRPr="00960A54">
              <w:rPr>
                <w:rFonts w:ascii="Garamond" w:eastAsia="Cambria" w:hAnsi="Garamond" w:cs="Calibri"/>
                <w:highlight w:val="yellow"/>
                <w:lang w:eastAsia="ru-RU"/>
              </w:rPr>
              <w:t>Севский</w:t>
            </w:r>
            <w:proofErr w:type="spellEnd"/>
            <w:r w:rsidRPr="00960A54">
              <w:rPr>
                <w:rFonts w:ascii="Garamond" w:eastAsia="Cambria" w:hAnsi="Garamond" w:cs="Calibri"/>
                <w:highlight w:val="yellow"/>
                <w:lang w:eastAsia="ru-RU"/>
              </w:rPr>
              <w:t xml:space="preserve">, Стародубский, </w:t>
            </w:r>
            <w:proofErr w:type="spellStart"/>
            <w:r w:rsidRPr="00960A54">
              <w:rPr>
                <w:rFonts w:ascii="Garamond" w:eastAsia="Cambria" w:hAnsi="Garamond" w:cs="Calibri"/>
                <w:highlight w:val="yellow"/>
                <w:lang w:eastAsia="ru-RU"/>
              </w:rPr>
              <w:t>Суземский</w:t>
            </w:r>
            <w:proofErr w:type="spellEnd"/>
            <w:r w:rsidRPr="00960A54">
              <w:rPr>
                <w:rFonts w:ascii="Garamond" w:eastAsia="Cambria" w:hAnsi="Garamond" w:cs="Calibri"/>
                <w:highlight w:val="yellow"/>
                <w:lang w:eastAsia="ru-RU"/>
              </w:rPr>
              <w:t xml:space="preserve"> и </w:t>
            </w:r>
            <w:proofErr w:type="spellStart"/>
            <w:r w:rsidRPr="00960A54">
              <w:rPr>
                <w:rFonts w:ascii="Garamond" w:eastAsia="Cambria" w:hAnsi="Garamond" w:cs="Calibri"/>
                <w:highlight w:val="yellow"/>
                <w:lang w:eastAsia="ru-RU"/>
              </w:rPr>
              <w:t>Трубчевский</w:t>
            </w:r>
            <w:proofErr w:type="spellEnd"/>
            <w:r w:rsidRPr="00960A54">
              <w:rPr>
                <w:rFonts w:ascii="Garamond" w:eastAsia="Cambria" w:hAnsi="Garamond" w:cs="Calibri"/>
                <w:highlight w:val="yellow"/>
                <w:lang w:eastAsia="ru-RU"/>
              </w:rPr>
              <w:t xml:space="preserve"> районы</w:t>
            </w:r>
            <w:r w:rsidR="00835D8F">
              <w:rPr>
                <w:rFonts w:ascii="Garamond" w:eastAsia="Cambria" w:hAnsi="Garamond" w:cs="Calibri"/>
                <w:highlight w:val="yellow"/>
                <w:lang w:eastAsia="ru-RU"/>
              </w:rPr>
              <w:t>,</w:t>
            </w:r>
            <w:r w:rsidRPr="00960A54">
              <w:rPr>
                <w:rFonts w:ascii="Garamond" w:eastAsia="Cambria" w:hAnsi="Garamond" w:cs="Calibri"/>
                <w:highlight w:val="yellow"/>
                <w:lang w:eastAsia="ru-RU"/>
              </w:rPr>
              <w:t xml:space="preserve"> –</w:t>
            </w:r>
          </w:p>
          <w:p w14:paraId="0EA7A0DE" w14:textId="77777777" w:rsidR="00960A54" w:rsidRPr="00960A54" w:rsidRDefault="00960A54" w:rsidP="00960A54">
            <w:pPr>
              <w:tabs>
                <w:tab w:val="left" w:pos="960"/>
              </w:tabs>
              <w:autoSpaceDE w:val="0"/>
              <w:autoSpaceDN w:val="0"/>
              <w:spacing w:after="120" w:line="22" w:lineRule="atLeast"/>
              <w:ind w:left="28"/>
              <w:jc w:val="both"/>
              <w:rPr>
                <w:rFonts w:ascii="Garamond" w:eastAsia="Cambria" w:hAnsi="Garamond" w:cs="Calibri"/>
                <w:highlight w:val="yellow"/>
                <w:lang w:eastAsia="ru-RU"/>
              </w:rPr>
            </w:pPr>
            <w:r w:rsidRPr="00960A54">
              <w:rPr>
                <w:rFonts w:ascii="Garamond" w:eastAsia="Cambria" w:hAnsi="Garamond" w:cs="Calibri"/>
                <w:highlight w:val="yellow"/>
                <w:lang w:eastAsia="ru-RU"/>
              </w:rPr>
              <w:t xml:space="preserve">субъект оптового рынка вправе заявить о невозможности выполнить требования по подтверждению соответствия систем коммерческого учета техническим требованиям оптового рынка в таком сечении коммерческого учета и (или) группе точек поставки генерации путем направления в Совет рынка официального письма. В указанном письме должны быть также указаны код такого сечения / группы точек поставки генерации, субъект Российской Федерации и административно-территориальная единица, на территории которых расположены объекты электроэнергетики, входящие в соответствующее сечение и (или) группу точек поставки генерации. Копию направленного в Совет рынка письма необходимо также направить на электронную почту KU_DK@np-sr.ru. При соблюдении указанных условий к субъекту оптового рынка не применяются санкции, предусмотренные ст. 33.6 </w:t>
            </w:r>
            <w:r w:rsidRPr="00960A54">
              <w:rPr>
                <w:rFonts w:ascii="Garamond" w:eastAsia="Cambria" w:hAnsi="Garamond" w:cs="Calibri"/>
                <w:i/>
                <w:highlight w:val="yellow"/>
                <w:lang w:eastAsia="ru-RU"/>
              </w:rPr>
              <w:t>Положения о применении санкций на оптовом рынке электрической энергии и мощности</w:t>
            </w:r>
            <w:r w:rsidRPr="00960A54">
              <w:rPr>
                <w:rFonts w:ascii="Garamond" w:eastAsia="Cambria" w:hAnsi="Garamond" w:cs="Calibri"/>
                <w:highlight w:val="yellow"/>
                <w:lang w:eastAsia="ru-RU"/>
              </w:rPr>
              <w:t xml:space="preserve"> (Приложение № 21 к</w:t>
            </w:r>
            <w:r w:rsidRPr="00960A54">
              <w:rPr>
                <w:rFonts w:ascii="Garamond" w:eastAsia="Cambria" w:hAnsi="Garamond" w:cs="Calibri"/>
                <w:i/>
                <w:highlight w:val="yellow"/>
                <w:lang w:eastAsia="ru-RU"/>
              </w:rPr>
              <w:t xml:space="preserve"> Договору о присоединении к торговой системе оптового рынка</w:t>
            </w:r>
            <w:r w:rsidRPr="00960A54">
              <w:rPr>
                <w:rFonts w:ascii="Garamond" w:eastAsia="Cambria" w:hAnsi="Garamond" w:cs="Calibri"/>
                <w:highlight w:val="yellow"/>
                <w:lang w:eastAsia="ru-RU"/>
              </w:rPr>
              <w:t>).</w:t>
            </w:r>
          </w:p>
        </w:tc>
      </w:tr>
    </w:tbl>
    <w:p w14:paraId="705CD4C7" w14:textId="77777777" w:rsidR="00960A54" w:rsidRDefault="00960A54" w:rsidP="00960A54">
      <w:pPr>
        <w:suppressAutoHyphens/>
        <w:autoSpaceDE w:val="0"/>
        <w:autoSpaceDN w:val="0"/>
        <w:spacing w:after="0" w:line="240" w:lineRule="auto"/>
        <w:rPr>
          <w:rFonts w:ascii="Garamond" w:eastAsia="Cambria" w:hAnsi="Garamond" w:cs="Cambria"/>
          <w:b/>
          <w:sz w:val="26"/>
          <w:szCs w:val="26"/>
          <w:lang w:eastAsia="ru-RU"/>
        </w:rPr>
      </w:pPr>
    </w:p>
    <w:p w14:paraId="345BC590" w14:textId="77777777" w:rsidR="00960A54" w:rsidRPr="00960A54" w:rsidRDefault="00960A54" w:rsidP="00B84305">
      <w:pPr>
        <w:suppressAutoHyphens/>
        <w:autoSpaceDE w:val="0"/>
        <w:autoSpaceDN w:val="0"/>
        <w:spacing w:after="0" w:line="240" w:lineRule="auto"/>
        <w:rPr>
          <w:rFonts w:ascii="Garamond" w:eastAsia="Cambria" w:hAnsi="Garamond" w:cs="Cambria"/>
          <w:b/>
          <w:sz w:val="26"/>
          <w:szCs w:val="26"/>
          <w:lang w:eastAsia="ru-RU"/>
        </w:rPr>
      </w:pPr>
      <w:r w:rsidRPr="00960A54">
        <w:rPr>
          <w:rFonts w:ascii="Garamond" w:eastAsia="Cambria" w:hAnsi="Garamond" w:cs="Cambria"/>
          <w:b/>
          <w:sz w:val="26"/>
          <w:szCs w:val="26"/>
          <w:lang w:eastAsia="ru-RU"/>
        </w:rPr>
        <w:t>Предложения по изменениям и дополнениям в ПОЛОЖЕНИЕ О ПРИМЕНЕНИИ САНКЦИЙ НА ОПТОВОМ РЫНКЕ ЭЛЕКТРИЧЕСКОЙ ЭНЕРГИИ И МОЩНОСТИ (Приложение № 21 к Договору о присоединении к торговой системе оптового рынка)</w:t>
      </w:r>
    </w:p>
    <w:p w14:paraId="3FB6F51D" w14:textId="77777777" w:rsidR="00960A54" w:rsidRPr="00960A54" w:rsidRDefault="00960A54" w:rsidP="00960A54">
      <w:pPr>
        <w:suppressAutoHyphens/>
        <w:autoSpaceDE w:val="0"/>
        <w:autoSpaceDN w:val="0"/>
        <w:spacing w:after="0" w:line="240" w:lineRule="auto"/>
        <w:rPr>
          <w:rFonts w:ascii="Garamond" w:eastAsia="Cambria" w:hAnsi="Garamond" w:cs="Cambria"/>
          <w:b/>
          <w:sz w:val="28"/>
          <w:szCs w:val="28"/>
          <w:lang w:eastAsia="ru-RU"/>
        </w:rPr>
      </w:pPr>
    </w:p>
    <w:tbl>
      <w:tblPr>
        <w:tblW w:w="146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379"/>
        <w:gridCol w:w="7371"/>
      </w:tblGrid>
      <w:tr w:rsidR="00960A54" w:rsidRPr="00960A54" w14:paraId="0344EAAD" w14:textId="77777777" w:rsidTr="00960A54">
        <w:tc>
          <w:tcPr>
            <w:tcW w:w="918" w:type="dxa"/>
            <w:shd w:val="clear" w:color="auto" w:fill="auto"/>
            <w:vAlign w:val="center"/>
          </w:tcPr>
          <w:p w14:paraId="68E61E2B" w14:textId="77777777" w:rsidR="00960A54" w:rsidRPr="00960A54" w:rsidRDefault="00960A54" w:rsidP="00960A54">
            <w:pPr>
              <w:suppressAutoHyphens/>
              <w:spacing w:after="0" w:line="240" w:lineRule="auto"/>
              <w:jc w:val="center"/>
              <w:rPr>
                <w:rFonts w:ascii="Garamond" w:eastAsia="Cambria" w:hAnsi="Garamond" w:cs="Cambria"/>
                <w:b/>
                <w:lang w:eastAsia="ru-RU"/>
              </w:rPr>
            </w:pPr>
            <w:r w:rsidRPr="00960A54">
              <w:rPr>
                <w:rFonts w:ascii="Garamond" w:eastAsia="Cambria" w:hAnsi="Garamond" w:cs="Cambria"/>
                <w:b/>
                <w:lang w:eastAsia="ru-RU"/>
              </w:rPr>
              <w:t>№</w:t>
            </w:r>
          </w:p>
          <w:p w14:paraId="5F204025" w14:textId="77777777" w:rsidR="00960A54" w:rsidRPr="00960A54" w:rsidRDefault="00960A54" w:rsidP="00960A54">
            <w:pPr>
              <w:suppressAutoHyphens/>
              <w:spacing w:after="0" w:line="240" w:lineRule="auto"/>
              <w:ind w:right="-108"/>
              <w:jc w:val="center"/>
              <w:rPr>
                <w:rFonts w:ascii="Garamond" w:eastAsia="Cambria" w:hAnsi="Garamond" w:cs="Cambria"/>
                <w:b/>
                <w:lang w:eastAsia="ru-RU"/>
              </w:rPr>
            </w:pPr>
            <w:r w:rsidRPr="00960A54">
              <w:rPr>
                <w:rFonts w:ascii="Garamond" w:eastAsia="Cambria" w:hAnsi="Garamond" w:cs="Cambria"/>
                <w:b/>
                <w:lang w:eastAsia="ru-RU"/>
              </w:rPr>
              <w:t>пункта</w:t>
            </w:r>
          </w:p>
        </w:tc>
        <w:tc>
          <w:tcPr>
            <w:tcW w:w="6379" w:type="dxa"/>
          </w:tcPr>
          <w:p w14:paraId="7349B430" w14:textId="77777777" w:rsidR="00960A54" w:rsidRPr="00960A54" w:rsidRDefault="00960A54" w:rsidP="00960A54">
            <w:pPr>
              <w:suppressAutoHyphens/>
              <w:spacing w:after="0" w:line="240" w:lineRule="auto"/>
              <w:ind w:firstLine="580"/>
              <w:jc w:val="center"/>
              <w:rPr>
                <w:rFonts w:ascii="Garamond" w:eastAsia="Cambria" w:hAnsi="Garamond" w:cs="Cambria"/>
                <w:b/>
                <w:bCs/>
                <w:lang w:eastAsia="ru-RU"/>
              </w:rPr>
            </w:pPr>
            <w:r w:rsidRPr="00960A54">
              <w:rPr>
                <w:rFonts w:ascii="Garamond" w:eastAsia="Cambria" w:hAnsi="Garamond" w:cs="Cambria"/>
                <w:b/>
                <w:bCs/>
                <w:lang w:eastAsia="ru-RU"/>
              </w:rPr>
              <w:t>Редакция, действующая на момент</w:t>
            </w:r>
          </w:p>
          <w:p w14:paraId="6D929317" w14:textId="77777777" w:rsidR="00960A54" w:rsidRPr="00960A54" w:rsidRDefault="00960A54" w:rsidP="00960A54">
            <w:pPr>
              <w:tabs>
                <w:tab w:val="center" w:pos="3708"/>
                <w:tab w:val="left" w:pos="5298"/>
              </w:tabs>
              <w:suppressAutoHyphens/>
              <w:spacing w:after="0" w:line="240" w:lineRule="auto"/>
              <w:ind w:firstLine="580"/>
              <w:jc w:val="center"/>
              <w:rPr>
                <w:rFonts w:ascii="Garamond" w:eastAsia="Cambria" w:hAnsi="Garamond" w:cs="Cambria"/>
                <w:b/>
                <w:lang w:eastAsia="ru-RU"/>
              </w:rPr>
            </w:pPr>
            <w:r w:rsidRPr="00960A54">
              <w:rPr>
                <w:rFonts w:ascii="Garamond" w:eastAsia="Cambria" w:hAnsi="Garamond" w:cs="Cambria"/>
                <w:b/>
                <w:bCs/>
                <w:lang w:eastAsia="ru-RU"/>
              </w:rPr>
              <w:t>вступления в силу изменений</w:t>
            </w:r>
          </w:p>
        </w:tc>
        <w:tc>
          <w:tcPr>
            <w:tcW w:w="7371" w:type="dxa"/>
          </w:tcPr>
          <w:p w14:paraId="2B21CAB9" w14:textId="77777777" w:rsidR="00960A54" w:rsidRPr="00960A54" w:rsidRDefault="00960A54" w:rsidP="00960A54">
            <w:pPr>
              <w:suppressAutoHyphens/>
              <w:spacing w:after="0" w:line="240" w:lineRule="auto"/>
              <w:ind w:firstLine="580"/>
              <w:jc w:val="center"/>
              <w:rPr>
                <w:rFonts w:ascii="Garamond" w:eastAsia="Cambria" w:hAnsi="Garamond" w:cs="Cambria"/>
                <w:b/>
                <w:lang w:eastAsia="ru-RU"/>
              </w:rPr>
            </w:pPr>
            <w:r w:rsidRPr="00960A54">
              <w:rPr>
                <w:rFonts w:ascii="Garamond" w:eastAsia="Cambria" w:hAnsi="Garamond" w:cs="Cambria"/>
                <w:b/>
                <w:lang w:eastAsia="ru-RU"/>
              </w:rPr>
              <w:t>Предлагаемая редакция</w:t>
            </w:r>
          </w:p>
          <w:p w14:paraId="4A6AEE4D" w14:textId="77777777" w:rsidR="00960A54" w:rsidRPr="00960A54" w:rsidRDefault="00960A54" w:rsidP="00960A54">
            <w:pPr>
              <w:suppressAutoHyphens/>
              <w:spacing w:after="0" w:line="240" w:lineRule="auto"/>
              <w:ind w:firstLine="580"/>
              <w:jc w:val="center"/>
              <w:rPr>
                <w:rFonts w:ascii="Garamond" w:eastAsia="Cambria" w:hAnsi="Garamond" w:cs="Cambria"/>
                <w:lang w:eastAsia="ru-RU"/>
              </w:rPr>
            </w:pPr>
            <w:r w:rsidRPr="00960A54">
              <w:rPr>
                <w:rFonts w:ascii="Garamond" w:eastAsia="Cambria" w:hAnsi="Garamond" w:cs="Cambria"/>
                <w:lang w:eastAsia="ru-RU"/>
              </w:rPr>
              <w:t>(изменения выделены цветом)</w:t>
            </w:r>
          </w:p>
        </w:tc>
      </w:tr>
      <w:tr w:rsidR="00960A54" w:rsidRPr="00960A54" w14:paraId="4153E15C" w14:textId="77777777" w:rsidTr="00960A54">
        <w:tc>
          <w:tcPr>
            <w:tcW w:w="918" w:type="dxa"/>
            <w:shd w:val="clear" w:color="auto" w:fill="auto"/>
            <w:vAlign w:val="center"/>
          </w:tcPr>
          <w:p w14:paraId="05EB9524" w14:textId="77777777" w:rsidR="00960A54" w:rsidRPr="00960A54" w:rsidRDefault="00960A54" w:rsidP="00960A54">
            <w:pPr>
              <w:suppressAutoHyphens/>
              <w:spacing w:after="0" w:line="240" w:lineRule="auto"/>
              <w:jc w:val="center"/>
              <w:rPr>
                <w:rFonts w:ascii="Garamond" w:eastAsia="Cambria" w:hAnsi="Garamond" w:cs="Cambria"/>
                <w:b/>
                <w:lang w:eastAsia="ru-RU"/>
              </w:rPr>
            </w:pPr>
            <w:r w:rsidRPr="00960A54">
              <w:rPr>
                <w:rFonts w:ascii="Garamond" w:eastAsia="Cambria" w:hAnsi="Garamond" w:cs="Cambria"/>
                <w:b/>
                <w:lang w:eastAsia="ru-RU"/>
              </w:rPr>
              <w:t>33.6</w:t>
            </w:r>
          </w:p>
        </w:tc>
        <w:tc>
          <w:tcPr>
            <w:tcW w:w="6379" w:type="dxa"/>
          </w:tcPr>
          <w:p w14:paraId="39C53297" w14:textId="77777777" w:rsidR="00960A54" w:rsidRPr="00960A54" w:rsidRDefault="00960A54" w:rsidP="00960A54">
            <w:pPr>
              <w:tabs>
                <w:tab w:val="left" w:pos="720"/>
              </w:tabs>
              <w:suppressAutoHyphens/>
              <w:spacing w:before="120" w:after="120" w:line="240" w:lineRule="auto"/>
              <w:jc w:val="both"/>
              <w:rPr>
                <w:rFonts w:ascii="Garamond" w:eastAsia="Cambria" w:hAnsi="Garamond" w:cs="Cambria"/>
                <w:lang w:eastAsia="ru-RU"/>
              </w:rPr>
            </w:pPr>
            <w:r w:rsidRPr="00960A54">
              <w:rPr>
                <w:rFonts w:ascii="Garamond" w:eastAsia="Cambria" w:hAnsi="Garamond" w:cs="Cambria"/>
                <w:lang w:eastAsia="ru-RU"/>
              </w:rPr>
              <w:t>Прекращение действия (в том числе в связи с истечением срока) ранее утвержденного КО в отношении участника оптового рынка (ФСК) Акта соответствия АИИС, а равно истечение сроков подтверждения участником оптового рынка (ФСК) соответствия систем коммерческого учета требованиям Правил оптового рынка и Договора о присоединении (</w:t>
            </w:r>
            <w:r w:rsidRPr="00960A54">
              <w:rPr>
                <w:rFonts w:ascii="Garamond" w:eastAsia="Cambria" w:hAnsi="Garamond" w:cs="Garamond"/>
                <w:lang w:eastAsia="ru-RU"/>
              </w:rPr>
              <w:t>далее</w:t>
            </w:r>
            <w:r w:rsidRPr="00960A54">
              <w:rPr>
                <w:rFonts w:ascii="Garamond" w:eastAsia="Cambria" w:hAnsi="Garamond" w:cs="Garamond"/>
                <w:i/>
                <w:lang w:eastAsia="ru-RU"/>
              </w:rPr>
              <w:t xml:space="preserve"> – </w:t>
            </w:r>
            <w:r w:rsidRPr="00960A54">
              <w:rPr>
                <w:rFonts w:ascii="Garamond" w:eastAsia="Cambria" w:hAnsi="Garamond" w:cs="Cambria"/>
                <w:lang w:eastAsia="ru-RU"/>
              </w:rPr>
              <w:t>истечение срока подтверждения соответствия АИИС),</w:t>
            </w:r>
          </w:p>
          <w:p w14:paraId="5D329147" w14:textId="77777777" w:rsidR="00960A54" w:rsidRPr="00960A54" w:rsidRDefault="00960A54" w:rsidP="00960A54">
            <w:pPr>
              <w:tabs>
                <w:tab w:val="left" w:pos="720"/>
              </w:tabs>
              <w:suppressAutoHyphens/>
              <w:spacing w:before="120" w:after="120" w:line="240" w:lineRule="auto"/>
              <w:ind w:left="644"/>
              <w:jc w:val="both"/>
              <w:rPr>
                <w:rFonts w:ascii="Garamond" w:eastAsia="Cambria" w:hAnsi="Garamond" w:cs="Cambria"/>
                <w:color w:val="000000"/>
                <w:lang w:eastAsia="ru-RU"/>
              </w:rPr>
            </w:pPr>
            <w:r w:rsidRPr="00960A54">
              <w:rPr>
                <w:rFonts w:ascii="Garamond" w:eastAsia="Cambria" w:hAnsi="Garamond" w:cs="Cambria"/>
                <w:lang w:eastAsia="ru-RU"/>
              </w:rPr>
              <w:t>влечет взыскание штрафа в размере:</w:t>
            </w:r>
          </w:p>
          <w:p w14:paraId="77FC37D1" w14:textId="77777777" w:rsidR="00960A54" w:rsidRPr="00960A54" w:rsidRDefault="00960A54" w:rsidP="00960A54">
            <w:pPr>
              <w:tabs>
                <w:tab w:val="left" w:pos="720"/>
              </w:tabs>
              <w:suppressAutoHyphens/>
              <w:spacing w:before="120" w:after="120" w:line="240" w:lineRule="auto"/>
              <w:ind w:left="644"/>
              <w:jc w:val="both"/>
              <w:rPr>
                <w:rFonts w:ascii="Garamond" w:eastAsia="Cambria" w:hAnsi="Garamond" w:cs="Cambria"/>
                <w:lang w:eastAsia="ru-RU"/>
              </w:rPr>
            </w:pPr>
            <w:r w:rsidRPr="00960A54">
              <w:rPr>
                <w:rFonts w:ascii="Garamond" w:eastAsia="Cambria" w:hAnsi="Garamond" w:cs="Cambria"/>
                <w:position w:val="-10"/>
                <w:lang w:eastAsia="ru-RU"/>
              </w:rPr>
              <w:object w:dxaOrig="1640" w:dyaOrig="320" w14:anchorId="36466859">
                <v:shape id="_x0000_i1035" type="#_x0000_t75" style="width:121pt;height:26.5pt" o:ole="">
                  <v:imagedata r:id="rId24" o:title=""/>
                </v:shape>
                <o:OLEObject Type="Embed" ProgID="Equation.3" ShapeID="_x0000_i1035" DrawAspect="Content" ObjectID="_1788658324" r:id="rId25"/>
              </w:object>
            </w:r>
            <w:r w:rsidRPr="00960A54">
              <w:rPr>
                <w:rFonts w:ascii="Garamond" w:eastAsia="Cambria" w:hAnsi="Garamond" w:cs="Cambria"/>
                <w:lang w:eastAsia="ru-RU"/>
              </w:rPr>
              <w:t>,</w:t>
            </w:r>
          </w:p>
          <w:p w14:paraId="21F643C4" w14:textId="77777777" w:rsidR="00960A54" w:rsidRPr="00960A54" w:rsidRDefault="00960A54" w:rsidP="00960A54">
            <w:pPr>
              <w:tabs>
                <w:tab w:val="left" w:pos="720"/>
              </w:tabs>
              <w:suppressAutoHyphens/>
              <w:spacing w:before="120" w:after="120" w:line="240" w:lineRule="auto"/>
              <w:jc w:val="both"/>
              <w:rPr>
                <w:rFonts w:ascii="Garamond" w:eastAsia="Cambria" w:hAnsi="Garamond" w:cs="Cambria"/>
                <w:lang w:eastAsia="ru-RU"/>
              </w:rPr>
            </w:pPr>
            <w:r w:rsidRPr="00960A54">
              <w:rPr>
                <w:rFonts w:ascii="Garamond" w:eastAsia="Cambria" w:hAnsi="Garamond" w:cs="Cambria"/>
                <w:lang w:eastAsia="ru-RU"/>
              </w:rPr>
              <w:t xml:space="preserve">где </w:t>
            </w:r>
            <w:r w:rsidRPr="00960A54">
              <w:rPr>
                <w:rFonts w:ascii="Garamond" w:eastAsia="Cambria" w:hAnsi="Garamond" w:cs="Cambria"/>
                <w:position w:val="-12"/>
                <w:lang w:eastAsia="ru-RU"/>
              </w:rPr>
              <w:object w:dxaOrig="420" w:dyaOrig="360" w14:anchorId="461DF207">
                <v:shape id="_x0000_i1036" type="#_x0000_t75" style="width:22pt;height:18pt" o:ole="">
                  <v:imagedata r:id="rId26" o:title=""/>
                </v:shape>
                <o:OLEObject Type="Embed" ProgID="Equation.3" ShapeID="_x0000_i1036" DrawAspect="Content" ObjectID="_1788658325" r:id="rId27"/>
              </w:object>
            </w:r>
            <w:r w:rsidRPr="00960A54">
              <w:rPr>
                <w:rFonts w:ascii="Garamond" w:eastAsia="Cambria" w:hAnsi="Garamond" w:cs="Cambria"/>
                <w:lang w:eastAsia="ru-RU"/>
              </w:rPr>
              <w:t>– базовая величина штрафа, равная 750 000 (семистам пятидесяти тысячам) рублей,</w:t>
            </w:r>
          </w:p>
          <w:p w14:paraId="7F926CF9" w14:textId="77777777" w:rsidR="00960A54" w:rsidRPr="00960A54" w:rsidRDefault="00960A54" w:rsidP="00960A54">
            <w:pPr>
              <w:tabs>
                <w:tab w:val="left" w:pos="720"/>
              </w:tabs>
              <w:suppressAutoHyphens/>
              <w:spacing w:before="120" w:after="120" w:line="240" w:lineRule="auto"/>
              <w:jc w:val="both"/>
              <w:rPr>
                <w:rFonts w:ascii="Garamond" w:eastAsia="Cambria" w:hAnsi="Garamond" w:cs="Cambria"/>
                <w:color w:val="FF0000"/>
                <w:lang w:eastAsia="ru-RU"/>
              </w:rPr>
            </w:pPr>
            <w:r w:rsidRPr="00960A54">
              <w:rPr>
                <w:rFonts w:ascii="Garamond" w:eastAsia="Cambria" w:hAnsi="Garamond" w:cs="Cambria"/>
                <w:color w:val="FF0000"/>
                <w:position w:val="-10"/>
                <w:lang w:eastAsia="ru-RU"/>
              </w:rPr>
              <w:object w:dxaOrig="240" w:dyaOrig="240" w14:anchorId="05DACC44">
                <v:shape id="_x0000_i1037" type="#_x0000_t75" style="width:18pt;height:18pt" o:ole="">
                  <v:imagedata r:id="rId28" o:title=""/>
                </v:shape>
                <o:OLEObject Type="Embed" ProgID="Equation.3" ShapeID="_x0000_i1037" DrawAspect="Content" ObjectID="_1788658326" r:id="rId29"/>
              </w:object>
            </w:r>
            <w:r w:rsidRPr="00960A54">
              <w:rPr>
                <w:rFonts w:ascii="Garamond" w:eastAsia="Cambria" w:hAnsi="Garamond" w:cs="Cambria"/>
                <w:lang w:eastAsia="ru-RU"/>
              </w:rPr>
              <w:t>–</w:t>
            </w:r>
            <w:r w:rsidRPr="00960A54">
              <w:rPr>
                <w:rFonts w:ascii="Garamond" w:eastAsia="Cambria" w:hAnsi="Garamond" w:cs="Cambria"/>
                <w:color w:val="FF0000"/>
                <w:lang w:eastAsia="ru-RU"/>
              </w:rPr>
              <w:t xml:space="preserve"> </w:t>
            </w:r>
            <w:r w:rsidRPr="00960A54">
              <w:rPr>
                <w:rFonts w:ascii="Garamond" w:eastAsia="Cambria" w:hAnsi="Garamond" w:cs="Cambria"/>
                <w:lang w:eastAsia="ru-RU"/>
              </w:rPr>
              <w:t>количество сечений коммерческого учета (отдельных ГТП генерации) участника оптового рынка (сечений коммерческого учета ФСК), по которым на дату проверки отсутствует Акт соответствия АИИС требуемого класса без учета сечений коммерческого учета данного участника (сечений коммерческого учета ФСК), по которым Комиссией выданы предписания,</w:t>
            </w:r>
          </w:p>
          <w:p w14:paraId="2F6B8432" w14:textId="77777777" w:rsidR="00960A54" w:rsidRPr="00960A54" w:rsidRDefault="00960A54" w:rsidP="00960A54">
            <w:pPr>
              <w:tabs>
                <w:tab w:val="left" w:pos="720"/>
              </w:tabs>
              <w:suppressAutoHyphens/>
              <w:spacing w:before="120" w:after="120" w:line="240" w:lineRule="auto"/>
              <w:jc w:val="both"/>
              <w:rPr>
                <w:rFonts w:ascii="Garamond" w:eastAsia="Cambria" w:hAnsi="Garamond" w:cs="Cambria"/>
                <w:lang w:eastAsia="ru-RU"/>
              </w:rPr>
            </w:pPr>
            <w:r w:rsidRPr="00960A54">
              <w:rPr>
                <w:rFonts w:ascii="Garamond" w:eastAsia="Cambria" w:hAnsi="Garamond" w:cs="Cambria"/>
                <w:lang w:eastAsia="ru-RU"/>
              </w:rPr>
              <w:t>и (или) выдачу Комиссией предписания об устранении нарушения.</w:t>
            </w:r>
          </w:p>
          <w:p w14:paraId="4ABB2FD4" w14:textId="77777777" w:rsidR="00960A54" w:rsidRPr="00960A54" w:rsidRDefault="00960A54" w:rsidP="00960A54">
            <w:pPr>
              <w:tabs>
                <w:tab w:val="left" w:pos="720"/>
              </w:tabs>
              <w:suppressAutoHyphens/>
              <w:spacing w:before="120" w:after="120" w:line="240" w:lineRule="auto"/>
              <w:jc w:val="both"/>
              <w:rPr>
                <w:rFonts w:ascii="Garamond" w:eastAsia="Cambria" w:hAnsi="Garamond" w:cs="Cambria"/>
                <w:lang w:eastAsia="ru-RU"/>
              </w:rPr>
            </w:pPr>
            <w:r w:rsidRPr="00960A54">
              <w:rPr>
                <w:rFonts w:ascii="Garamond" w:eastAsia="Cambria" w:hAnsi="Garamond" w:cs="Cambria"/>
                <w:lang w:eastAsia="ru-RU"/>
              </w:rPr>
              <w:t>Предусмотренная настоящей статьей санкция применяется в случае прекращения действия Акта соответствия АИИС либо истечения срока подтверждения соответствия АИИС в отношении хотя бы одного сечения коммерческого учета (отдельной ГТП генерации) участника оптового рынка (ФСК), за исключением:</w:t>
            </w:r>
          </w:p>
          <w:p w14:paraId="0A26C4AA" w14:textId="77777777" w:rsidR="00960A54" w:rsidRPr="00960A54" w:rsidRDefault="00960A54" w:rsidP="00960A54">
            <w:pPr>
              <w:suppressAutoHyphens/>
              <w:spacing w:before="120" w:after="120" w:line="240" w:lineRule="auto"/>
              <w:jc w:val="both"/>
              <w:rPr>
                <w:rFonts w:ascii="Garamond" w:eastAsia="Cambria" w:hAnsi="Garamond" w:cs="Cambria"/>
                <w:color w:val="000000"/>
                <w:lang w:eastAsia="ru-RU"/>
              </w:rPr>
            </w:pPr>
            <w:r w:rsidRPr="00960A54">
              <w:rPr>
                <w:rFonts w:ascii="Garamond" w:eastAsia="Cambria" w:hAnsi="Garamond" w:cs="Cambria"/>
                <w:color w:val="000000"/>
                <w:lang w:eastAsia="ru-RU"/>
              </w:rPr>
              <w:lastRenderedPageBreak/>
              <w:t>–</w:t>
            </w:r>
            <w:r w:rsidRPr="00960A54">
              <w:rPr>
                <w:rFonts w:ascii="Garamond" w:eastAsia="Cambria" w:hAnsi="Garamond" w:cs="Cambria"/>
                <w:lang w:eastAsia="ru-RU"/>
              </w:rPr>
              <w:t xml:space="preserve"> гарантирующего поставщика по сечениям коммерческого учета со смежными субъектами оптового рынка, определенными п. 2.5.2 </w:t>
            </w:r>
            <w:r w:rsidRPr="00960A54">
              <w:rPr>
                <w:rFonts w:ascii="Garamond" w:eastAsia="Cambria" w:hAnsi="Garamond" w:cs="Cambria"/>
                <w:i/>
                <w:lang w:eastAsia="ru-RU"/>
              </w:rPr>
              <w:t>Положения о порядке получения статуса субъекта оптового рынка</w:t>
            </w:r>
            <w:r w:rsidRPr="00960A54">
              <w:rPr>
                <w:rFonts w:ascii="Garamond" w:eastAsia="Cambria" w:hAnsi="Garamond" w:cs="Cambria"/>
                <w:lang w:eastAsia="ru-RU"/>
              </w:rPr>
              <w:t xml:space="preserve"> </w:t>
            </w:r>
            <w:r w:rsidRPr="00960A54">
              <w:rPr>
                <w:rFonts w:ascii="Garamond" w:eastAsia="Cambria" w:hAnsi="Garamond" w:cs="Cambria"/>
                <w:i/>
                <w:lang w:eastAsia="ru-RU"/>
              </w:rPr>
              <w:t>и</w:t>
            </w:r>
            <w:r w:rsidRPr="00960A54">
              <w:rPr>
                <w:rFonts w:ascii="Garamond" w:eastAsia="Cambria" w:hAnsi="Garamond" w:cs="Cambria"/>
                <w:lang w:eastAsia="ru-RU"/>
              </w:rPr>
              <w:t xml:space="preserve"> </w:t>
            </w:r>
            <w:r w:rsidRPr="00960A54">
              <w:rPr>
                <w:rFonts w:ascii="Garamond" w:eastAsia="Cambria" w:hAnsi="Garamond" w:cs="Cambria"/>
                <w:i/>
                <w:lang w:eastAsia="ru-RU"/>
              </w:rPr>
              <w:t xml:space="preserve">ведения реестра субъектов оптового рынка </w:t>
            </w:r>
            <w:r w:rsidRPr="00960A54">
              <w:rPr>
                <w:rFonts w:ascii="Garamond" w:eastAsia="Cambria" w:hAnsi="Garamond" w:cs="Cambria"/>
                <w:lang w:eastAsia="ru-RU"/>
              </w:rPr>
              <w:t xml:space="preserve">(Приложение № 1.1 к </w:t>
            </w:r>
            <w:r w:rsidRPr="00960A54">
              <w:rPr>
                <w:rFonts w:ascii="Garamond" w:eastAsia="Cambria" w:hAnsi="Garamond" w:cs="Cambria"/>
                <w:i/>
                <w:lang w:eastAsia="ru-RU"/>
              </w:rPr>
              <w:t>Договору о присоединении к торговой системе оптового рынка</w:t>
            </w:r>
            <w:r w:rsidRPr="00960A54">
              <w:rPr>
                <w:rFonts w:ascii="Garamond" w:eastAsia="Cambria" w:hAnsi="Garamond" w:cs="Cambria"/>
                <w:lang w:eastAsia="ru-RU"/>
              </w:rPr>
              <w:t xml:space="preserve">) в ГТП потребления собственных нужд, а также пп. 2.5.4–2.5.5, 2.5.7 </w:t>
            </w:r>
            <w:r w:rsidRPr="00960A54">
              <w:rPr>
                <w:rFonts w:ascii="Garamond" w:eastAsia="Cambria" w:hAnsi="Garamond" w:cs="Cambria"/>
                <w:i/>
                <w:lang w:eastAsia="ru-RU"/>
              </w:rPr>
              <w:t>Положения о порядке получения статуса субъекта оптового рынка</w:t>
            </w:r>
            <w:r w:rsidRPr="00960A54">
              <w:rPr>
                <w:rFonts w:ascii="Garamond" w:eastAsia="Cambria" w:hAnsi="Garamond" w:cs="Cambria"/>
                <w:lang w:eastAsia="ru-RU"/>
              </w:rPr>
              <w:t xml:space="preserve"> </w:t>
            </w:r>
            <w:r w:rsidRPr="00960A54">
              <w:rPr>
                <w:rFonts w:ascii="Garamond" w:eastAsia="Cambria" w:hAnsi="Garamond" w:cs="Cambria"/>
                <w:i/>
                <w:lang w:eastAsia="ru-RU"/>
              </w:rPr>
              <w:t>и</w:t>
            </w:r>
            <w:r w:rsidRPr="00960A54">
              <w:rPr>
                <w:rFonts w:ascii="Garamond" w:eastAsia="Cambria" w:hAnsi="Garamond" w:cs="Cambria"/>
                <w:lang w:eastAsia="ru-RU"/>
              </w:rPr>
              <w:t xml:space="preserve"> </w:t>
            </w:r>
            <w:r w:rsidRPr="00960A54">
              <w:rPr>
                <w:rFonts w:ascii="Garamond" w:eastAsia="Cambria" w:hAnsi="Garamond" w:cs="Cambria"/>
                <w:i/>
                <w:lang w:eastAsia="ru-RU"/>
              </w:rPr>
              <w:t xml:space="preserve">ведения реестра субъектов оптового рынка </w:t>
            </w:r>
            <w:r w:rsidRPr="00960A54">
              <w:rPr>
                <w:rFonts w:ascii="Garamond" w:eastAsia="Cambria" w:hAnsi="Garamond" w:cs="Cambria"/>
                <w:lang w:eastAsia="ru-RU"/>
              </w:rPr>
              <w:t xml:space="preserve">(Приложение № 1.1 к </w:t>
            </w:r>
            <w:r w:rsidRPr="00960A54">
              <w:rPr>
                <w:rFonts w:ascii="Garamond" w:eastAsia="Cambria" w:hAnsi="Garamond" w:cs="Cambria"/>
                <w:i/>
                <w:lang w:eastAsia="ru-RU"/>
              </w:rPr>
              <w:t>Договору о присоединении к торговой системе оптового рынка</w:t>
            </w:r>
            <w:r w:rsidRPr="00960A54">
              <w:rPr>
                <w:rFonts w:ascii="Garamond" w:eastAsia="Cambria" w:hAnsi="Garamond" w:cs="Cambria"/>
                <w:lang w:eastAsia="ru-RU"/>
              </w:rPr>
              <w:t>), по которым на дату прекращения действия Актов соответствия АИИС либо истечения срока подтверждения соответствия АИИС отсутствует Акт соответствия АИИС требуемого класса;</w:t>
            </w:r>
          </w:p>
          <w:p w14:paraId="0C536FC6" w14:textId="77777777" w:rsidR="00960A54" w:rsidRPr="00960A54" w:rsidRDefault="00960A54" w:rsidP="00960A54">
            <w:pPr>
              <w:suppressAutoHyphens/>
              <w:spacing w:before="120" w:after="120" w:line="240" w:lineRule="auto"/>
              <w:jc w:val="both"/>
              <w:rPr>
                <w:rFonts w:ascii="Garamond" w:eastAsia="Cambria" w:hAnsi="Garamond" w:cs="Cambria"/>
                <w:lang w:eastAsia="ru-RU"/>
              </w:rPr>
            </w:pPr>
            <w:r w:rsidRPr="00960A54">
              <w:rPr>
                <w:rFonts w:ascii="Garamond" w:eastAsia="Cambria" w:hAnsi="Garamond" w:cs="Cambria"/>
                <w:lang w:eastAsia="ru-RU"/>
              </w:rPr>
              <w:t>– временных сечений коммерческого учета</w:t>
            </w:r>
            <w:r w:rsidRPr="00960A54">
              <w:rPr>
                <w:rFonts w:ascii="Garamond" w:eastAsia="Cambria" w:hAnsi="Garamond" w:cs="Cambria"/>
                <w:highlight w:val="yellow"/>
                <w:lang w:eastAsia="ru-RU"/>
              </w:rPr>
              <w:t>.</w:t>
            </w:r>
          </w:p>
          <w:p w14:paraId="77F3B360" w14:textId="77777777" w:rsidR="00960A54" w:rsidRPr="00960A54" w:rsidRDefault="00960A54" w:rsidP="00960A54">
            <w:pPr>
              <w:tabs>
                <w:tab w:val="left" w:pos="720"/>
              </w:tabs>
              <w:suppressAutoHyphens/>
              <w:spacing w:before="120" w:after="120" w:line="240" w:lineRule="auto"/>
              <w:jc w:val="both"/>
              <w:rPr>
                <w:rFonts w:ascii="Garamond" w:eastAsia="Cambria" w:hAnsi="Garamond" w:cs="Cambria"/>
                <w:lang w:eastAsia="ru-RU"/>
              </w:rPr>
            </w:pPr>
            <w:r w:rsidRPr="00960A54">
              <w:rPr>
                <w:rFonts w:ascii="Garamond" w:eastAsia="Cambria" w:hAnsi="Garamond" w:cs="Cambria"/>
                <w:lang w:val="en-US" w:eastAsia="ru-RU"/>
              </w:rPr>
              <w:t>…</w:t>
            </w:r>
          </w:p>
        </w:tc>
        <w:tc>
          <w:tcPr>
            <w:tcW w:w="7371" w:type="dxa"/>
          </w:tcPr>
          <w:p w14:paraId="5B356FC5" w14:textId="77777777" w:rsidR="00960A54" w:rsidRPr="00960A54" w:rsidRDefault="00960A54" w:rsidP="00960A54">
            <w:pPr>
              <w:tabs>
                <w:tab w:val="left" w:pos="720"/>
              </w:tabs>
              <w:suppressAutoHyphens/>
              <w:spacing w:before="120" w:after="120" w:line="240" w:lineRule="auto"/>
              <w:jc w:val="both"/>
              <w:rPr>
                <w:rFonts w:ascii="Garamond" w:eastAsia="Cambria" w:hAnsi="Garamond" w:cs="Cambria"/>
                <w:lang w:eastAsia="ru-RU"/>
              </w:rPr>
            </w:pPr>
            <w:r w:rsidRPr="00960A54">
              <w:rPr>
                <w:rFonts w:ascii="Garamond" w:eastAsia="Cambria" w:hAnsi="Garamond" w:cs="Cambria"/>
                <w:lang w:eastAsia="ru-RU"/>
              </w:rPr>
              <w:lastRenderedPageBreak/>
              <w:t>Прекращение действия (в том числе в связи с истечением срока) ранее утвержденного КО в отношении участника оптового рынка (ФСК) Акта соответствия АИИС, а равно истечение сроков подтверждения участником оптового рынка (ФСК) соответствия систем коммерческого учета требованиям Правил оптового рынка и Договора о присоединении (</w:t>
            </w:r>
            <w:r w:rsidRPr="00960A54">
              <w:rPr>
                <w:rFonts w:ascii="Garamond" w:eastAsia="Cambria" w:hAnsi="Garamond" w:cs="Garamond"/>
                <w:lang w:eastAsia="ru-RU"/>
              </w:rPr>
              <w:t>далее</w:t>
            </w:r>
            <w:r w:rsidRPr="00960A54">
              <w:rPr>
                <w:rFonts w:ascii="Garamond" w:eastAsia="Cambria" w:hAnsi="Garamond" w:cs="Garamond"/>
                <w:i/>
                <w:lang w:eastAsia="ru-RU"/>
              </w:rPr>
              <w:t xml:space="preserve"> – </w:t>
            </w:r>
            <w:r w:rsidRPr="00960A54">
              <w:rPr>
                <w:rFonts w:ascii="Garamond" w:eastAsia="Cambria" w:hAnsi="Garamond" w:cs="Cambria"/>
                <w:lang w:eastAsia="ru-RU"/>
              </w:rPr>
              <w:t>истечение срока подтверждения соответствия АИИС),</w:t>
            </w:r>
          </w:p>
          <w:p w14:paraId="2C0DC92F" w14:textId="77777777" w:rsidR="00960A54" w:rsidRPr="00960A54" w:rsidRDefault="00960A54" w:rsidP="00960A54">
            <w:pPr>
              <w:tabs>
                <w:tab w:val="left" w:pos="720"/>
              </w:tabs>
              <w:suppressAutoHyphens/>
              <w:spacing w:before="120" w:after="120" w:line="240" w:lineRule="auto"/>
              <w:ind w:left="644"/>
              <w:jc w:val="both"/>
              <w:rPr>
                <w:rFonts w:ascii="Garamond" w:eastAsia="Cambria" w:hAnsi="Garamond" w:cs="Cambria"/>
                <w:color w:val="000000"/>
                <w:lang w:eastAsia="ru-RU"/>
              </w:rPr>
            </w:pPr>
            <w:r w:rsidRPr="00960A54">
              <w:rPr>
                <w:rFonts w:ascii="Garamond" w:eastAsia="Cambria" w:hAnsi="Garamond" w:cs="Cambria"/>
                <w:lang w:eastAsia="ru-RU"/>
              </w:rPr>
              <w:t>влечет взыскание штрафа в размере:</w:t>
            </w:r>
          </w:p>
          <w:p w14:paraId="27EBEA24" w14:textId="77777777" w:rsidR="00960A54" w:rsidRPr="00960A54" w:rsidRDefault="00960A54" w:rsidP="00960A54">
            <w:pPr>
              <w:tabs>
                <w:tab w:val="left" w:pos="720"/>
              </w:tabs>
              <w:suppressAutoHyphens/>
              <w:spacing w:before="120" w:after="120" w:line="240" w:lineRule="auto"/>
              <w:ind w:left="644"/>
              <w:jc w:val="both"/>
              <w:rPr>
                <w:rFonts w:ascii="Garamond" w:eastAsia="Cambria" w:hAnsi="Garamond" w:cs="Cambria"/>
                <w:lang w:eastAsia="ru-RU"/>
              </w:rPr>
            </w:pPr>
            <w:r w:rsidRPr="00960A54">
              <w:rPr>
                <w:rFonts w:ascii="Garamond" w:eastAsia="Cambria" w:hAnsi="Garamond" w:cs="Cambria"/>
                <w:position w:val="-10"/>
                <w:lang w:eastAsia="ru-RU"/>
              </w:rPr>
              <w:object w:dxaOrig="1640" w:dyaOrig="320" w14:anchorId="35DAF863">
                <v:shape id="_x0000_i1038" type="#_x0000_t75" style="width:121pt;height:26.5pt" o:ole="">
                  <v:imagedata r:id="rId24" o:title=""/>
                </v:shape>
                <o:OLEObject Type="Embed" ProgID="Equation.3" ShapeID="_x0000_i1038" DrawAspect="Content" ObjectID="_1788658327" r:id="rId30"/>
              </w:object>
            </w:r>
            <w:r w:rsidRPr="00960A54">
              <w:rPr>
                <w:rFonts w:ascii="Garamond" w:eastAsia="Cambria" w:hAnsi="Garamond" w:cs="Cambria"/>
                <w:lang w:eastAsia="ru-RU"/>
              </w:rPr>
              <w:t>,</w:t>
            </w:r>
          </w:p>
          <w:p w14:paraId="2082274B" w14:textId="77777777" w:rsidR="00960A54" w:rsidRPr="00960A54" w:rsidRDefault="00960A54" w:rsidP="00960A54">
            <w:pPr>
              <w:tabs>
                <w:tab w:val="left" w:pos="720"/>
              </w:tabs>
              <w:suppressAutoHyphens/>
              <w:spacing w:before="120" w:after="120" w:line="240" w:lineRule="auto"/>
              <w:jc w:val="both"/>
              <w:rPr>
                <w:rFonts w:ascii="Garamond" w:eastAsia="Cambria" w:hAnsi="Garamond" w:cs="Cambria"/>
                <w:lang w:eastAsia="ru-RU"/>
              </w:rPr>
            </w:pPr>
            <w:r w:rsidRPr="00960A54">
              <w:rPr>
                <w:rFonts w:ascii="Garamond" w:eastAsia="Cambria" w:hAnsi="Garamond" w:cs="Cambria"/>
                <w:lang w:eastAsia="ru-RU"/>
              </w:rPr>
              <w:t xml:space="preserve">где </w:t>
            </w:r>
            <w:r w:rsidRPr="00960A54">
              <w:rPr>
                <w:rFonts w:ascii="Garamond" w:eastAsia="Cambria" w:hAnsi="Garamond" w:cs="Cambria"/>
                <w:position w:val="-12"/>
                <w:lang w:eastAsia="ru-RU"/>
              </w:rPr>
              <w:object w:dxaOrig="420" w:dyaOrig="360" w14:anchorId="2C77C3D6">
                <v:shape id="_x0000_i1039" type="#_x0000_t75" style="width:22pt;height:18pt" o:ole="">
                  <v:imagedata r:id="rId26" o:title=""/>
                </v:shape>
                <o:OLEObject Type="Embed" ProgID="Equation.3" ShapeID="_x0000_i1039" DrawAspect="Content" ObjectID="_1788658328" r:id="rId31"/>
              </w:object>
            </w:r>
            <w:r w:rsidRPr="00960A54">
              <w:rPr>
                <w:rFonts w:ascii="Garamond" w:eastAsia="Cambria" w:hAnsi="Garamond" w:cs="Cambria"/>
                <w:lang w:eastAsia="ru-RU"/>
              </w:rPr>
              <w:t>– базовая величина штрафа, равная 750 000 (семистам пятидесяти тысячам) рублей,</w:t>
            </w:r>
          </w:p>
          <w:p w14:paraId="3C2A3546" w14:textId="77777777" w:rsidR="00960A54" w:rsidRPr="00960A54" w:rsidRDefault="00960A54" w:rsidP="00960A54">
            <w:pPr>
              <w:tabs>
                <w:tab w:val="left" w:pos="720"/>
              </w:tabs>
              <w:suppressAutoHyphens/>
              <w:spacing w:before="120" w:after="120" w:line="240" w:lineRule="auto"/>
              <w:jc w:val="both"/>
              <w:rPr>
                <w:rFonts w:ascii="Garamond" w:eastAsia="Cambria" w:hAnsi="Garamond" w:cs="Cambria"/>
                <w:color w:val="FF0000"/>
                <w:lang w:eastAsia="ru-RU"/>
              </w:rPr>
            </w:pPr>
            <w:r w:rsidRPr="00960A54">
              <w:rPr>
                <w:rFonts w:ascii="Garamond" w:eastAsia="Cambria" w:hAnsi="Garamond" w:cs="Cambria"/>
                <w:color w:val="FF0000"/>
                <w:position w:val="-10"/>
                <w:lang w:eastAsia="ru-RU"/>
              </w:rPr>
              <w:object w:dxaOrig="240" w:dyaOrig="240" w14:anchorId="09A0A25E">
                <v:shape id="_x0000_i1040" type="#_x0000_t75" style="width:18pt;height:18pt" o:ole="">
                  <v:imagedata r:id="rId28" o:title=""/>
                </v:shape>
                <o:OLEObject Type="Embed" ProgID="Equation.3" ShapeID="_x0000_i1040" DrawAspect="Content" ObjectID="_1788658329" r:id="rId32"/>
              </w:object>
            </w:r>
            <w:r w:rsidRPr="00960A54">
              <w:rPr>
                <w:rFonts w:ascii="Garamond" w:eastAsia="Cambria" w:hAnsi="Garamond" w:cs="Cambria"/>
                <w:lang w:eastAsia="ru-RU"/>
              </w:rPr>
              <w:t>–</w:t>
            </w:r>
            <w:r w:rsidRPr="00960A54">
              <w:rPr>
                <w:rFonts w:ascii="Garamond" w:eastAsia="Cambria" w:hAnsi="Garamond" w:cs="Cambria"/>
                <w:color w:val="FF0000"/>
                <w:lang w:eastAsia="ru-RU"/>
              </w:rPr>
              <w:t xml:space="preserve"> </w:t>
            </w:r>
            <w:r w:rsidRPr="00960A54">
              <w:rPr>
                <w:rFonts w:ascii="Garamond" w:eastAsia="Cambria" w:hAnsi="Garamond" w:cs="Cambria"/>
                <w:lang w:eastAsia="ru-RU"/>
              </w:rPr>
              <w:t>количество сечений коммерческого учета (отдельных ГТП генерации) участника оптового рынка (сечений коммерческого учета ФСК), по которым на дату проверки отсутствует Акт соответствия АИИС требуемого класса без учета сечений коммерческого учета данного участника (сечений коммерческого учета ФСК), по которым Комиссией выданы предписания,</w:t>
            </w:r>
          </w:p>
          <w:p w14:paraId="3A4A8DC8" w14:textId="77777777" w:rsidR="00960A54" w:rsidRPr="00960A54" w:rsidRDefault="00960A54" w:rsidP="00960A54">
            <w:pPr>
              <w:tabs>
                <w:tab w:val="left" w:pos="720"/>
              </w:tabs>
              <w:suppressAutoHyphens/>
              <w:spacing w:before="120" w:after="120" w:line="240" w:lineRule="auto"/>
              <w:jc w:val="both"/>
              <w:rPr>
                <w:rFonts w:ascii="Garamond" w:eastAsia="Cambria" w:hAnsi="Garamond" w:cs="Cambria"/>
                <w:lang w:eastAsia="ru-RU"/>
              </w:rPr>
            </w:pPr>
            <w:r w:rsidRPr="00960A54">
              <w:rPr>
                <w:rFonts w:ascii="Garamond" w:eastAsia="Cambria" w:hAnsi="Garamond" w:cs="Cambria"/>
                <w:lang w:eastAsia="ru-RU"/>
              </w:rPr>
              <w:t>и (или) выдачу Комиссией предписания об устранении нарушения.</w:t>
            </w:r>
          </w:p>
          <w:p w14:paraId="592DF2D8" w14:textId="77777777" w:rsidR="00960A54" w:rsidRPr="00960A54" w:rsidRDefault="00960A54" w:rsidP="00960A54">
            <w:pPr>
              <w:tabs>
                <w:tab w:val="left" w:pos="720"/>
              </w:tabs>
              <w:suppressAutoHyphens/>
              <w:spacing w:before="120" w:after="120" w:line="240" w:lineRule="auto"/>
              <w:jc w:val="both"/>
              <w:rPr>
                <w:rFonts w:ascii="Garamond" w:eastAsia="Cambria" w:hAnsi="Garamond" w:cs="Cambria"/>
                <w:lang w:eastAsia="ru-RU"/>
              </w:rPr>
            </w:pPr>
            <w:r w:rsidRPr="00960A54">
              <w:rPr>
                <w:rFonts w:ascii="Garamond" w:eastAsia="Cambria" w:hAnsi="Garamond" w:cs="Cambria"/>
                <w:lang w:eastAsia="ru-RU"/>
              </w:rPr>
              <w:t>Предусмотренная настоящей статьей санкция применяется в случае прекращения действия Акта соответствия АИИС либо истечения срока подтверждения соответствия АИИС в отношении хотя бы одного сечения коммерческого учета (отдельной ГТП генерации) участника оптового рынка (ФСК), за исключением:</w:t>
            </w:r>
          </w:p>
          <w:p w14:paraId="52CA235B" w14:textId="77777777" w:rsidR="00960A54" w:rsidRPr="00960A54" w:rsidRDefault="00960A54" w:rsidP="00960A54">
            <w:pPr>
              <w:suppressAutoHyphens/>
              <w:spacing w:before="120" w:after="120" w:line="240" w:lineRule="auto"/>
              <w:jc w:val="both"/>
              <w:rPr>
                <w:rFonts w:ascii="Garamond" w:eastAsia="Cambria" w:hAnsi="Garamond" w:cs="Cambria"/>
                <w:color w:val="000000"/>
                <w:lang w:eastAsia="ru-RU"/>
              </w:rPr>
            </w:pPr>
            <w:r w:rsidRPr="00960A54">
              <w:rPr>
                <w:rFonts w:ascii="Garamond" w:eastAsia="Cambria" w:hAnsi="Garamond" w:cs="Cambria"/>
                <w:color w:val="000000"/>
                <w:lang w:eastAsia="ru-RU"/>
              </w:rPr>
              <w:t>–</w:t>
            </w:r>
            <w:r w:rsidRPr="00960A54">
              <w:rPr>
                <w:rFonts w:ascii="Garamond" w:eastAsia="Cambria" w:hAnsi="Garamond" w:cs="Cambria"/>
                <w:lang w:eastAsia="ru-RU"/>
              </w:rPr>
              <w:t xml:space="preserve"> гарантирующего поставщика по сечениям коммерческого учета со смежными субъектами оптового рынка, определенными п. 2.5.2 </w:t>
            </w:r>
            <w:r w:rsidRPr="00960A54">
              <w:rPr>
                <w:rFonts w:ascii="Garamond" w:eastAsia="Cambria" w:hAnsi="Garamond" w:cs="Cambria"/>
                <w:i/>
                <w:lang w:eastAsia="ru-RU"/>
              </w:rPr>
              <w:t>Положения о порядке получения статуса субъекта оптового рынка</w:t>
            </w:r>
            <w:r w:rsidRPr="00960A54">
              <w:rPr>
                <w:rFonts w:ascii="Garamond" w:eastAsia="Cambria" w:hAnsi="Garamond" w:cs="Cambria"/>
                <w:lang w:eastAsia="ru-RU"/>
              </w:rPr>
              <w:t xml:space="preserve"> </w:t>
            </w:r>
            <w:r w:rsidRPr="00960A54">
              <w:rPr>
                <w:rFonts w:ascii="Garamond" w:eastAsia="Cambria" w:hAnsi="Garamond" w:cs="Cambria"/>
                <w:i/>
                <w:lang w:eastAsia="ru-RU"/>
              </w:rPr>
              <w:t>и</w:t>
            </w:r>
            <w:r w:rsidRPr="00960A54">
              <w:rPr>
                <w:rFonts w:ascii="Garamond" w:eastAsia="Cambria" w:hAnsi="Garamond" w:cs="Cambria"/>
                <w:lang w:eastAsia="ru-RU"/>
              </w:rPr>
              <w:t xml:space="preserve"> </w:t>
            </w:r>
            <w:r w:rsidRPr="00960A54">
              <w:rPr>
                <w:rFonts w:ascii="Garamond" w:eastAsia="Cambria" w:hAnsi="Garamond" w:cs="Cambria"/>
                <w:i/>
                <w:lang w:eastAsia="ru-RU"/>
              </w:rPr>
              <w:t xml:space="preserve">ведения реестра субъектов оптового рынка </w:t>
            </w:r>
            <w:r w:rsidRPr="00960A54">
              <w:rPr>
                <w:rFonts w:ascii="Garamond" w:eastAsia="Cambria" w:hAnsi="Garamond" w:cs="Cambria"/>
                <w:lang w:eastAsia="ru-RU"/>
              </w:rPr>
              <w:lastRenderedPageBreak/>
              <w:t xml:space="preserve">(Приложение № 1.1 к </w:t>
            </w:r>
            <w:r w:rsidRPr="00960A54">
              <w:rPr>
                <w:rFonts w:ascii="Garamond" w:eastAsia="Cambria" w:hAnsi="Garamond" w:cs="Cambria"/>
                <w:i/>
                <w:lang w:eastAsia="ru-RU"/>
              </w:rPr>
              <w:t>Договору о присоединении к торговой системе оптового рынка</w:t>
            </w:r>
            <w:r w:rsidRPr="00960A54">
              <w:rPr>
                <w:rFonts w:ascii="Garamond" w:eastAsia="Cambria" w:hAnsi="Garamond" w:cs="Cambria"/>
                <w:lang w:eastAsia="ru-RU"/>
              </w:rPr>
              <w:t xml:space="preserve">) в ГТП потребления собственных нужд, а также пп. 2.5.4–2.5.5, 2.5.7 </w:t>
            </w:r>
            <w:r w:rsidRPr="00960A54">
              <w:rPr>
                <w:rFonts w:ascii="Garamond" w:eastAsia="Cambria" w:hAnsi="Garamond" w:cs="Cambria"/>
                <w:i/>
                <w:lang w:eastAsia="ru-RU"/>
              </w:rPr>
              <w:t>Положения о порядке получения статуса субъекта оптового рынка</w:t>
            </w:r>
            <w:r w:rsidRPr="00960A54">
              <w:rPr>
                <w:rFonts w:ascii="Garamond" w:eastAsia="Cambria" w:hAnsi="Garamond" w:cs="Cambria"/>
                <w:lang w:eastAsia="ru-RU"/>
              </w:rPr>
              <w:t xml:space="preserve"> </w:t>
            </w:r>
            <w:r w:rsidRPr="00960A54">
              <w:rPr>
                <w:rFonts w:ascii="Garamond" w:eastAsia="Cambria" w:hAnsi="Garamond" w:cs="Cambria"/>
                <w:i/>
                <w:lang w:eastAsia="ru-RU"/>
              </w:rPr>
              <w:t>и</w:t>
            </w:r>
            <w:r w:rsidRPr="00960A54">
              <w:rPr>
                <w:rFonts w:ascii="Garamond" w:eastAsia="Cambria" w:hAnsi="Garamond" w:cs="Cambria"/>
                <w:lang w:eastAsia="ru-RU"/>
              </w:rPr>
              <w:t xml:space="preserve"> </w:t>
            </w:r>
            <w:r w:rsidRPr="00960A54">
              <w:rPr>
                <w:rFonts w:ascii="Garamond" w:eastAsia="Cambria" w:hAnsi="Garamond" w:cs="Cambria"/>
                <w:i/>
                <w:lang w:eastAsia="ru-RU"/>
              </w:rPr>
              <w:t xml:space="preserve">ведения реестра субъектов оптового рынка </w:t>
            </w:r>
            <w:r w:rsidRPr="00960A54">
              <w:rPr>
                <w:rFonts w:ascii="Garamond" w:eastAsia="Cambria" w:hAnsi="Garamond" w:cs="Cambria"/>
                <w:lang w:eastAsia="ru-RU"/>
              </w:rPr>
              <w:t xml:space="preserve">(Приложение № 1.1 к </w:t>
            </w:r>
            <w:r w:rsidRPr="00960A54">
              <w:rPr>
                <w:rFonts w:ascii="Garamond" w:eastAsia="Cambria" w:hAnsi="Garamond" w:cs="Cambria"/>
                <w:i/>
                <w:lang w:eastAsia="ru-RU"/>
              </w:rPr>
              <w:t>Договору о присоединении к торговой системе оптового рынка</w:t>
            </w:r>
            <w:r w:rsidRPr="00960A54">
              <w:rPr>
                <w:rFonts w:ascii="Garamond" w:eastAsia="Cambria" w:hAnsi="Garamond" w:cs="Cambria"/>
                <w:lang w:eastAsia="ru-RU"/>
              </w:rPr>
              <w:t>), по которым на дату прекращения действия Актов соответствия АИИС либо истечения срока подтверждения соответствия АИИС отсутствует Акт соответствия АИИС требуемого класса;</w:t>
            </w:r>
          </w:p>
          <w:p w14:paraId="2FBB4090" w14:textId="77777777" w:rsidR="00960A54" w:rsidRPr="00960A54" w:rsidRDefault="00960A54" w:rsidP="00960A54">
            <w:pPr>
              <w:suppressAutoHyphens/>
              <w:spacing w:before="120" w:after="120" w:line="240" w:lineRule="auto"/>
              <w:jc w:val="both"/>
              <w:rPr>
                <w:rFonts w:ascii="Garamond" w:eastAsia="Cambria" w:hAnsi="Garamond" w:cs="Cambria"/>
                <w:lang w:eastAsia="ru-RU"/>
              </w:rPr>
            </w:pPr>
            <w:r w:rsidRPr="00960A54">
              <w:rPr>
                <w:rFonts w:ascii="Garamond" w:eastAsia="Cambria" w:hAnsi="Garamond" w:cs="Cambria"/>
                <w:lang w:eastAsia="ru-RU"/>
              </w:rPr>
              <w:t>– временных сечений коммерческого учета</w:t>
            </w:r>
            <w:r w:rsidRPr="00960A54">
              <w:rPr>
                <w:rFonts w:ascii="Garamond" w:eastAsia="Cambria" w:hAnsi="Garamond" w:cs="Cambria"/>
                <w:highlight w:val="yellow"/>
                <w:lang w:eastAsia="ru-RU"/>
              </w:rPr>
              <w:t>;</w:t>
            </w:r>
            <w:r w:rsidRPr="00960A54">
              <w:rPr>
                <w:rFonts w:ascii="Garamond" w:eastAsia="Cambria" w:hAnsi="Garamond" w:cs="Cambria"/>
                <w:lang w:eastAsia="ru-RU"/>
              </w:rPr>
              <w:t xml:space="preserve"> </w:t>
            </w:r>
          </w:p>
          <w:p w14:paraId="3DA89A5F" w14:textId="77777777" w:rsidR="00960A54" w:rsidRPr="00960A54" w:rsidRDefault="00960A54" w:rsidP="00960A54">
            <w:pPr>
              <w:suppressAutoHyphens/>
              <w:spacing w:before="120" w:after="120" w:line="240" w:lineRule="auto"/>
              <w:jc w:val="both"/>
              <w:rPr>
                <w:rFonts w:ascii="Garamond" w:eastAsia="Cambria" w:hAnsi="Garamond" w:cs="Cambria"/>
                <w:lang w:eastAsia="ru-RU"/>
              </w:rPr>
            </w:pPr>
            <w:r w:rsidRPr="00960A54">
              <w:rPr>
                <w:rFonts w:ascii="Garamond" w:eastAsia="Cambria" w:hAnsi="Garamond" w:cs="Cambria"/>
                <w:highlight w:val="yellow"/>
                <w:lang w:eastAsia="ru-RU"/>
              </w:rPr>
              <w:t xml:space="preserve">– сечений коммерческого учета и (или) групп точек поставки генерации, в отношении которых соблюдены условия, предусмотренные п. 1.6 Приложения № 11.3 к </w:t>
            </w:r>
            <w:r w:rsidRPr="00960A54">
              <w:rPr>
                <w:rFonts w:ascii="Garamond" w:eastAsia="Cambria" w:hAnsi="Garamond" w:cs="Cambria"/>
                <w:i/>
                <w:highlight w:val="yellow"/>
                <w:lang w:eastAsia="ru-RU"/>
              </w:rPr>
              <w:t>Положению о порядке получения статуса субъекта оптового рынка</w:t>
            </w:r>
            <w:r w:rsidRPr="00960A54">
              <w:rPr>
                <w:rFonts w:ascii="Garamond" w:eastAsia="Cambria" w:hAnsi="Garamond" w:cs="Cambria"/>
                <w:highlight w:val="yellow"/>
                <w:lang w:eastAsia="ru-RU"/>
              </w:rPr>
              <w:t xml:space="preserve"> </w:t>
            </w:r>
            <w:r w:rsidRPr="00960A54">
              <w:rPr>
                <w:rFonts w:ascii="Garamond" w:eastAsia="Cambria" w:hAnsi="Garamond" w:cs="Cambria"/>
                <w:i/>
                <w:highlight w:val="yellow"/>
                <w:lang w:eastAsia="ru-RU"/>
              </w:rPr>
              <w:t>и</w:t>
            </w:r>
            <w:r w:rsidRPr="00960A54">
              <w:rPr>
                <w:rFonts w:ascii="Garamond" w:eastAsia="Cambria" w:hAnsi="Garamond" w:cs="Cambria"/>
                <w:highlight w:val="yellow"/>
                <w:lang w:eastAsia="ru-RU"/>
              </w:rPr>
              <w:t xml:space="preserve"> </w:t>
            </w:r>
            <w:r w:rsidRPr="00960A54">
              <w:rPr>
                <w:rFonts w:ascii="Garamond" w:eastAsia="Cambria" w:hAnsi="Garamond" w:cs="Cambria"/>
                <w:i/>
                <w:highlight w:val="yellow"/>
                <w:lang w:eastAsia="ru-RU"/>
              </w:rPr>
              <w:t xml:space="preserve">ведения реестра субъектов оптового рынка </w:t>
            </w:r>
            <w:r w:rsidRPr="00960A54">
              <w:rPr>
                <w:rFonts w:ascii="Garamond" w:eastAsia="Batang" w:hAnsi="Garamond" w:cs="Garamond"/>
                <w:highlight w:val="yellow"/>
                <w:lang w:eastAsia="ko-KR"/>
              </w:rPr>
              <w:t xml:space="preserve">(Приложение № 1.1 к </w:t>
            </w:r>
            <w:r w:rsidRPr="00960A54">
              <w:rPr>
                <w:rFonts w:ascii="Garamond" w:eastAsia="Batang" w:hAnsi="Garamond" w:cs="Garamond"/>
                <w:i/>
                <w:highlight w:val="yellow"/>
                <w:lang w:eastAsia="ko-KR"/>
              </w:rPr>
              <w:t>Договору о присоединении к торговой системе оптового рынка</w:t>
            </w:r>
            <w:r w:rsidRPr="00960A54">
              <w:rPr>
                <w:rFonts w:ascii="Garamond" w:eastAsia="Batang" w:hAnsi="Garamond" w:cs="Garamond"/>
                <w:highlight w:val="yellow"/>
                <w:lang w:eastAsia="ko-KR"/>
              </w:rPr>
              <w:t>)</w:t>
            </w:r>
            <w:r w:rsidRPr="00960A54">
              <w:rPr>
                <w:rFonts w:ascii="Garamond" w:eastAsia="Cambria" w:hAnsi="Garamond" w:cs="Cambria"/>
                <w:highlight w:val="yellow"/>
                <w:lang w:eastAsia="ru-RU"/>
              </w:rPr>
              <w:t>.</w:t>
            </w:r>
          </w:p>
          <w:p w14:paraId="083701FC" w14:textId="77777777" w:rsidR="00960A54" w:rsidRPr="00960A54" w:rsidRDefault="00960A54" w:rsidP="00960A54">
            <w:pPr>
              <w:tabs>
                <w:tab w:val="left" w:pos="720"/>
              </w:tabs>
              <w:suppressAutoHyphens/>
              <w:spacing w:before="120" w:after="120" w:line="240" w:lineRule="auto"/>
              <w:jc w:val="both"/>
              <w:rPr>
                <w:rFonts w:ascii="Garamond" w:eastAsia="Cambria" w:hAnsi="Garamond" w:cs="Cambria"/>
                <w:lang w:val="en-US" w:eastAsia="ru-RU"/>
              </w:rPr>
            </w:pPr>
            <w:r w:rsidRPr="00960A54">
              <w:rPr>
                <w:rFonts w:ascii="Garamond" w:eastAsia="Cambria" w:hAnsi="Garamond" w:cs="Cambria"/>
                <w:lang w:val="en-US" w:eastAsia="ru-RU"/>
              </w:rPr>
              <w:t>…</w:t>
            </w:r>
          </w:p>
        </w:tc>
      </w:tr>
    </w:tbl>
    <w:p w14:paraId="49F964D5" w14:textId="77777777" w:rsidR="00DE5088" w:rsidRDefault="00DE5088" w:rsidP="00CD41EB">
      <w:pPr>
        <w:spacing w:after="0" w:line="240" w:lineRule="auto"/>
        <w:rPr>
          <w:rFonts w:ascii="Garamond" w:hAnsi="Garamond"/>
        </w:rPr>
      </w:pPr>
    </w:p>
    <w:p w14:paraId="6E76D3CF" w14:textId="77777777" w:rsidR="00E4072F" w:rsidRDefault="00E4072F">
      <w:pPr>
        <w:spacing w:after="0" w:line="240" w:lineRule="auto"/>
        <w:jc w:val="both"/>
        <w:rPr>
          <w:rFonts w:ascii="Garamond" w:hAnsi="Garamond"/>
          <w:b/>
        </w:rPr>
      </w:pPr>
    </w:p>
    <w:sectPr w:rsidR="00E4072F" w:rsidSect="00367249">
      <w:pgSz w:w="16838" w:h="11906" w:orient="landscape"/>
      <w:pgMar w:top="1134" w:right="1103"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5D0F5" w14:textId="77777777" w:rsidR="00653A92" w:rsidRDefault="00653A92">
      <w:pPr>
        <w:spacing w:after="0" w:line="240" w:lineRule="auto"/>
      </w:pPr>
      <w:r>
        <w:separator/>
      </w:r>
    </w:p>
  </w:endnote>
  <w:endnote w:type="continuationSeparator" w:id="0">
    <w:p w14:paraId="1881FCA2" w14:textId="77777777" w:rsidR="00653A92" w:rsidRDefault="00653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536025"/>
      <w:docPartObj>
        <w:docPartGallery w:val="Page Numbers (Bottom of Page)"/>
        <w:docPartUnique/>
      </w:docPartObj>
    </w:sdtPr>
    <w:sdtEndPr>
      <w:rPr>
        <w:rFonts w:ascii="Times New Roman" w:hAnsi="Times New Roman"/>
      </w:rPr>
    </w:sdtEndPr>
    <w:sdtContent>
      <w:p w14:paraId="7C9731F4" w14:textId="77E647CA" w:rsidR="00513E83" w:rsidRPr="00513E83" w:rsidRDefault="00513E83">
        <w:pPr>
          <w:pStyle w:val="af9"/>
          <w:jc w:val="right"/>
          <w:rPr>
            <w:rFonts w:ascii="Times New Roman" w:hAnsi="Times New Roman"/>
          </w:rPr>
        </w:pPr>
        <w:r w:rsidRPr="00513E83">
          <w:rPr>
            <w:rFonts w:ascii="Times New Roman" w:hAnsi="Times New Roman"/>
          </w:rPr>
          <w:fldChar w:fldCharType="begin"/>
        </w:r>
        <w:r w:rsidRPr="00513E83">
          <w:rPr>
            <w:rFonts w:ascii="Times New Roman" w:hAnsi="Times New Roman"/>
          </w:rPr>
          <w:instrText>PAGE   \* MERGEFORMAT</w:instrText>
        </w:r>
        <w:r w:rsidRPr="00513E83">
          <w:rPr>
            <w:rFonts w:ascii="Times New Roman" w:hAnsi="Times New Roman"/>
          </w:rPr>
          <w:fldChar w:fldCharType="separate"/>
        </w:r>
        <w:r w:rsidR="009E1A41">
          <w:rPr>
            <w:rFonts w:ascii="Times New Roman" w:hAnsi="Times New Roman"/>
            <w:noProof/>
          </w:rPr>
          <w:t>14</w:t>
        </w:r>
        <w:r w:rsidRPr="00513E83">
          <w:rPr>
            <w:rFonts w:ascii="Times New Roman" w:hAnsi="Times New Roman"/>
          </w:rPr>
          <w:fldChar w:fldCharType="end"/>
        </w:r>
      </w:p>
    </w:sdtContent>
  </w:sdt>
  <w:p w14:paraId="4F64603D" w14:textId="77777777" w:rsidR="00513E83" w:rsidRDefault="00513E8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2BB75" w14:textId="77777777" w:rsidR="00653A92" w:rsidRDefault="00653A92">
      <w:pPr>
        <w:spacing w:after="0" w:line="240" w:lineRule="auto"/>
      </w:pPr>
      <w:r>
        <w:separator/>
      </w:r>
    </w:p>
  </w:footnote>
  <w:footnote w:type="continuationSeparator" w:id="0">
    <w:p w14:paraId="1E5F19A3" w14:textId="77777777" w:rsidR="00653A92" w:rsidRDefault="00653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083"/>
    <w:multiLevelType w:val="hybridMultilevel"/>
    <w:tmpl w:val="72F6EA7E"/>
    <w:lvl w:ilvl="0" w:tplc="6E984F1C">
      <w:start w:val="1"/>
      <w:numFmt w:val="decimal"/>
      <w:lvlText w:val="%1."/>
      <w:lvlJc w:val="left"/>
      <w:pPr>
        <w:ind w:left="720" w:hanging="360"/>
      </w:pPr>
      <w:rPr>
        <w:rFonts w:ascii="Garamond" w:hAnsi="Garamon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97DF7"/>
    <w:multiLevelType w:val="hybridMultilevel"/>
    <w:tmpl w:val="78F615AC"/>
    <w:lvl w:ilvl="0" w:tplc="FFFFFFFF">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E06CBF"/>
    <w:multiLevelType w:val="hybridMultilevel"/>
    <w:tmpl w:val="A0402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6A02EC"/>
    <w:multiLevelType w:val="hybridMultilevel"/>
    <w:tmpl w:val="A4609966"/>
    <w:lvl w:ilvl="0" w:tplc="FFFFFFFF">
      <w:start w:val="1"/>
      <w:numFmt w:val="bullet"/>
      <w:lvlText w:val="−"/>
      <w:lvlJc w:val="left"/>
      <w:pPr>
        <w:ind w:left="2770" w:hanging="360"/>
      </w:pPr>
      <w:rPr>
        <w:rFonts w:ascii="Times New Roman" w:hAnsi="Times New Roman"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4" w15:restartNumberingAfterBreak="0">
    <w:nsid w:val="1D521380"/>
    <w:multiLevelType w:val="hybridMultilevel"/>
    <w:tmpl w:val="71E860AC"/>
    <w:lvl w:ilvl="0" w:tplc="BECC33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ED6C51"/>
    <w:multiLevelType w:val="multilevel"/>
    <w:tmpl w:val="B96CEDA4"/>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03D7906"/>
    <w:multiLevelType w:val="hybridMultilevel"/>
    <w:tmpl w:val="909C28D6"/>
    <w:lvl w:ilvl="0" w:tplc="5664C2C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0F59ED"/>
    <w:multiLevelType w:val="hybridMultilevel"/>
    <w:tmpl w:val="5D5E6886"/>
    <w:lvl w:ilvl="0" w:tplc="4BF09996">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0F7E27"/>
    <w:multiLevelType w:val="multilevel"/>
    <w:tmpl w:val="B96CEDA4"/>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BC00D47"/>
    <w:multiLevelType w:val="hybridMultilevel"/>
    <w:tmpl w:val="25A0BB0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2F016B43"/>
    <w:multiLevelType w:val="hybridMultilevel"/>
    <w:tmpl w:val="6CF0AD6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31153E6E"/>
    <w:multiLevelType w:val="multilevel"/>
    <w:tmpl w:val="A48E88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35B6702"/>
    <w:multiLevelType w:val="hybridMultilevel"/>
    <w:tmpl w:val="35903080"/>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3" w15:restartNumberingAfterBreak="0">
    <w:nsid w:val="38A26489"/>
    <w:multiLevelType w:val="hybridMultilevel"/>
    <w:tmpl w:val="642C69B2"/>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4" w15:restartNumberingAfterBreak="0">
    <w:nsid w:val="3B171492"/>
    <w:multiLevelType w:val="hybridMultilevel"/>
    <w:tmpl w:val="909C28D6"/>
    <w:lvl w:ilvl="0" w:tplc="5664C2C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054B08"/>
    <w:multiLevelType w:val="hybridMultilevel"/>
    <w:tmpl w:val="8DEE8BBC"/>
    <w:lvl w:ilvl="0" w:tplc="345E4FC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0914ED4"/>
    <w:multiLevelType w:val="hybridMultilevel"/>
    <w:tmpl w:val="8DB27BE2"/>
    <w:lvl w:ilvl="0" w:tplc="8E0CFE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2B27BE4"/>
    <w:multiLevelType w:val="multilevel"/>
    <w:tmpl w:val="B96CEDA4"/>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4390527"/>
    <w:multiLevelType w:val="hybridMultilevel"/>
    <w:tmpl w:val="A9DE3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5C284F"/>
    <w:multiLevelType w:val="hybridMultilevel"/>
    <w:tmpl w:val="1AC41D50"/>
    <w:lvl w:ilvl="0" w:tplc="B7EC78EE">
      <w:start w:val="1"/>
      <w:numFmt w:val="decimal"/>
      <w:lvlText w:val="%1."/>
      <w:lvlJc w:val="left"/>
      <w:pPr>
        <w:ind w:left="1080" w:hanging="360"/>
      </w:pPr>
      <w:rPr>
        <w:rFonts w:cs="Garamond"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8B92AA9"/>
    <w:multiLevelType w:val="hybridMultilevel"/>
    <w:tmpl w:val="9F18CA9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 w15:restartNumberingAfterBreak="0">
    <w:nsid w:val="49021F9A"/>
    <w:multiLevelType w:val="hybridMultilevel"/>
    <w:tmpl w:val="04964776"/>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DE3E36"/>
    <w:multiLevelType w:val="hybridMultilevel"/>
    <w:tmpl w:val="C12891EA"/>
    <w:lvl w:ilvl="0" w:tplc="5EB013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5E3461"/>
    <w:multiLevelType w:val="multilevel"/>
    <w:tmpl w:val="B96CEDA4"/>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6C91B03"/>
    <w:multiLevelType w:val="hybridMultilevel"/>
    <w:tmpl w:val="DBF62E0E"/>
    <w:lvl w:ilvl="0" w:tplc="FFFFFFFF">
      <w:start w:val="1"/>
      <w:numFmt w:val="bullet"/>
      <w:lvlText w:val=""/>
      <w:lvlJc w:val="left"/>
      <w:pPr>
        <w:tabs>
          <w:tab w:val="num" w:pos="1485"/>
        </w:tabs>
        <w:ind w:left="1485" w:hanging="360"/>
      </w:pPr>
      <w:rPr>
        <w:rFonts w:ascii="Symbol" w:hAnsi="Symbol" w:hint="default"/>
      </w:rPr>
    </w:lvl>
    <w:lvl w:ilvl="1" w:tplc="FFFFFFFF" w:tentative="1">
      <w:start w:val="1"/>
      <w:numFmt w:val="bullet"/>
      <w:lvlText w:val="o"/>
      <w:lvlJc w:val="left"/>
      <w:pPr>
        <w:tabs>
          <w:tab w:val="num" w:pos="2205"/>
        </w:tabs>
        <w:ind w:left="2205" w:hanging="360"/>
      </w:pPr>
      <w:rPr>
        <w:rFonts w:ascii="Courier New" w:hAnsi="Courier New" w:hint="default"/>
      </w:rPr>
    </w:lvl>
    <w:lvl w:ilvl="2" w:tplc="FFFFFFFF" w:tentative="1">
      <w:start w:val="1"/>
      <w:numFmt w:val="bullet"/>
      <w:lvlText w:val=""/>
      <w:lvlJc w:val="left"/>
      <w:pPr>
        <w:tabs>
          <w:tab w:val="num" w:pos="2925"/>
        </w:tabs>
        <w:ind w:left="2925" w:hanging="360"/>
      </w:pPr>
      <w:rPr>
        <w:rFonts w:ascii="Wingdings" w:hAnsi="Wingdings" w:hint="default"/>
      </w:rPr>
    </w:lvl>
    <w:lvl w:ilvl="3" w:tplc="FFFFFFFF" w:tentative="1">
      <w:start w:val="1"/>
      <w:numFmt w:val="bullet"/>
      <w:lvlText w:val=""/>
      <w:lvlJc w:val="left"/>
      <w:pPr>
        <w:tabs>
          <w:tab w:val="num" w:pos="3645"/>
        </w:tabs>
        <w:ind w:left="3645" w:hanging="360"/>
      </w:pPr>
      <w:rPr>
        <w:rFonts w:ascii="Symbol" w:hAnsi="Symbol" w:hint="default"/>
      </w:rPr>
    </w:lvl>
    <w:lvl w:ilvl="4" w:tplc="FFFFFFFF" w:tentative="1">
      <w:start w:val="1"/>
      <w:numFmt w:val="bullet"/>
      <w:lvlText w:val="o"/>
      <w:lvlJc w:val="left"/>
      <w:pPr>
        <w:tabs>
          <w:tab w:val="num" w:pos="4365"/>
        </w:tabs>
        <w:ind w:left="4365" w:hanging="360"/>
      </w:pPr>
      <w:rPr>
        <w:rFonts w:ascii="Courier New" w:hAnsi="Courier New" w:hint="default"/>
      </w:rPr>
    </w:lvl>
    <w:lvl w:ilvl="5" w:tplc="FFFFFFFF" w:tentative="1">
      <w:start w:val="1"/>
      <w:numFmt w:val="bullet"/>
      <w:lvlText w:val=""/>
      <w:lvlJc w:val="left"/>
      <w:pPr>
        <w:tabs>
          <w:tab w:val="num" w:pos="5085"/>
        </w:tabs>
        <w:ind w:left="5085" w:hanging="360"/>
      </w:pPr>
      <w:rPr>
        <w:rFonts w:ascii="Wingdings" w:hAnsi="Wingdings" w:hint="default"/>
      </w:rPr>
    </w:lvl>
    <w:lvl w:ilvl="6" w:tplc="FFFFFFFF" w:tentative="1">
      <w:start w:val="1"/>
      <w:numFmt w:val="bullet"/>
      <w:lvlText w:val=""/>
      <w:lvlJc w:val="left"/>
      <w:pPr>
        <w:tabs>
          <w:tab w:val="num" w:pos="5805"/>
        </w:tabs>
        <w:ind w:left="5805" w:hanging="360"/>
      </w:pPr>
      <w:rPr>
        <w:rFonts w:ascii="Symbol" w:hAnsi="Symbol" w:hint="default"/>
      </w:rPr>
    </w:lvl>
    <w:lvl w:ilvl="7" w:tplc="FFFFFFFF" w:tentative="1">
      <w:start w:val="1"/>
      <w:numFmt w:val="bullet"/>
      <w:lvlText w:val="o"/>
      <w:lvlJc w:val="left"/>
      <w:pPr>
        <w:tabs>
          <w:tab w:val="num" w:pos="6525"/>
        </w:tabs>
        <w:ind w:left="6525" w:hanging="360"/>
      </w:pPr>
      <w:rPr>
        <w:rFonts w:ascii="Courier New" w:hAnsi="Courier New" w:hint="default"/>
      </w:rPr>
    </w:lvl>
    <w:lvl w:ilvl="8" w:tplc="FFFFFFFF" w:tentative="1">
      <w:start w:val="1"/>
      <w:numFmt w:val="bullet"/>
      <w:lvlText w:val=""/>
      <w:lvlJc w:val="left"/>
      <w:pPr>
        <w:tabs>
          <w:tab w:val="num" w:pos="7245"/>
        </w:tabs>
        <w:ind w:left="7245" w:hanging="360"/>
      </w:pPr>
      <w:rPr>
        <w:rFonts w:ascii="Wingdings" w:hAnsi="Wingdings" w:hint="default"/>
      </w:rPr>
    </w:lvl>
  </w:abstractNum>
  <w:abstractNum w:abstractNumId="25" w15:restartNumberingAfterBreak="0">
    <w:nsid w:val="59A31E1F"/>
    <w:multiLevelType w:val="hybridMultilevel"/>
    <w:tmpl w:val="6F72D5DC"/>
    <w:lvl w:ilvl="0" w:tplc="145216A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6" w15:restartNumberingAfterBreak="0">
    <w:nsid w:val="68C233C7"/>
    <w:multiLevelType w:val="hybridMultilevel"/>
    <w:tmpl w:val="178A76A8"/>
    <w:lvl w:ilvl="0" w:tplc="C6DC57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FB545C"/>
    <w:multiLevelType w:val="multilevel"/>
    <w:tmpl w:val="1090A3FC"/>
    <w:lvl w:ilvl="0">
      <w:start w:val="1"/>
      <w:numFmt w:val="none"/>
      <w:lvlText w:val="13."/>
      <w:lvlJc w:val="left"/>
      <w:pPr>
        <w:tabs>
          <w:tab w:val="num" w:pos="1080"/>
        </w:tabs>
        <w:ind w:left="1080" w:hanging="360"/>
      </w:pPr>
      <w:rPr>
        <w:rFonts w:hint="default"/>
      </w:rPr>
    </w:lvl>
    <w:lvl w:ilvl="1">
      <w:start w:val="1"/>
      <w:numFmt w:val="decimal"/>
      <w:lvlText w:val="6.%2."/>
      <w:lvlJc w:val="left"/>
      <w:pPr>
        <w:tabs>
          <w:tab w:val="num" w:pos="2134"/>
        </w:tabs>
        <w:ind w:left="2134" w:hanging="432"/>
      </w:pPr>
      <w:rPr>
        <w:rFonts w:hint="default"/>
      </w:rPr>
    </w:lvl>
    <w:lvl w:ilvl="2">
      <w:start w:val="1"/>
      <w:numFmt w:val="decimal"/>
      <w:lvlText w:val="%16.2.%3."/>
      <w:lvlJc w:val="left"/>
      <w:pPr>
        <w:tabs>
          <w:tab w:val="num" w:pos="2160"/>
        </w:tabs>
        <w:ind w:left="1944" w:hanging="504"/>
      </w:pPr>
      <w:rPr>
        <w:rFonts w:hint="default"/>
      </w:rPr>
    </w:lvl>
    <w:lvl w:ilvl="3">
      <w:start w:val="1"/>
      <w:numFmt w:val="decimal"/>
      <w:lvlText w:val="6.4.%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8" w15:restartNumberingAfterBreak="0">
    <w:nsid w:val="72B13CD8"/>
    <w:multiLevelType w:val="hybridMultilevel"/>
    <w:tmpl w:val="C9AA38AE"/>
    <w:lvl w:ilvl="0" w:tplc="6D969B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2C40ECA"/>
    <w:multiLevelType w:val="hybridMultilevel"/>
    <w:tmpl w:val="EAC8A4C8"/>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44669C5"/>
    <w:multiLevelType w:val="hybridMultilevel"/>
    <w:tmpl w:val="DE6EDFA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7A36C1C"/>
    <w:multiLevelType w:val="hybridMultilevel"/>
    <w:tmpl w:val="9A04FBC4"/>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30"/>
  </w:num>
  <w:num w:numId="2">
    <w:abstractNumId w:val="5"/>
  </w:num>
  <w:num w:numId="3">
    <w:abstractNumId w:val="17"/>
  </w:num>
  <w:num w:numId="4">
    <w:abstractNumId w:val="23"/>
  </w:num>
  <w:num w:numId="5">
    <w:abstractNumId w:val="8"/>
  </w:num>
  <w:num w:numId="6">
    <w:abstractNumId w:val="3"/>
  </w:num>
  <w:num w:numId="7">
    <w:abstractNumId w:val="26"/>
  </w:num>
  <w:num w:numId="8">
    <w:abstractNumId w:val="22"/>
  </w:num>
  <w:num w:numId="9">
    <w:abstractNumId w:val="29"/>
  </w:num>
  <w:num w:numId="10">
    <w:abstractNumId w:val="21"/>
  </w:num>
  <w:num w:numId="11">
    <w:abstractNumId w:val="13"/>
  </w:num>
  <w:num w:numId="12">
    <w:abstractNumId w:val="1"/>
  </w:num>
  <w:num w:numId="13">
    <w:abstractNumId w:val="27"/>
  </w:num>
  <w:num w:numId="14">
    <w:abstractNumId w:val="16"/>
  </w:num>
  <w:num w:numId="15">
    <w:abstractNumId w:val="19"/>
  </w:num>
  <w:num w:numId="16">
    <w:abstractNumId w:val="9"/>
  </w:num>
  <w:num w:numId="17">
    <w:abstractNumId w:val="2"/>
  </w:num>
  <w:num w:numId="18">
    <w:abstractNumId w:val="10"/>
  </w:num>
  <w:num w:numId="19">
    <w:abstractNumId w:val="31"/>
  </w:num>
  <w:num w:numId="20">
    <w:abstractNumId w:val="28"/>
  </w:num>
  <w:num w:numId="21">
    <w:abstractNumId w:val="0"/>
  </w:num>
  <w:num w:numId="22">
    <w:abstractNumId w:val="11"/>
  </w:num>
  <w:num w:numId="23">
    <w:abstractNumId w:val="7"/>
  </w:num>
  <w:num w:numId="24">
    <w:abstractNumId w:val="24"/>
  </w:num>
  <w:num w:numId="25">
    <w:abstractNumId w:val="14"/>
  </w:num>
  <w:num w:numId="26">
    <w:abstractNumId w:val="18"/>
  </w:num>
  <w:num w:numId="27">
    <w:abstractNumId w:val="6"/>
  </w:num>
  <w:num w:numId="28">
    <w:abstractNumId w:val="20"/>
  </w:num>
  <w:num w:numId="29">
    <w:abstractNumId w:val="15"/>
  </w:num>
  <w:num w:numId="30">
    <w:abstractNumId w:val="12"/>
  </w:num>
  <w:num w:numId="31">
    <w:abstractNumId w:val="2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2F"/>
    <w:rsid w:val="00002176"/>
    <w:rsid w:val="00007C07"/>
    <w:rsid w:val="00031D16"/>
    <w:rsid w:val="00034416"/>
    <w:rsid w:val="00034CDF"/>
    <w:rsid w:val="000400B2"/>
    <w:rsid w:val="00044D92"/>
    <w:rsid w:val="000461EB"/>
    <w:rsid w:val="000513D9"/>
    <w:rsid w:val="000524F3"/>
    <w:rsid w:val="0005323F"/>
    <w:rsid w:val="00071A02"/>
    <w:rsid w:val="0008452F"/>
    <w:rsid w:val="000858D3"/>
    <w:rsid w:val="00087E6F"/>
    <w:rsid w:val="0009065A"/>
    <w:rsid w:val="000B49C8"/>
    <w:rsid w:val="000C1FFC"/>
    <w:rsid w:val="000E5B99"/>
    <w:rsid w:val="00113D82"/>
    <w:rsid w:val="00123CF0"/>
    <w:rsid w:val="00125123"/>
    <w:rsid w:val="001361B9"/>
    <w:rsid w:val="00144584"/>
    <w:rsid w:val="00156226"/>
    <w:rsid w:val="00162447"/>
    <w:rsid w:val="00191C32"/>
    <w:rsid w:val="00192C09"/>
    <w:rsid w:val="00196A1C"/>
    <w:rsid w:val="001A0173"/>
    <w:rsid w:val="001B5488"/>
    <w:rsid w:val="001C216E"/>
    <w:rsid w:val="001C5780"/>
    <w:rsid w:val="001D3BCA"/>
    <w:rsid w:val="001E0297"/>
    <w:rsid w:val="001F0023"/>
    <w:rsid w:val="00201D09"/>
    <w:rsid w:val="00220767"/>
    <w:rsid w:val="00225A4C"/>
    <w:rsid w:val="00230430"/>
    <w:rsid w:val="00236D15"/>
    <w:rsid w:val="00246CD4"/>
    <w:rsid w:val="002602F7"/>
    <w:rsid w:val="00272656"/>
    <w:rsid w:val="00273916"/>
    <w:rsid w:val="00274B76"/>
    <w:rsid w:val="002764E4"/>
    <w:rsid w:val="00277564"/>
    <w:rsid w:val="002919D2"/>
    <w:rsid w:val="00291F6D"/>
    <w:rsid w:val="00294349"/>
    <w:rsid w:val="0029663D"/>
    <w:rsid w:val="002B3269"/>
    <w:rsid w:val="002B6EAF"/>
    <w:rsid w:val="002C0A97"/>
    <w:rsid w:val="002D1E1D"/>
    <w:rsid w:val="002D24C5"/>
    <w:rsid w:val="002E181A"/>
    <w:rsid w:val="0030146C"/>
    <w:rsid w:val="00317250"/>
    <w:rsid w:val="00320983"/>
    <w:rsid w:val="0032106B"/>
    <w:rsid w:val="00321E3E"/>
    <w:rsid w:val="0032780A"/>
    <w:rsid w:val="00327F44"/>
    <w:rsid w:val="00337FA4"/>
    <w:rsid w:val="00363BA6"/>
    <w:rsid w:val="00367249"/>
    <w:rsid w:val="0037263A"/>
    <w:rsid w:val="00387186"/>
    <w:rsid w:val="003A04C6"/>
    <w:rsid w:val="003B7D2F"/>
    <w:rsid w:val="003D7750"/>
    <w:rsid w:val="003E5332"/>
    <w:rsid w:val="00404413"/>
    <w:rsid w:val="0041042B"/>
    <w:rsid w:val="00414340"/>
    <w:rsid w:val="00421801"/>
    <w:rsid w:val="004251DC"/>
    <w:rsid w:val="00431717"/>
    <w:rsid w:val="004331CF"/>
    <w:rsid w:val="004374AF"/>
    <w:rsid w:val="00437DD6"/>
    <w:rsid w:val="00445EE8"/>
    <w:rsid w:val="0045413B"/>
    <w:rsid w:val="00455F5B"/>
    <w:rsid w:val="004614B5"/>
    <w:rsid w:val="00461F87"/>
    <w:rsid w:val="00471B57"/>
    <w:rsid w:val="0047362C"/>
    <w:rsid w:val="004802A9"/>
    <w:rsid w:val="004A25C5"/>
    <w:rsid w:val="004D601A"/>
    <w:rsid w:val="004E03C7"/>
    <w:rsid w:val="00503D00"/>
    <w:rsid w:val="005061E2"/>
    <w:rsid w:val="005122B2"/>
    <w:rsid w:val="00513E83"/>
    <w:rsid w:val="0053077C"/>
    <w:rsid w:val="00546225"/>
    <w:rsid w:val="00567666"/>
    <w:rsid w:val="00582894"/>
    <w:rsid w:val="005917D1"/>
    <w:rsid w:val="00592DCB"/>
    <w:rsid w:val="00597AFE"/>
    <w:rsid w:val="005A2AC8"/>
    <w:rsid w:val="005B315B"/>
    <w:rsid w:val="005C54C7"/>
    <w:rsid w:val="005D069B"/>
    <w:rsid w:val="005E2437"/>
    <w:rsid w:val="005F7D7B"/>
    <w:rsid w:val="00606DC5"/>
    <w:rsid w:val="00607491"/>
    <w:rsid w:val="00612640"/>
    <w:rsid w:val="00614A99"/>
    <w:rsid w:val="00615B6C"/>
    <w:rsid w:val="00616BF6"/>
    <w:rsid w:val="00632590"/>
    <w:rsid w:val="00640552"/>
    <w:rsid w:val="00653A92"/>
    <w:rsid w:val="006576A8"/>
    <w:rsid w:val="0067114C"/>
    <w:rsid w:val="00673F82"/>
    <w:rsid w:val="0068513E"/>
    <w:rsid w:val="00687A24"/>
    <w:rsid w:val="006975A5"/>
    <w:rsid w:val="006A5587"/>
    <w:rsid w:val="006B5958"/>
    <w:rsid w:val="006B6FD2"/>
    <w:rsid w:val="006C32FB"/>
    <w:rsid w:val="006E67B5"/>
    <w:rsid w:val="006F0E00"/>
    <w:rsid w:val="006F66A8"/>
    <w:rsid w:val="00700F17"/>
    <w:rsid w:val="00702ABA"/>
    <w:rsid w:val="0070539E"/>
    <w:rsid w:val="007053C4"/>
    <w:rsid w:val="0071286A"/>
    <w:rsid w:val="00721E8F"/>
    <w:rsid w:val="00722949"/>
    <w:rsid w:val="00725E61"/>
    <w:rsid w:val="007408C8"/>
    <w:rsid w:val="00755FEF"/>
    <w:rsid w:val="00760FB8"/>
    <w:rsid w:val="0076635C"/>
    <w:rsid w:val="007736D4"/>
    <w:rsid w:val="00774537"/>
    <w:rsid w:val="007934BC"/>
    <w:rsid w:val="007A1FD0"/>
    <w:rsid w:val="007A2995"/>
    <w:rsid w:val="007B2D0B"/>
    <w:rsid w:val="007D7CD0"/>
    <w:rsid w:val="007F2BAD"/>
    <w:rsid w:val="007F5467"/>
    <w:rsid w:val="008143B8"/>
    <w:rsid w:val="0083315D"/>
    <w:rsid w:val="00835D8F"/>
    <w:rsid w:val="00843576"/>
    <w:rsid w:val="00845C6A"/>
    <w:rsid w:val="00846472"/>
    <w:rsid w:val="00851F10"/>
    <w:rsid w:val="00854AA6"/>
    <w:rsid w:val="008566F5"/>
    <w:rsid w:val="00864D61"/>
    <w:rsid w:val="00865433"/>
    <w:rsid w:val="00865E4F"/>
    <w:rsid w:val="00865E53"/>
    <w:rsid w:val="008724D6"/>
    <w:rsid w:val="00872516"/>
    <w:rsid w:val="00875A06"/>
    <w:rsid w:val="008868D1"/>
    <w:rsid w:val="0089134E"/>
    <w:rsid w:val="008A5808"/>
    <w:rsid w:val="008A6EAF"/>
    <w:rsid w:val="008B4821"/>
    <w:rsid w:val="008B658A"/>
    <w:rsid w:val="008C21C8"/>
    <w:rsid w:val="008C39AE"/>
    <w:rsid w:val="008C6A09"/>
    <w:rsid w:val="008D0E03"/>
    <w:rsid w:val="008D1232"/>
    <w:rsid w:val="008D373E"/>
    <w:rsid w:val="008E1504"/>
    <w:rsid w:val="008F6EBE"/>
    <w:rsid w:val="008F7035"/>
    <w:rsid w:val="00905A19"/>
    <w:rsid w:val="009169CF"/>
    <w:rsid w:val="00921927"/>
    <w:rsid w:val="009219C2"/>
    <w:rsid w:val="009271FB"/>
    <w:rsid w:val="0093740C"/>
    <w:rsid w:val="00937428"/>
    <w:rsid w:val="00941C54"/>
    <w:rsid w:val="00947AD1"/>
    <w:rsid w:val="0095127C"/>
    <w:rsid w:val="00960A54"/>
    <w:rsid w:val="00972048"/>
    <w:rsid w:val="00973298"/>
    <w:rsid w:val="00982C43"/>
    <w:rsid w:val="00983F9A"/>
    <w:rsid w:val="0099080C"/>
    <w:rsid w:val="00992553"/>
    <w:rsid w:val="009A2CEF"/>
    <w:rsid w:val="009B5F22"/>
    <w:rsid w:val="009C664C"/>
    <w:rsid w:val="009D750E"/>
    <w:rsid w:val="009E1A41"/>
    <w:rsid w:val="009E29EE"/>
    <w:rsid w:val="009E7A44"/>
    <w:rsid w:val="009F1C15"/>
    <w:rsid w:val="00A05EF5"/>
    <w:rsid w:val="00A106EE"/>
    <w:rsid w:val="00A1159E"/>
    <w:rsid w:val="00A138AA"/>
    <w:rsid w:val="00A1534C"/>
    <w:rsid w:val="00A23ED4"/>
    <w:rsid w:val="00A24210"/>
    <w:rsid w:val="00A34458"/>
    <w:rsid w:val="00A3654D"/>
    <w:rsid w:val="00A40DDF"/>
    <w:rsid w:val="00A53723"/>
    <w:rsid w:val="00A72E76"/>
    <w:rsid w:val="00A735CD"/>
    <w:rsid w:val="00A74C34"/>
    <w:rsid w:val="00A82439"/>
    <w:rsid w:val="00A85488"/>
    <w:rsid w:val="00AA0C91"/>
    <w:rsid w:val="00AA52F9"/>
    <w:rsid w:val="00AA64BD"/>
    <w:rsid w:val="00AB257D"/>
    <w:rsid w:val="00AB4B48"/>
    <w:rsid w:val="00AB6200"/>
    <w:rsid w:val="00AC1C39"/>
    <w:rsid w:val="00AC5061"/>
    <w:rsid w:val="00AC5AE8"/>
    <w:rsid w:val="00AD056E"/>
    <w:rsid w:val="00AF652C"/>
    <w:rsid w:val="00B01C48"/>
    <w:rsid w:val="00B106B4"/>
    <w:rsid w:val="00B10DBF"/>
    <w:rsid w:val="00B13DEC"/>
    <w:rsid w:val="00B14F08"/>
    <w:rsid w:val="00B1767C"/>
    <w:rsid w:val="00B2324B"/>
    <w:rsid w:val="00B2382D"/>
    <w:rsid w:val="00B436B6"/>
    <w:rsid w:val="00B500C5"/>
    <w:rsid w:val="00B56D9E"/>
    <w:rsid w:val="00B6249F"/>
    <w:rsid w:val="00B62835"/>
    <w:rsid w:val="00B65CA6"/>
    <w:rsid w:val="00B84305"/>
    <w:rsid w:val="00B86991"/>
    <w:rsid w:val="00B86F37"/>
    <w:rsid w:val="00BA1D94"/>
    <w:rsid w:val="00BD494F"/>
    <w:rsid w:val="00BD56A6"/>
    <w:rsid w:val="00BE4AA7"/>
    <w:rsid w:val="00BF01B6"/>
    <w:rsid w:val="00BF5EB0"/>
    <w:rsid w:val="00C06441"/>
    <w:rsid w:val="00C067DC"/>
    <w:rsid w:val="00C117FA"/>
    <w:rsid w:val="00C13274"/>
    <w:rsid w:val="00C1543A"/>
    <w:rsid w:val="00C339ED"/>
    <w:rsid w:val="00C33BDC"/>
    <w:rsid w:val="00C47C21"/>
    <w:rsid w:val="00C52250"/>
    <w:rsid w:val="00C6563C"/>
    <w:rsid w:val="00C666F1"/>
    <w:rsid w:val="00C7705C"/>
    <w:rsid w:val="00C7799C"/>
    <w:rsid w:val="00CA5498"/>
    <w:rsid w:val="00CD1B32"/>
    <w:rsid w:val="00CD41EB"/>
    <w:rsid w:val="00CD46D5"/>
    <w:rsid w:val="00CD5B3A"/>
    <w:rsid w:val="00CD6B7A"/>
    <w:rsid w:val="00CE00F1"/>
    <w:rsid w:val="00CE56D4"/>
    <w:rsid w:val="00CE786E"/>
    <w:rsid w:val="00CF1A9C"/>
    <w:rsid w:val="00CF2FCF"/>
    <w:rsid w:val="00CF5A42"/>
    <w:rsid w:val="00D2303A"/>
    <w:rsid w:val="00D24A55"/>
    <w:rsid w:val="00D44085"/>
    <w:rsid w:val="00D46B87"/>
    <w:rsid w:val="00D62200"/>
    <w:rsid w:val="00D63F0E"/>
    <w:rsid w:val="00D703DF"/>
    <w:rsid w:val="00D76031"/>
    <w:rsid w:val="00D84011"/>
    <w:rsid w:val="00D9004B"/>
    <w:rsid w:val="00D90529"/>
    <w:rsid w:val="00D96D38"/>
    <w:rsid w:val="00DA5BC5"/>
    <w:rsid w:val="00DC01BE"/>
    <w:rsid w:val="00DC5123"/>
    <w:rsid w:val="00DC6DAC"/>
    <w:rsid w:val="00DD39DE"/>
    <w:rsid w:val="00DE5088"/>
    <w:rsid w:val="00E0264C"/>
    <w:rsid w:val="00E03354"/>
    <w:rsid w:val="00E11FEF"/>
    <w:rsid w:val="00E12EED"/>
    <w:rsid w:val="00E13A6B"/>
    <w:rsid w:val="00E17D07"/>
    <w:rsid w:val="00E20AB5"/>
    <w:rsid w:val="00E3767A"/>
    <w:rsid w:val="00E4072F"/>
    <w:rsid w:val="00E62C84"/>
    <w:rsid w:val="00E73731"/>
    <w:rsid w:val="00E76680"/>
    <w:rsid w:val="00E8514F"/>
    <w:rsid w:val="00E9572B"/>
    <w:rsid w:val="00EA2F33"/>
    <w:rsid w:val="00EC1363"/>
    <w:rsid w:val="00EC39E3"/>
    <w:rsid w:val="00EC77C7"/>
    <w:rsid w:val="00ED06D3"/>
    <w:rsid w:val="00ED7AFE"/>
    <w:rsid w:val="00EE0B56"/>
    <w:rsid w:val="00EE3188"/>
    <w:rsid w:val="00EE5E86"/>
    <w:rsid w:val="00EE5F63"/>
    <w:rsid w:val="00EE7CA8"/>
    <w:rsid w:val="00F16556"/>
    <w:rsid w:val="00F25545"/>
    <w:rsid w:val="00F3116E"/>
    <w:rsid w:val="00F32DB2"/>
    <w:rsid w:val="00F43014"/>
    <w:rsid w:val="00F54D87"/>
    <w:rsid w:val="00F63AD8"/>
    <w:rsid w:val="00F63B73"/>
    <w:rsid w:val="00F6598E"/>
    <w:rsid w:val="00F7120C"/>
    <w:rsid w:val="00F72E0F"/>
    <w:rsid w:val="00F7535D"/>
    <w:rsid w:val="00FB29CC"/>
    <w:rsid w:val="00FB56B1"/>
    <w:rsid w:val="00FB646D"/>
    <w:rsid w:val="00FB7162"/>
    <w:rsid w:val="00FD1048"/>
    <w:rsid w:val="00FD52F2"/>
    <w:rsid w:val="00FE059F"/>
    <w:rsid w:val="00FF1072"/>
    <w:rsid w:val="00FF5088"/>
    <w:rsid w:val="00FF7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116E100E"/>
  <w15:chartTrackingRefBased/>
  <w15:docId w15:val="{18750489-470E-4C71-B546-6C0E9449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Times New Roman"/>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aliases w:val="H3,Заголовок подпукта (1.1.1),Level 1 - 1,o"/>
    <w:basedOn w:val="a"/>
    <w:link w:val="31"/>
    <w:autoRedefine/>
    <w:qFormat/>
    <w:pPr>
      <w:widowControl w:val="0"/>
      <w:spacing w:before="120" w:after="120" w:line="240" w:lineRule="auto"/>
      <w:ind w:left="142" w:firstLine="618"/>
      <w:jc w:val="both"/>
      <w:outlineLvl w:val="2"/>
    </w:pPr>
    <w:rPr>
      <w:rFonts w:ascii="Garamond" w:eastAsia="Times New Roman" w:hAnsi="Garamond"/>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uiPriority w:val="9"/>
    <w:semiHidden/>
    <w:rPr>
      <w:rFonts w:asciiTheme="majorHAnsi" w:eastAsiaTheme="majorEastAsia" w:hAnsiTheme="majorHAnsi" w:cstheme="majorBidi"/>
      <w:color w:val="1F3763" w:themeColor="accent1" w:themeShade="7F"/>
      <w:sz w:val="24"/>
      <w:szCs w:val="24"/>
    </w:rPr>
  </w:style>
  <w:style w:type="paragraph" w:styleId="a3">
    <w:name w:val="List Paragraph"/>
    <w:aliases w:val="Bullet_IRAO,Мой Список,AC List 01,Подпись рисунка,Table-Normal,RSHB_Table-Normal,List Paragraph1,Bullet List,FooterText,numbered,Paragraphe de liste1,lp1,Содержание. 2 уровень,List Bullet СОК,Список СОК,Заголовок_3,GOST_TableList,it_List1"/>
    <w:basedOn w:val="a"/>
    <w:link w:val="a4"/>
    <w:uiPriority w:val="99"/>
    <w:qFormat/>
    <w:pPr>
      <w:spacing w:before="180" w:after="60" w:line="240" w:lineRule="auto"/>
      <w:ind w:left="720"/>
      <w:contextualSpacing/>
    </w:pPr>
    <w:rPr>
      <w:rFonts w:ascii="Garamond" w:eastAsia="Times New Roman" w:hAnsi="Garamond"/>
      <w:szCs w:val="20"/>
      <w:lang w:val="en-GB"/>
    </w:rPr>
  </w:style>
  <w:style w:type="paragraph" w:styleId="a5">
    <w:name w:val="Body Text"/>
    <w:aliases w:val="body text"/>
    <w:basedOn w:val="a"/>
    <w:link w:val="1"/>
    <w:pPr>
      <w:spacing w:before="120" w:after="120" w:line="240" w:lineRule="auto"/>
      <w:jc w:val="both"/>
    </w:pPr>
    <w:rPr>
      <w:rFonts w:ascii="Times New Roman" w:eastAsia="Times New Roman" w:hAnsi="Times New Roman"/>
      <w:szCs w:val="20"/>
      <w:lang w:val="en-GB"/>
    </w:rPr>
  </w:style>
  <w:style w:type="character" w:customStyle="1" w:styleId="a6">
    <w:name w:val="Основной текст Знак"/>
    <w:basedOn w:val="a0"/>
    <w:uiPriority w:val="99"/>
    <w:semiHidden/>
    <w:rPr>
      <w:rFonts w:ascii="Calibri" w:eastAsia="Calibri" w:hAnsi="Calibri" w:cs="Times New Roman"/>
    </w:rPr>
  </w:style>
  <w:style w:type="character" w:customStyle="1" w:styleId="1">
    <w:name w:val="Основной текст Знак1"/>
    <w:aliases w:val="body text Знак"/>
    <w:link w:val="a5"/>
    <w:rPr>
      <w:rFonts w:ascii="Times New Roman" w:eastAsia="Times New Roman" w:hAnsi="Times New Roman" w:cs="Times New Roman"/>
      <w:szCs w:val="20"/>
      <w:lang w:val="en-GB"/>
    </w:rPr>
  </w:style>
  <w:style w:type="paragraph" w:customStyle="1" w:styleId="11">
    <w:name w:val="Обычный + 11 пт"/>
    <w:aliases w:val="По ширине"/>
    <w:basedOn w:val="a"/>
    <w:pPr>
      <w:tabs>
        <w:tab w:val="num" w:pos="1680"/>
      </w:tabs>
      <w:spacing w:after="0" w:line="240" w:lineRule="auto"/>
      <w:ind w:left="1680" w:hanging="1140"/>
      <w:jc w:val="both"/>
    </w:pPr>
    <w:rPr>
      <w:rFonts w:ascii="Times New Roman" w:eastAsia="Times New Roman" w:hAnsi="Times New Roman"/>
      <w:szCs w:val="24"/>
      <w:lang w:eastAsia="ru-RU"/>
    </w:rPr>
  </w:style>
  <w:style w:type="character" w:customStyle="1" w:styleId="31">
    <w:name w:val="Заголовок 3 Знак1"/>
    <w:aliases w:val="H3 Знак,Заголовок подпукта (1.1.1) Знак,Level 1 - 1 Знак,o Знак"/>
    <w:link w:val="3"/>
    <w:locked/>
    <w:rPr>
      <w:rFonts w:ascii="Garamond" w:eastAsia="Times New Roman" w:hAnsi="Garamond" w:cs="Times New Roman"/>
      <w:b/>
      <w:color w:val="000000"/>
    </w:rPr>
  </w:style>
  <w:style w:type="character" w:customStyle="1" w:styleId="a4">
    <w:name w:val="Абзац списка Знак"/>
    <w:aliases w:val="Bullet_IRAO Знак,Мой Список Знак,AC List 01 Знак,Подпись рисунка Знак,Table-Normal Знак,RSHB_Table-Normal Знак,List Paragraph1 Знак,Bullet List Знак,FooterText Знак,numbered Знак,Paragraphe de liste1 Знак,lp1 Знак,List Bullet СОК Знак"/>
    <w:link w:val="a3"/>
    <w:uiPriority w:val="99"/>
    <w:qFormat/>
    <w:rPr>
      <w:rFonts w:ascii="Garamond" w:eastAsia="Times New Roman" w:hAnsi="Garamond" w:cs="Times New Roman"/>
      <w:szCs w:val="20"/>
      <w:lang w:val="en-GB"/>
    </w:rPr>
  </w:style>
  <w:style w:type="character" w:customStyle="1" w:styleId="a7">
    <w:name w:val="Основной текст_"/>
    <w:basedOn w:val="a0"/>
    <w:link w:val="10"/>
    <w:rPr>
      <w:rFonts w:ascii="Times New Roman" w:eastAsia="Times New Roman" w:hAnsi="Times New Roman" w:cs="Times New Roman"/>
      <w:sz w:val="26"/>
      <w:szCs w:val="26"/>
    </w:rPr>
  </w:style>
  <w:style w:type="paragraph" w:customStyle="1" w:styleId="10">
    <w:name w:val="Основной текст1"/>
    <w:basedOn w:val="a"/>
    <w:link w:val="a7"/>
    <w:pPr>
      <w:widowControl w:val="0"/>
      <w:spacing w:after="0" w:line="283" w:lineRule="auto"/>
      <w:ind w:firstLine="400"/>
    </w:pPr>
    <w:rPr>
      <w:rFonts w:ascii="Times New Roman" w:eastAsia="Times New Roman" w:hAnsi="Times New Roman"/>
      <w:sz w:val="26"/>
      <w:szCs w:val="26"/>
    </w:rPr>
  </w:style>
  <w:style w:type="paragraph" w:styleId="a8">
    <w:name w:val="footnote text"/>
    <w:basedOn w:val="a"/>
    <w:link w:val="a9"/>
    <w:uiPriority w:val="99"/>
    <w:semiHidden/>
    <w:unhideWhenUsed/>
    <w:pPr>
      <w:spacing w:after="0" w:line="240" w:lineRule="auto"/>
    </w:pPr>
    <w:rPr>
      <w:rFonts w:ascii="Garamond" w:eastAsia="Times New Roman" w:hAnsi="Garamond"/>
      <w:sz w:val="20"/>
      <w:szCs w:val="20"/>
      <w:lang w:val="en-GB"/>
    </w:rPr>
  </w:style>
  <w:style w:type="character" w:customStyle="1" w:styleId="a9">
    <w:name w:val="Текст сноски Знак"/>
    <w:basedOn w:val="a0"/>
    <w:link w:val="a8"/>
    <w:uiPriority w:val="99"/>
    <w:semiHidden/>
    <w:rPr>
      <w:rFonts w:ascii="Garamond" w:eastAsia="Times New Roman" w:hAnsi="Garamond" w:cs="Times New Roman"/>
      <w:sz w:val="20"/>
      <w:szCs w:val="20"/>
      <w:lang w:val="en-GB"/>
    </w:rPr>
  </w:style>
  <w:style w:type="character" w:styleId="aa">
    <w:name w:val="footnote reference"/>
    <w:basedOn w:val="a0"/>
    <w:uiPriority w:val="99"/>
    <w:semiHidden/>
    <w:unhideWhenUsed/>
    <w:rPr>
      <w:vertAlign w:val="superscript"/>
    </w:rPr>
  </w:style>
  <w:style w:type="paragraph" w:customStyle="1" w:styleId="ab">
    <w:name w:val="Таблицы (моноширинный)"/>
    <w:basedOn w:val="a"/>
    <w:next w:val="a"/>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21">
    <w:name w:val="Основной текст Знак2"/>
    <w:aliases w:val="body text Знак2,Основной текст Знак3"/>
    <w:rPr>
      <w:sz w:val="22"/>
      <w:lang w:val="en-GB" w:eastAsia="en-US" w:bidi="ar-SA"/>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pPr>
      <w:spacing w:line="240" w:lineRule="auto"/>
    </w:pPr>
    <w:rPr>
      <w:sz w:val="20"/>
      <w:szCs w:val="20"/>
    </w:rPr>
  </w:style>
  <w:style w:type="character" w:customStyle="1" w:styleId="ae">
    <w:name w:val="Текст примечания Знак"/>
    <w:basedOn w:val="a0"/>
    <w:link w:val="ad"/>
    <w:uiPriority w:val="99"/>
    <w:rPr>
      <w:rFonts w:ascii="Calibri" w:eastAsia="Calibri" w:hAnsi="Calibri" w:cs="Times New Roman"/>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rFonts w:ascii="Calibri" w:eastAsia="Calibri" w:hAnsi="Calibri" w:cs="Times New Roman"/>
      <w:b/>
      <w:bCs/>
      <w:sz w:val="20"/>
      <w:szCs w:val="20"/>
    </w:rPr>
  </w:style>
  <w:style w:type="paragraph" w:styleId="af1">
    <w:name w:val="Balloon Text"/>
    <w:basedOn w:val="a"/>
    <w:link w:val="af2"/>
    <w:uiPriority w:val="99"/>
    <w:semiHidden/>
    <w:unhideWhenUse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Pr>
      <w:rFonts w:ascii="Segoe UI" w:eastAsia="Calibri" w:hAnsi="Segoe UI" w:cs="Segoe UI"/>
      <w:sz w:val="18"/>
      <w:szCs w:val="18"/>
    </w:rPr>
  </w:style>
  <w:style w:type="paragraph" w:styleId="af3">
    <w:name w:val="Revision"/>
    <w:hidden/>
    <w:uiPriority w:val="99"/>
    <w:semiHidden/>
    <w:pPr>
      <w:spacing w:after="0" w:line="240" w:lineRule="auto"/>
    </w:pPr>
    <w:rPr>
      <w:rFonts w:ascii="Calibri" w:eastAsia="Calibri" w:hAnsi="Calibri" w:cs="Times New Roman"/>
    </w:rPr>
  </w:style>
  <w:style w:type="character" w:customStyle="1" w:styleId="20">
    <w:name w:val="Заголовок 2 Знак"/>
    <w:basedOn w:val="a0"/>
    <w:link w:val="2"/>
    <w:rPr>
      <w:rFonts w:asciiTheme="majorHAnsi" w:eastAsiaTheme="majorEastAsia" w:hAnsiTheme="majorHAnsi" w:cstheme="majorBidi"/>
      <w:color w:val="2F5496" w:themeColor="accent1" w:themeShade="BF"/>
      <w:sz w:val="26"/>
      <w:szCs w:val="26"/>
    </w:rPr>
  </w:style>
  <w:style w:type="character" w:customStyle="1" w:styleId="4">
    <w:name w:val="Основной текст Знак4"/>
    <w:aliases w:val="body text Знак3"/>
    <w:rPr>
      <w:sz w:val="22"/>
      <w:lang w:val="en-GB" w:eastAsia="en-US" w:bidi="ar-SA"/>
    </w:rPr>
  </w:style>
  <w:style w:type="paragraph" w:customStyle="1" w:styleId="12">
    <w:name w:val="Абзац списка1"/>
    <w:basedOn w:val="a"/>
    <w:pPr>
      <w:spacing w:after="200" w:line="276" w:lineRule="auto"/>
      <w:ind w:left="720"/>
      <w:contextualSpacing/>
    </w:pPr>
    <w:rPr>
      <w:rFonts w:eastAsia="Times New Roman"/>
    </w:rPr>
  </w:style>
  <w:style w:type="paragraph" w:styleId="af4">
    <w:name w:val="Body Text Indent"/>
    <w:basedOn w:val="a"/>
    <w:link w:val="af5"/>
    <w:uiPriority w:val="99"/>
    <w:unhideWhenUsed/>
    <w:rsid w:val="00DE5088"/>
    <w:pPr>
      <w:spacing w:after="120"/>
      <w:ind w:left="283"/>
    </w:pPr>
  </w:style>
  <w:style w:type="character" w:customStyle="1" w:styleId="af5">
    <w:name w:val="Основной текст с отступом Знак"/>
    <w:basedOn w:val="a0"/>
    <w:link w:val="af4"/>
    <w:uiPriority w:val="99"/>
    <w:rsid w:val="00DE5088"/>
    <w:rPr>
      <w:rFonts w:ascii="Calibri" w:eastAsia="Calibri" w:hAnsi="Calibri" w:cs="Times New Roman"/>
    </w:rPr>
  </w:style>
  <w:style w:type="table" w:styleId="af6">
    <w:name w:val="Table Grid"/>
    <w:basedOn w:val="a1"/>
    <w:uiPriority w:val="39"/>
    <w:rsid w:val="00DE5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960A54"/>
    <w:pPr>
      <w:widowControl w:val="0"/>
      <w:autoSpaceDE w:val="0"/>
      <w:autoSpaceDN w:val="0"/>
      <w:adjustRightInd w:val="0"/>
      <w:spacing w:after="0" w:line="240" w:lineRule="auto"/>
      <w:ind w:firstLine="720"/>
      <w:jc w:val="both"/>
    </w:pPr>
    <w:rPr>
      <w:rFonts w:ascii="Cambria Math" w:eastAsia="Cambria" w:hAnsi="Cambria Math" w:cs="Cambria Math"/>
      <w:sz w:val="20"/>
      <w:szCs w:val="20"/>
      <w:lang w:eastAsia="ru-RU"/>
    </w:rPr>
  </w:style>
  <w:style w:type="paragraph" w:styleId="af7">
    <w:name w:val="header"/>
    <w:basedOn w:val="a"/>
    <w:link w:val="af8"/>
    <w:uiPriority w:val="99"/>
    <w:unhideWhenUsed/>
    <w:rsid w:val="00513E83"/>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513E83"/>
    <w:rPr>
      <w:rFonts w:ascii="Calibri" w:eastAsia="Calibri" w:hAnsi="Calibri" w:cs="Times New Roman"/>
    </w:rPr>
  </w:style>
  <w:style w:type="paragraph" w:styleId="af9">
    <w:name w:val="footer"/>
    <w:basedOn w:val="a"/>
    <w:link w:val="afa"/>
    <w:uiPriority w:val="99"/>
    <w:unhideWhenUsed/>
    <w:rsid w:val="00513E83"/>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513E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0966">
      <w:bodyDiv w:val="1"/>
      <w:marLeft w:val="0"/>
      <w:marRight w:val="0"/>
      <w:marTop w:val="0"/>
      <w:marBottom w:val="0"/>
      <w:divBdr>
        <w:top w:val="none" w:sz="0" w:space="0" w:color="auto"/>
        <w:left w:val="none" w:sz="0" w:space="0" w:color="auto"/>
        <w:bottom w:val="none" w:sz="0" w:space="0" w:color="auto"/>
        <w:right w:val="none" w:sz="0" w:space="0" w:color="auto"/>
      </w:divBdr>
    </w:div>
    <w:div w:id="1090929132">
      <w:bodyDiv w:val="1"/>
      <w:marLeft w:val="0"/>
      <w:marRight w:val="0"/>
      <w:marTop w:val="0"/>
      <w:marBottom w:val="0"/>
      <w:divBdr>
        <w:top w:val="none" w:sz="0" w:space="0" w:color="auto"/>
        <w:left w:val="none" w:sz="0" w:space="0" w:color="auto"/>
        <w:bottom w:val="none" w:sz="0" w:space="0" w:color="auto"/>
        <w:right w:val="none" w:sz="0" w:space="0" w:color="auto"/>
      </w:divBdr>
    </w:div>
    <w:div w:id="115680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yperlink" Target="http://www.np-sr.ru/norem/marketregulation/joining/marketnorem/currentedition/index.htm?ssFolderId=163" TargetMode="External"/><Relationship Id="rId25" Type="http://schemas.openxmlformats.org/officeDocument/2006/relationships/oleObject" Target="embeddings/oleObject11.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5.wmf"/><Relationship Id="rId32"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2.bin"/><Relationship Id="rId30" Type="http://schemas.openxmlformats.org/officeDocument/2006/relationships/oleObject" Target="embeddings/oleObject14.bin"/><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A7076-4069-4688-BAAA-D1F667A2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9691</Words>
  <Characters>55244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герой</dc:creator>
  <cp:keywords/>
  <dc:description/>
  <cp:lastModifiedBy>Гирина Марина Владимировна</cp:lastModifiedBy>
  <cp:revision>37</cp:revision>
  <cp:lastPrinted>2024-09-12T11:30:00Z</cp:lastPrinted>
  <dcterms:created xsi:type="dcterms:W3CDTF">2024-09-13T12:53:00Z</dcterms:created>
  <dcterms:modified xsi:type="dcterms:W3CDTF">2024-09-23T15:28:00Z</dcterms:modified>
</cp:coreProperties>
</file>