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BAF4F" w14:textId="6FE047C1" w:rsidR="00CB55A4" w:rsidRPr="00B82B49" w:rsidRDefault="00CB55A4" w:rsidP="00CB55A4">
      <w:pPr>
        <w:spacing w:after="0"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55A4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Приложение</w:t>
      </w:r>
      <w:r w:rsidRPr="00CB55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1.</w:t>
      </w:r>
      <w:r w:rsidR="00B82B49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</w:p>
    <w:p w14:paraId="39914EEE" w14:textId="77777777" w:rsidR="00CB55A4" w:rsidRPr="00CB55A4" w:rsidRDefault="00CB55A4" w:rsidP="00CB55A4">
      <w:pPr>
        <w:spacing w:after="0"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55A4">
        <w:rPr>
          <w:rFonts w:ascii="Times New Roman" w:eastAsia="Calibri" w:hAnsi="Times New Roman" w:cs="Times New Roman"/>
          <w:sz w:val="24"/>
          <w:szCs w:val="24"/>
          <w:lang w:eastAsia="ru-RU"/>
        </w:rPr>
        <w:t>к Протоколу № 9/2023 заочного голосования Наблюдательного совета</w:t>
      </w:r>
    </w:p>
    <w:p w14:paraId="168DC33A" w14:textId="77777777" w:rsidR="00CB55A4" w:rsidRPr="00CB55A4" w:rsidRDefault="00CB55A4" w:rsidP="00CB55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55A4">
        <w:rPr>
          <w:rFonts w:ascii="Times New Roman" w:eastAsia="Calibri" w:hAnsi="Times New Roman" w:cs="Times New Roman"/>
          <w:sz w:val="24"/>
          <w:szCs w:val="24"/>
          <w:lang w:eastAsia="ru-RU"/>
        </w:rPr>
        <w:t>Ассоциации «</w:t>
      </w:r>
      <w:proofErr w:type="spellStart"/>
      <w:r w:rsidRPr="00CB55A4">
        <w:rPr>
          <w:rFonts w:ascii="Times New Roman" w:eastAsia="Calibri" w:hAnsi="Times New Roman" w:cs="Times New Roman"/>
          <w:sz w:val="24"/>
          <w:szCs w:val="24"/>
          <w:lang w:eastAsia="ru-RU"/>
        </w:rPr>
        <w:t>НП</w:t>
      </w:r>
      <w:proofErr w:type="spellEnd"/>
      <w:r w:rsidRPr="00CB55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 рынка» от 26 июня 2023 года.</w:t>
      </w:r>
    </w:p>
    <w:p w14:paraId="57F2A54C" w14:textId="77777777" w:rsidR="00CB55A4" w:rsidRPr="00CB55A4" w:rsidRDefault="00CB55A4" w:rsidP="008857DB">
      <w:pPr>
        <w:numPr>
          <w:ilvl w:val="1"/>
          <w:numId w:val="0"/>
        </w:num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</w:p>
    <w:p w14:paraId="228CFE3C" w14:textId="22B369E8" w:rsidR="00A7722D" w:rsidRPr="008919F2" w:rsidRDefault="00BA49D2" w:rsidP="008857DB">
      <w:pPr>
        <w:numPr>
          <w:ilvl w:val="1"/>
          <w:numId w:val="0"/>
        </w:numPr>
        <w:spacing w:after="0" w:line="240" w:lineRule="auto"/>
        <w:rPr>
          <w:rFonts w:ascii="Garamond" w:eastAsia="Times New Roman" w:hAnsi="Garamond" w:cs="Times New Roman"/>
          <w:b/>
          <w:sz w:val="28"/>
          <w:szCs w:val="28"/>
          <w:lang w:eastAsia="ru-RU"/>
        </w:rPr>
      </w:pPr>
      <w:r>
        <w:rPr>
          <w:rFonts w:ascii="Garamond" w:eastAsia="Times New Roman" w:hAnsi="Garamond" w:cs="Times New Roman"/>
          <w:b/>
          <w:sz w:val="28"/>
          <w:szCs w:val="28"/>
          <w:lang w:val="en-US" w:eastAsia="ru-RU"/>
        </w:rPr>
        <w:t>V</w:t>
      </w:r>
      <w:r w:rsidRPr="00BA49D2">
        <w:rPr>
          <w:rFonts w:ascii="Garamond" w:eastAsia="Times New Roman" w:hAnsi="Garamond" w:cs="Times New Roman"/>
          <w:b/>
          <w:sz w:val="28"/>
          <w:szCs w:val="28"/>
          <w:lang w:eastAsia="ru-RU"/>
        </w:rPr>
        <w:t>.</w:t>
      </w:r>
      <w:r w:rsidR="003151DD">
        <w:rPr>
          <w:rFonts w:ascii="Garamond" w:eastAsia="Times New Roman" w:hAnsi="Garamond" w:cs="Times New Roman"/>
          <w:b/>
          <w:sz w:val="28"/>
          <w:szCs w:val="28"/>
          <w:lang w:eastAsia="ru-RU"/>
        </w:rPr>
        <w:t>2.</w:t>
      </w:r>
      <w:r w:rsidRPr="00BA49D2">
        <w:rPr>
          <w:rFonts w:ascii="Garamond" w:eastAsia="Times New Roman" w:hAnsi="Garamond" w:cs="Times New Roman"/>
          <w:b/>
          <w:sz w:val="28"/>
          <w:szCs w:val="28"/>
          <w:lang w:eastAsia="ru-RU"/>
        </w:rPr>
        <w:t xml:space="preserve"> </w:t>
      </w:r>
      <w:r w:rsidR="00A7722D" w:rsidRPr="008919F2">
        <w:rPr>
          <w:rFonts w:ascii="Garamond" w:eastAsia="Times New Roman" w:hAnsi="Garamond" w:cs="Times New Roman"/>
          <w:b/>
          <w:sz w:val="28"/>
          <w:szCs w:val="28"/>
          <w:lang w:eastAsia="ru-RU"/>
        </w:rPr>
        <w:t>Изменения, связанные с уточнением порядка формирования конкурсной задолженности в рамках новых правил проведения конкурса на присвоение статуса гарантирующего поставщика</w:t>
      </w:r>
    </w:p>
    <w:p w14:paraId="34323D32" w14:textId="77777777" w:rsidR="00BA49D2" w:rsidRDefault="00BA49D2" w:rsidP="008857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</w:p>
    <w:p w14:paraId="1601FC72" w14:textId="1312DBE3" w:rsidR="00137EF1" w:rsidRPr="003151DD" w:rsidRDefault="007F0598" w:rsidP="008857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</w:pPr>
      <w:r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 xml:space="preserve">Приложение № </w:t>
      </w:r>
      <w:r w:rsidR="00A752B3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1.</w:t>
      </w:r>
      <w:r w:rsidR="00B82B49">
        <w:rPr>
          <w:rFonts w:ascii="Garamond" w:hAnsi="Garamond" w:cs="Arial"/>
          <w:b/>
          <w:color w:val="000000"/>
          <w:sz w:val="28"/>
          <w:szCs w:val="28"/>
          <w:shd w:val="clear" w:color="auto" w:fill="FFFFFF"/>
        </w:rPr>
        <w:t>7</w:t>
      </w:r>
    </w:p>
    <w:p w14:paraId="653E612D" w14:textId="77777777" w:rsidR="00137EF1" w:rsidRDefault="00137EF1" w:rsidP="008857DB">
      <w:pPr>
        <w:autoSpaceDE w:val="0"/>
        <w:autoSpaceDN w:val="0"/>
        <w:adjustRightInd w:val="0"/>
        <w:spacing w:after="0" w:line="240" w:lineRule="auto"/>
        <w:ind w:right="-296"/>
        <w:jc w:val="right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2"/>
      </w:tblGrid>
      <w:tr w:rsidR="00137EF1" w:rsidRPr="008857DB" w14:paraId="09E9515B" w14:textId="77777777" w:rsidTr="008857DB">
        <w:tc>
          <w:tcPr>
            <w:tcW w:w="14742" w:type="dxa"/>
          </w:tcPr>
          <w:p w14:paraId="2522EB4B" w14:textId="77777777" w:rsidR="00137EF1" w:rsidRPr="008857DB" w:rsidRDefault="007F0598" w:rsidP="008857DB">
            <w:pPr>
              <w:keepNext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8857DB"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Pr="008857DB">
              <w:rPr>
                <w:rFonts w:ascii="Garamond" w:hAnsi="Garamond"/>
                <w:sz w:val="24"/>
                <w:szCs w:val="24"/>
              </w:rPr>
              <w:t>Ассоциация «</w:t>
            </w:r>
            <w:proofErr w:type="spellStart"/>
            <w:r w:rsidRPr="008857DB">
              <w:rPr>
                <w:rFonts w:ascii="Garamond" w:hAnsi="Garamond"/>
                <w:sz w:val="24"/>
                <w:szCs w:val="24"/>
              </w:rPr>
              <w:t>НП</w:t>
            </w:r>
            <w:proofErr w:type="spellEnd"/>
            <w:r w:rsidRPr="008857DB">
              <w:rPr>
                <w:rFonts w:ascii="Garamond" w:hAnsi="Garamond"/>
                <w:sz w:val="24"/>
                <w:szCs w:val="24"/>
              </w:rPr>
              <w:t xml:space="preserve"> Совет рынка».</w:t>
            </w:r>
          </w:p>
          <w:p w14:paraId="47A95DF5" w14:textId="77777777" w:rsidR="000C05B4" w:rsidRPr="008857DB" w:rsidRDefault="007F0598" w:rsidP="00885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bCs/>
                <w:sz w:val="24"/>
                <w:szCs w:val="24"/>
                <w:lang w:eastAsia="ru-RU"/>
              </w:rPr>
            </w:pPr>
            <w:r w:rsidRPr="008857DB">
              <w:rPr>
                <w:rFonts w:ascii="Garamond" w:hAnsi="Garamond"/>
                <w:b/>
                <w:bCs/>
                <w:sz w:val="24"/>
                <w:szCs w:val="24"/>
              </w:rPr>
              <w:t>Обоснование</w:t>
            </w:r>
            <w:r w:rsidRPr="008857DB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="00136FE5" w:rsidRPr="008857DB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данные изменения направлены на уточнение </w:t>
            </w:r>
            <w:r w:rsidR="0091509E" w:rsidRPr="008857DB">
              <w:rPr>
                <w:rFonts w:ascii="Garamond" w:hAnsi="Garamond"/>
                <w:bCs/>
                <w:sz w:val="24"/>
                <w:szCs w:val="24"/>
                <w:lang w:eastAsia="ru-RU"/>
              </w:rPr>
              <w:t xml:space="preserve">ряда положений Регламента финансовых расчетов на оптовом рынке электроэнергии (Приложение № 16 к Договору о присоединении к торговой системе оптового рынка), касающихся проведения конкурсов на присвоение статуса </w:t>
            </w:r>
            <w:proofErr w:type="spellStart"/>
            <w:r w:rsidR="0091509E" w:rsidRPr="008857DB">
              <w:rPr>
                <w:rFonts w:ascii="Garamond" w:hAnsi="Garamond"/>
                <w:bCs/>
                <w:sz w:val="24"/>
                <w:szCs w:val="24"/>
                <w:lang w:eastAsia="ru-RU"/>
              </w:rPr>
              <w:t>ГП</w:t>
            </w:r>
            <w:proofErr w:type="spellEnd"/>
            <w:r w:rsidR="0091509E" w:rsidRPr="008857DB">
              <w:rPr>
                <w:rFonts w:ascii="Garamond" w:hAnsi="Garamond"/>
                <w:bCs/>
                <w:sz w:val="24"/>
                <w:szCs w:val="24"/>
                <w:lang w:eastAsia="ru-RU"/>
              </w:rPr>
              <w:t>, с целью их усовершенствования, конкретизации и (или) более четкого соответствия требованиям нормативных правовых актов.</w:t>
            </w:r>
          </w:p>
          <w:p w14:paraId="4786654F" w14:textId="2C01C4DF" w:rsidR="00137EF1" w:rsidRPr="008857DB" w:rsidRDefault="007F0598" w:rsidP="008857D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8857DB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="00BA49D2" w:rsidRPr="008857DB">
              <w:rPr>
                <w:rFonts w:ascii="Garamond" w:hAnsi="Garamond"/>
                <w:bCs/>
                <w:sz w:val="24"/>
                <w:szCs w:val="24"/>
                <w:lang w:eastAsia="ru-RU"/>
              </w:rPr>
              <w:t>26 июня 2023 года.</w:t>
            </w:r>
          </w:p>
        </w:tc>
      </w:tr>
    </w:tbl>
    <w:p w14:paraId="65C5B6FC" w14:textId="77777777" w:rsidR="008857DB" w:rsidRDefault="008857DB" w:rsidP="008857DB">
      <w:pPr>
        <w:spacing w:after="0" w:line="240" w:lineRule="auto"/>
        <w:ind w:right="82"/>
        <w:rPr>
          <w:rFonts w:ascii="Garamond" w:hAnsi="Garamond"/>
          <w:b/>
          <w:sz w:val="26"/>
          <w:szCs w:val="26"/>
        </w:rPr>
      </w:pPr>
    </w:p>
    <w:p w14:paraId="56E2D8BD" w14:textId="3F1D6558" w:rsidR="00137EF1" w:rsidRDefault="007F0598" w:rsidP="008857DB">
      <w:pPr>
        <w:spacing w:after="0" w:line="240" w:lineRule="auto"/>
        <w:ind w:right="82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</w:t>
      </w:r>
      <w:r>
        <w:rPr>
          <w:rFonts w:ascii="Garamond" w:hAnsi="Garamond"/>
          <w:b/>
          <w:sz w:val="26"/>
          <w:szCs w:val="26"/>
        </w:rPr>
        <w:t xml:space="preserve"> (Приложение № 16 к Договору о присоединении к торговой системе оптового рынка)</w:t>
      </w:r>
    </w:p>
    <w:p w14:paraId="57A1ABD7" w14:textId="77777777" w:rsidR="00137EF1" w:rsidRDefault="00137EF1" w:rsidP="008857DB">
      <w:pPr>
        <w:spacing w:after="0" w:line="240" w:lineRule="auto"/>
        <w:ind w:left="-284" w:right="-312"/>
        <w:rPr>
          <w:rFonts w:ascii="Garamond" w:hAnsi="Garamond"/>
          <w:b/>
          <w:sz w:val="26"/>
          <w:szCs w:val="26"/>
        </w:rPr>
      </w:pPr>
    </w:p>
    <w:tbl>
      <w:tblPr>
        <w:tblW w:w="14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62"/>
        <w:gridCol w:w="7089"/>
      </w:tblGrid>
      <w:tr w:rsidR="00137EF1" w14:paraId="71E385F0" w14:textId="77777777" w:rsidTr="008857DB">
        <w:tc>
          <w:tcPr>
            <w:tcW w:w="993" w:type="dxa"/>
            <w:vAlign w:val="center"/>
          </w:tcPr>
          <w:p w14:paraId="704A477F" w14:textId="77777777" w:rsidR="00137EF1" w:rsidRDefault="007F0598" w:rsidP="008857D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№ </w:t>
            </w:r>
          </w:p>
          <w:p w14:paraId="6CA5BEA8" w14:textId="77777777" w:rsidR="00137EF1" w:rsidRDefault="007F0598" w:rsidP="008857D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D90260C" w14:textId="77777777" w:rsidR="00137EF1" w:rsidRDefault="007F0598" w:rsidP="008857DB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0E106D4F" w14:textId="77777777" w:rsidR="00137EF1" w:rsidRDefault="007F0598" w:rsidP="008857DB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273E2619" w14:textId="77777777" w:rsidR="00137EF1" w:rsidRDefault="007F0598" w:rsidP="008857DB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Предлагаемая редакция</w:t>
            </w:r>
          </w:p>
          <w:p w14:paraId="164861FB" w14:textId="77777777" w:rsidR="00137EF1" w:rsidRDefault="007F0598" w:rsidP="008857DB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(изменения выделены цветом)</w:t>
            </w:r>
          </w:p>
        </w:tc>
      </w:tr>
      <w:tr w:rsidR="00137EF1" w14:paraId="284389EA" w14:textId="77777777" w:rsidTr="008857DB">
        <w:tc>
          <w:tcPr>
            <w:tcW w:w="993" w:type="dxa"/>
            <w:vAlign w:val="center"/>
          </w:tcPr>
          <w:p w14:paraId="40964B63" w14:textId="1A563FCB" w:rsidR="00137EF1" w:rsidRDefault="007F0598" w:rsidP="00AE108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23.1</w:t>
            </w:r>
            <w:r w:rsidR="002244C0">
              <w:rPr>
                <w:rFonts w:ascii="Garamond" w:hAnsi="Garamond"/>
                <w:b/>
              </w:rPr>
              <w:t>.</w:t>
            </w:r>
            <w:r w:rsidR="00AE108D">
              <w:rPr>
                <w:rFonts w:ascii="Garamond" w:hAnsi="Garamond"/>
                <w:b/>
              </w:rPr>
              <w:t>1</w:t>
            </w:r>
            <w:r w:rsidR="008857DB">
              <w:rPr>
                <w:rFonts w:ascii="Garamond" w:hAnsi="Garamond"/>
                <w:b/>
              </w:rPr>
              <w:t>,</w:t>
            </w:r>
          </w:p>
          <w:p w14:paraId="60D6F0E6" w14:textId="77777777" w:rsidR="00AC5CBA" w:rsidRDefault="00AC5CBA" w:rsidP="00AE108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абзац 3</w:t>
            </w:r>
          </w:p>
        </w:tc>
        <w:tc>
          <w:tcPr>
            <w:tcW w:w="6662" w:type="dxa"/>
          </w:tcPr>
          <w:p w14:paraId="30E4A2E3" w14:textId="77777777" w:rsidR="00AC5CBA" w:rsidRDefault="00AC5CBA" w:rsidP="008857DB">
            <w:pPr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…</w:t>
            </w:r>
          </w:p>
          <w:p w14:paraId="4E49B78E" w14:textId="77777777" w:rsidR="00AC5CBA" w:rsidRDefault="00AE108D" w:rsidP="008857DB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hAnsi="Garamond" w:cs="Garamond"/>
                <w:bCs/>
              </w:rPr>
            </w:pPr>
            <w:r w:rsidRPr="00AE108D">
              <w:rPr>
                <w:rFonts w:ascii="Garamond" w:hAnsi="Garamond" w:cs="Garamond"/>
                <w:bCs/>
              </w:rPr>
              <w:t>Не позднее 9</w:t>
            </w:r>
            <w:r w:rsidRPr="00AE108D">
              <w:rPr>
                <w:rFonts w:ascii="Garamond" w:hAnsi="Garamond" w:cs="Garamond"/>
                <w:bCs/>
                <w:highlight w:val="yellow"/>
              </w:rPr>
              <w:t>2</w:t>
            </w:r>
            <w:r w:rsidRPr="00AE108D">
              <w:rPr>
                <w:rFonts w:ascii="Garamond" w:hAnsi="Garamond" w:cs="Garamond"/>
                <w:bCs/>
              </w:rPr>
              <w:t xml:space="preserve"> (девяноста </w:t>
            </w:r>
            <w:r w:rsidRPr="00AE108D">
              <w:rPr>
                <w:rFonts w:ascii="Garamond" w:hAnsi="Garamond" w:cs="Garamond"/>
                <w:bCs/>
                <w:highlight w:val="yellow"/>
              </w:rPr>
              <w:t>двух</w:t>
            </w:r>
            <w:r w:rsidRPr="00AE108D">
              <w:rPr>
                <w:rFonts w:ascii="Garamond" w:hAnsi="Garamond" w:cs="Garamond"/>
                <w:bCs/>
              </w:rPr>
              <w:t xml:space="preserve">) рабочих дней, считая со дня присвоения статуса гарантирующего поставщика территориальной сетевой организации в соответствии с принятым решением уполномоченного федерального органа либо со дня начала срока предоставления сетевыми организациями в Совет рынка сведений и документов, определенного решением уполномоченного федерального органа в соответствии с пунктом 2 постановления Правительства Российской Федерации от 15.07.2022 № 1275 «О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Федерации», Совет рынка направляет в </w:t>
            </w:r>
            <w:r w:rsidRPr="00AE108D">
              <w:rPr>
                <w:rFonts w:ascii="Garamond" w:hAnsi="Garamond" w:cs="Garamond"/>
                <w:bCs/>
              </w:rPr>
              <w:lastRenderedPageBreak/>
              <w:t>ЦФР в электронном виде с применением ЭП сведения о задолженности перед сетевыми организациями по договорам оказания услуг по передаче электрической энергии организации, утратившей статус гарантирующего поставщика, по форме приложения 108.1 к настоящему Регламенту и письменный запрос о наличии (отсутствии) у организации, утратившей статус гарантирующего поставщика, задолженности, включающей в себя задолженность по оплате услуг, оказанных на оптовом рынке организациями коммерческой и технологической инфраструктуры оптового рынка, по оплате электрической энергии и (или) мощности, поставленных на оптовом рынке участниками оптового рынка и организацией коммерческой инфраструктуры оптового рынка по договорам, по которым расчет денежных обязательств сторон производится организациями коммерческой инфраструктуры оптового рынка, и задолженность перед сетевыми организациями по договорам оказания услуг по передаче электрической энергии (информацию о которой Совет рынка направил в ЦФР в соответствии с настоящим пунктом), с указанием зон деятельности организации, утратившей статус гарантирующего поставщика</w:t>
            </w:r>
            <w:r w:rsidR="00AC5CBA">
              <w:rPr>
                <w:rFonts w:ascii="Garamond" w:hAnsi="Garamond" w:cs="Garamond"/>
                <w:bCs/>
              </w:rPr>
              <w:t>.</w:t>
            </w:r>
          </w:p>
          <w:p w14:paraId="7D139B4C" w14:textId="77777777" w:rsidR="00137EF1" w:rsidRDefault="00E11139" w:rsidP="008857DB">
            <w:pPr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…</w:t>
            </w:r>
          </w:p>
        </w:tc>
        <w:tc>
          <w:tcPr>
            <w:tcW w:w="7089" w:type="dxa"/>
          </w:tcPr>
          <w:p w14:paraId="7439B535" w14:textId="77777777" w:rsidR="00AC5CBA" w:rsidRDefault="00AC5CBA" w:rsidP="008857DB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…</w:t>
            </w:r>
          </w:p>
          <w:p w14:paraId="64E9A32B" w14:textId="77777777" w:rsidR="00137EF1" w:rsidRDefault="00AE108D" w:rsidP="008857DB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AE108D">
              <w:rPr>
                <w:rFonts w:ascii="Garamond" w:hAnsi="Garamond"/>
              </w:rPr>
              <w:t>Не позднее 9</w:t>
            </w:r>
            <w:r w:rsidRPr="00AE108D">
              <w:rPr>
                <w:rFonts w:ascii="Garamond" w:hAnsi="Garamond"/>
                <w:highlight w:val="yellow"/>
              </w:rPr>
              <w:t>5</w:t>
            </w:r>
            <w:r w:rsidRPr="00AE108D">
              <w:rPr>
                <w:rFonts w:ascii="Garamond" w:hAnsi="Garamond"/>
              </w:rPr>
              <w:t xml:space="preserve"> (девяноста </w:t>
            </w:r>
            <w:r w:rsidRPr="00AE108D">
              <w:rPr>
                <w:rFonts w:ascii="Garamond" w:hAnsi="Garamond"/>
                <w:highlight w:val="yellow"/>
              </w:rPr>
              <w:t>пяти</w:t>
            </w:r>
            <w:r w:rsidRPr="00AE108D">
              <w:rPr>
                <w:rFonts w:ascii="Garamond" w:hAnsi="Garamond"/>
              </w:rPr>
              <w:t xml:space="preserve">) рабочих дней, считая со дня присвоения статуса гарантирующего поставщика территориальной сетевой организации в соответствии с принятым решением уполномоченного федерального органа либо со дня начала срока предоставления сетевыми организациями в Совет рынка сведений и документов, определенного решением уполномоченного федерального органа в соответствии с пунктом 2 постановления Правительства Российской Федерации от 15.07.2022 № 1275 «О внесении изменений в некоторые акты Правительства Российской Федерации по вопросам совершенствования порядка проведения конкурсов на присвоение статуса гарантирующего поставщика и признании утратившими силу отдельных положений некоторых актов Правительства Российской Федерации», Совет рынка направляет в ЦФР в электронном виде с применением ЭП сведения о задолженности перед </w:t>
            </w:r>
            <w:r w:rsidRPr="00AE108D">
              <w:rPr>
                <w:rFonts w:ascii="Garamond" w:hAnsi="Garamond"/>
              </w:rPr>
              <w:lastRenderedPageBreak/>
              <w:t>сетевыми организациями по договорам оказания услуг по передаче электрической энергии организации, утратившей статус гарантирующего поставщика, по форме приложения 108.1 к настоящему Регламенту и письменный запрос о наличии (отсутствии) у организации, утратившей статус гарантирующего поставщика, задолженности, включающей в себя задолженность по оплате услуг, оказанных на оптовом рынке организациями коммерческой и технологической инфраструктуры оптового рынка, по оплате электрической энергии и (или) мощности, поставленных на оптовом рынке участниками оптового рынка и организацией коммерческой инфраструктуры оптового рынка по договорам, по которым расчет денежных обязательств сторон производится организациями коммерческой инфраструктуры оптового рынка, и задолженность перед сетевыми организациями по договорам оказания услуг по передаче электрической энергии (информацию о которой Совет рынка направил в ЦФР в соответствии с настоящим пунктом), с указанием зон деятельности организации, утратившей статус гарантирующего поставщика.</w:t>
            </w:r>
          </w:p>
          <w:p w14:paraId="72259EA1" w14:textId="77777777" w:rsidR="00AC5CBA" w:rsidRDefault="00AC5CBA" w:rsidP="008857DB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7643F2" w14:paraId="41566514" w14:textId="77777777" w:rsidTr="008857DB">
        <w:tc>
          <w:tcPr>
            <w:tcW w:w="993" w:type="dxa"/>
            <w:vAlign w:val="center"/>
          </w:tcPr>
          <w:p w14:paraId="420EA090" w14:textId="79D9FCC0" w:rsidR="007643F2" w:rsidRDefault="007643F2" w:rsidP="00AE108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23.2.4</w:t>
            </w:r>
            <w:r w:rsidR="008857DB">
              <w:rPr>
                <w:rFonts w:ascii="Garamond" w:hAnsi="Garamond"/>
                <w:b/>
              </w:rPr>
              <w:t>,</w:t>
            </w:r>
          </w:p>
          <w:p w14:paraId="463283E3" w14:textId="77777777" w:rsidR="007643F2" w:rsidRDefault="007643F2" w:rsidP="00AE108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абзац 1</w:t>
            </w:r>
          </w:p>
        </w:tc>
        <w:tc>
          <w:tcPr>
            <w:tcW w:w="6662" w:type="dxa"/>
          </w:tcPr>
          <w:p w14:paraId="1AFA718F" w14:textId="77777777" w:rsidR="007643F2" w:rsidRDefault="007643F2" w:rsidP="008857DB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hAnsi="Garamond" w:cs="Garamond"/>
                <w:bCs/>
              </w:rPr>
            </w:pPr>
            <w:r w:rsidRPr="007643F2">
              <w:rPr>
                <w:rFonts w:ascii="Garamond" w:hAnsi="Garamond" w:cs="Garamond"/>
                <w:bCs/>
              </w:rPr>
              <w:t>Актуальные сведения о наличии (отсутствии) задолженности формируются с учетом особенностей, указанных в пункте 23.1.2 настоящего Регламента, и с учетом изменений, произошедших в период с даты формирования реестра конкурсной задолженности до даты формирования актуальных сведений, и учитывают только те расчетные периоды, в отношении которых был сформирован реестр конкурсной задолженности в соответствии с абзацем первым п</w:t>
            </w:r>
            <w:r>
              <w:rPr>
                <w:rFonts w:ascii="Garamond" w:hAnsi="Garamond" w:cs="Garamond"/>
                <w:bCs/>
              </w:rPr>
              <w:t>. 23.1.2 настоящего Регламента.</w:t>
            </w:r>
          </w:p>
          <w:p w14:paraId="14E3497A" w14:textId="77777777" w:rsidR="007C1592" w:rsidRDefault="007C1592" w:rsidP="008857DB">
            <w:pPr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…</w:t>
            </w:r>
          </w:p>
        </w:tc>
        <w:tc>
          <w:tcPr>
            <w:tcW w:w="7089" w:type="dxa"/>
          </w:tcPr>
          <w:p w14:paraId="6E868E95" w14:textId="5C79F446" w:rsidR="007643F2" w:rsidRDefault="007643F2" w:rsidP="008857DB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hAnsi="Garamond" w:cs="Garamond"/>
                <w:bCs/>
              </w:rPr>
            </w:pPr>
            <w:r w:rsidRPr="007643F2">
              <w:rPr>
                <w:rFonts w:ascii="Garamond" w:hAnsi="Garamond" w:cs="Garamond"/>
                <w:bCs/>
              </w:rPr>
              <w:t>Актуальные сведения о наличии (отсутствии) задолженности формируются с учетом особенностей, указанных в пункте 23.1.2 настоящего Регламента, и с учетом изменений, произошедших в период с даты формирования реестра конкурсной задолженности до даты ф</w:t>
            </w:r>
            <w:r>
              <w:rPr>
                <w:rFonts w:ascii="Garamond" w:hAnsi="Garamond" w:cs="Garamond"/>
                <w:bCs/>
              </w:rPr>
              <w:t xml:space="preserve">ормирования актуальных сведений </w:t>
            </w:r>
            <w:r w:rsidRPr="007643F2">
              <w:rPr>
                <w:rFonts w:ascii="Garamond" w:hAnsi="Garamond" w:cs="Garamond"/>
                <w:bCs/>
                <w:highlight w:val="yellow"/>
              </w:rPr>
              <w:t xml:space="preserve">в части </w:t>
            </w:r>
            <w:r w:rsidRPr="00FF28D1">
              <w:rPr>
                <w:rFonts w:ascii="Garamond" w:hAnsi="Garamond" w:cs="Garamond"/>
                <w:bCs/>
                <w:highlight w:val="yellow"/>
              </w:rPr>
              <w:t xml:space="preserve">уменьшения </w:t>
            </w:r>
            <w:r w:rsidR="00497B76" w:rsidRPr="00FF28D1">
              <w:rPr>
                <w:rFonts w:ascii="Garamond" w:hAnsi="Garamond" w:cs="Garamond"/>
                <w:bCs/>
                <w:highlight w:val="yellow"/>
              </w:rPr>
              <w:t xml:space="preserve">величины </w:t>
            </w:r>
            <w:r w:rsidRPr="00FF28D1">
              <w:rPr>
                <w:rFonts w:ascii="Garamond" w:hAnsi="Garamond" w:cs="Garamond"/>
                <w:bCs/>
                <w:highlight w:val="yellow"/>
              </w:rPr>
              <w:t xml:space="preserve">задолженности </w:t>
            </w:r>
            <w:r>
              <w:rPr>
                <w:rFonts w:ascii="Garamond" w:hAnsi="Garamond" w:cs="Garamond"/>
                <w:bCs/>
                <w:highlight w:val="yellow"/>
              </w:rPr>
              <w:t>и (или) изменения</w:t>
            </w:r>
            <w:r w:rsidRPr="007643F2">
              <w:rPr>
                <w:rFonts w:ascii="Garamond" w:hAnsi="Garamond" w:cs="Garamond"/>
                <w:bCs/>
                <w:highlight w:val="yellow"/>
              </w:rPr>
              <w:t xml:space="preserve"> состава кредиторов</w:t>
            </w:r>
            <w:r>
              <w:rPr>
                <w:rFonts w:ascii="Garamond" w:hAnsi="Garamond" w:cs="Garamond"/>
                <w:bCs/>
              </w:rPr>
              <w:t>,</w:t>
            </w:r>
            <w:r w:rsidRPr="007643F2">
              <w:rPr>
                <w:rFonts w:ascii="Garamond" w:hAnsi="Garamond" w:cs="Garamond"/>
                <w:bCs/>
              </w:rPr>
              <w:t xml:space="preserve"> и учитывают только те расчетные периоды, в отношении которых был сформирован реестр конкурсной задолженности в соответствии с абзацем первым п</w:t>
            </w:r>
            <w:r>
              <w:rPr>
                <w:rFonts w:ascii="Garamond" w:hAnsi="Garamond" w:cs="Garamond"/>
                <w:bCs/>
              </w:rPr>
              <w:t>. 23.1.2 настоящего Регламента.</w:t>
            </w:r>
          </w:p>
          <w:p w14:paraId="3B18CBFC" w14:textId="77777777" w:rsidR="007C1592" w:rsidRPr="007643F2" w:rsidRDefault="007C1592" w:rsidP="008857DB">
            <w:pPr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…</w:t>
            </w:r>
          </w:p>
        </w:tc>
      </w:tr>
      <w:tr w:rsidR="0072787A" w14:paraId="6C22A99B" w14:textId="77777777" w:rsidTr="008857DB">
        <w:tc>
          <w:tcPr>
            <w:tcW w:w="993" w:type="dxa"/>
            <w:vAlign w:val="center"/>
          </w:tcPr>
          <w:p w14:paraId="2A7084A3" w14:textId="26374890" w:rsidR="0072787A" w:rsidRDefault="0072787A" w:rsidP="00AE108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23.3.5</w:t>
            </w:r>
            <w:r w:rsidR="008857DB">
              <w:rPr>
                <w:rFonts w:ascii="Garamond" w:hAnsi="Garamond"/>
                <w:b/>
              </w:rPr>
              <w:t>,</w:t>
            </w:r>
          </w:p>
          <w:p w14:paraId="399D28EC" w14:textId="77777777" w:rsidR="007643F2" w:rsidRDefault="007643F2" w:rsidP="00AE108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абзац 1</w:t>
            </w:r>
          </w:p>
        </w:tc>
        <w:tc>
          <w:tcPr>
            <w:tcW w:w="6662" w:type="dxa"/>
          </w:tcPr>
          <w:p w14:paraId="5D37B90E" w14:textId="77777777" w:rsidR="0072787A" w:rsidRDefault="0072787A" w:rsidP="008857DB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hAnsi="Garamond" w:cs="Garamond"/>
                <w:bCs/>
              </w:rPr>
            </w:pPr>
            <w:r w:rsidRPr="0072787A">
              <w:rPr>
                <w:rFonts w:ascii="Garamond" w:hAnsi="Garamond" w:cs="Garamond"/>
                <w:bCs/>
              </w:rPr>
              <w:t xml:space="preserve">Совет рынка в день получения реестра конкурсной задолженности с распределением, указанного в пункте 23.3.4 настоящего Регламента, от уполномоченного федерального органа в соответствии с Правилами проведения конкурса на присвоение статуса гарантирующего поставщика, утвержденными уполномоченным федеральным органом, направляет копию полученного реестра в </w:t>
            </w:r>
            <w:r w:rsidRPr="0072787A">
              <w:rPr>
                <w:rFonts w:ascii="Garamond" w:hAnsi="Garamond" w:cs="Garamond"/>
                <w:bCs/>
                <w:highlight w:val="yellow"/>
              </w:rPr>
              <w:t xml:space="preserve">АТС </w:t>
            </w:r>
            <w:r w:rsidRPr="0072787A">
              <w:rPr>
                <w:rFonts w:ascii="Garamond" w:hAnsi="Garamond" w:cs="Garamond"/>
                <w:bCs/>
                <w:highlight w:val="yellow"/>
              </w:rPr>
              <w:lastRenderedPageBreak/>
              <w:t>и ЦФР</w:t>
            </w:r>
            <w:r w:rsidRPr="0072787A">
              <w:rPr>
                <w:rFonts w:ascii="Garamond" w:hAnsi="Garamond" w:cs="Garamond"/>
                <w:bCs/>
              </w:rPr>
              <w:t>.</w:t>
            </w:r>
          </w:p>
          <w:p w14:paraId="3DC32753" w14:textId="77777777" w:rsidR="0072787A" w:rsidRDefault="0072787A" w:rsidP="008857DB">
            <w:pPr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…</w:t>
            </w:r>
          </w:p>
        </w:tc>
        <w:tc>
          <w:tcPr>
            <w:tcW w:w="7089" w:type="dxa"/>
          </w:tcPr>
          <w:p w14:paraId="02C881CF" w14:textId="77777777" w:rsidR="0072787A" w:rsidRPr="0072787A" w:rsidRDefault="0072787A" w:rsidP="008857DB">
            <w:pPr>
              <w:suppressAutoHyphens/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72787A">
              <w:rPr>
                <w:rFonts w:ascii="Garamond" w:hAnsi="Garamond"/>
              </w:rPr>
              <w:lastRenderedPageBreak/>
              <w:t xml:space="preserve">Совет рынка в день получения реестра конкурсной задолженности с распределением, указанного в пункте 23.3.4 настоящего Регламента, от уполномоченного федерального органа в соответствии с Правилами проведения конкурса на присвоение статуса гарантирующего поставщика, утвержденными уполномоченным федеральным органом, направляет в </w:t>
            </w:r>
            <w:r w:rsidRPr="0072787A">
              <w:rPr>
                <w:rFonts w:ascii="Garamond" w:hAnsi="Garamond"/>
                <w:highlight w:val="yellow"/>
              </w:rPr>
              <w:t xml:space="preserve">АТС </w:t>
            </w:r>
            <w:r w:rsidRPr="0072787A">
              <w:rPr>
                <w:rFonts w:ascii="Garamond" w:hAnsi="Garamond"/>
                <w:highlight w:val="yellow"/>
              </w:rPr>
              <w:lastRenderedPageBreak/>
              <w:t>и ЦФР сопроводительным письмом за подписью уполномоченного лица</w:t>
            </w:r>
            <w:r w:rsidRPr="0072787A">
              <w:rPr>
                <w:rFonts w:ascii="Garamond" w:hAnsi="Garamond"/>
              </w:rPr>
              <w:t xml:space="preserve"> копию полученного реестра </w:t>
            </w:r>
            <w:r w:rsidRPr="0072787A">
              <w:rPr>
                <w:rFonts w:ascii="Garamond" w:hAnsi="Garamond"/>
                <w:highlight w:val="yellow"/>
              </w:rPr>
              <w:t>на бумажном носителе и в электронном виде</w:t>
            </w:r>
            <w:r w:rsidRPr="0072787A">
              <w:rPr>
                <w:rFonts w:ascii="Garamond" w:hAnsi="Garamond"/>
              </w:rPr>
              <w:t>.</w:t>
            </w:r>
          </w:p>
          <w:p w14:paraId="61288FD4" w14:textId="77777777" w:rsidR="0072787A" w:rsidRDefault="0072787A" w:rsidP="008857DB">
            <w:pPr>
              <w:widowControl w:val="0"/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</w:tc>
      </w:tr>
      <w:tr w:rsidR="000A2BE8" w14:paraId="2A254180" w14:textId="77777777" w:rsidTr="008857DB">
        <w:tc>
          <w:tcPr>
            <w:tcW w:w="993" w:type="dxa"/>
            <w:vAlign w:val="center"/>
          </w:tcPr>
          <w:p w14:paraId="08D19E3E" w14:textId="77777777" w:rsidR="000A2BE8" w:rsidRDefault="000A2BE8" w:rsidP="00AE108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23.4.2.1</w:t>
            </w:r>
          </w:p>
        </w:tc>
        <w:tc>
          <w:tcPr>
            <w:tcW w:w="6662" w:type="dxa"/>
          </w:tcPr>
          <w:p w14:paraId="6CB0589C" w14:textId="77777777" w:rsidR="000A2BE8" w:rsidRDefault="000A2BE8" w:rsidP="008857DB">
            <w:pPr>
              <w:widowControl w:val="0"/>
              <w:spacing w:before="120" w:after="120" w:line="240" w:lineRule="auto"/>
              <w:jc w:val="both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…</w:t>
            </w:r>
          </w:p>
          <w:p w14:paraId="3A755086" w14:textId="77777777" w:rsidR="007A2414" w:rsidRPr="0072787A" w:rsidRDefault="007A2414" w:rsidP="008857DB">
            <w:pPr>
              <w:widowControl w:val="0"/>
              <w:spacing w:before="120" w:after="120" w:line="240" w:lineRule="auto"/>
              <w:ind w:firstLine="600"/>
              <w:jc w:val="both"/>
              <w:rPr>
                <w:rFonts w:ascii="Garamond" w:hAnsi="Garamond" w:cs="Garamond"/>
                <w:bCs/>
              </w:rPr>
            </w:pPr>
            <w:r>
              <w:rPr>
                <w:rFonts w:ascii="Garamond" w:eastAsia="Times New Roman" w:hAnsi="Garamond" w:cs="Times New Roman"/>
              </w:rPr>
              <w:t>ЦФР не позднее рабочего дня, следующего за днем получения от Совета рынка реестра конкурсной задолженности с распределением, передаваемого в соответствии с абзацем первым пункта 23.3.5 настоящего Регламента, формирует и передает в АТС в электронном виде с применением ЭП реестры договоров цессии, которые должны быть заключены победителем конкурса с кредиторами организации, утратившей статус гарантирующего поставщика (приложения 109б и 109.1б к настоящему Регламенту), с приложением информации по суммам обязательств, подлежащих оплате, и соответствующим периодам по каждому договору уступки требования.</w:t>
            </w:r>
          </w:p>
        </w:tc>
        <w:tc>
          <w:tcPr>
            <w:tcW w:w="7089" w:type="dxa"/>
          </w:tcPr>
          <w:p w14:paraId="419EE664" w14:textId="77777777" w:rsidR="000A2BE8" w:rsidRDefault="000A2BE8" w:rsidP="008857DB">
            <w:pPr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</w:t>
            </w:r>
          </w:p>
          <w:p w14:paraId="605AB776" w14:textId="77777777" w:rsidR="007A2414" w:rsidRDefault="007A2414" w:rsidP="008857DB">
            <w:pPr>
              <w:spacing w:before="120" w:after="120" w:line="240" w:lineRule="auto"/>
              <w:ind w:firstLine="600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ЦФР не позднее рабочего дня, следующего за днем получения от Совета рынка реестра конкурсной задолженности с распределением, передаваемого в соответствии с абзацем первым пункта 23.3.5 настоящего Регламента, формирует и передает в АТС в электронном виде с применением ЭП реестры договоров цессии, которые должны быть заключены победителем конкурса с кредиторами организации, утратившей статус гарантирующего поставщика (приложения 109б и 109.1б к настоящему Регламенту), с приложением информации по суммам обязательств, подлежащих оплате, и соответствующим периодам по каждому договору уступки требования.</w:t>
            </w:r>
          </w:p>
          <w:p w14:paraId="133D1A43" w14:textId="77777777" w:rsidR="007A2414" w:rsidRPr="0072787A" w:rsidRDefault="00C832F3" w:rsidP="008857DB">
            <w:pPr>
              <w:spacing w:before="120" w:after="120" w:line="240" w:lineRule="auto"/>
              <w:ind w:firstLine="600"/>
              <w:jc w:val="both"/>
              <w:rPr>
                <w:rFonts w:ascii="Garamond" w:hAnsi="Garamond"/>
              </w:rPr>
            </w:pPr>
            <w:r w:rsidRPr="00C832F3">
              <w:rPr>
                <w:rFonts w:ascii="Garamond" w:hAnsi="Garamond"/>
                <w:spacing w:val="1"/>
                <w:highlight w:val="yellow"/>
              </w:rPr>
              <w:t>В указанные реестры договоров цессии ЦФР не включает информацию в отношении кредитора, в случае если такой кредитор и победитель конкурса являются одним и тем же юридическим лицом.</w:t>
            </w:r>
          </w:p>
        </w:tc>
      </w:tr>
      <w:tr w:rsidR="006723F8" w14:paraId="7C7F09CC" w14:textId="77777777" w:rsidTr="008857DB">
        <w:tc>
          <w:tcPr>
            <w:tcW w:w="993" w:type="dxa"/>
            <w:vAlign w:val="center"/>
          </w:tcPr>
          <w:p w14:paraId="724E9813" w14:textId="77777777" w:rsidR="006723F8" w:rsidRDefault="006723F8" w:rsidP="00AE108D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23.5.1.1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C2D032B" w14:textId="77777777" w:rsidR="006723F8" w:rsidRDefault="006723F8" w:rsidP="008857DB">
            <w:pPr>
              <w:pStyle w:val="a3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t>…</w:t>
            </w:r>
          </w:p>
          <w:p w14:paraId="75DF629B" w14:textId="77777777" w:rsidR="006723F8" w:rsidRPr="00C96FFC" w:rsidRDefault="006723F8" w:rsidP="008857DB">
            <w:pPr>
              <w:pStyle w:val="a3"/>
              <w:ind w:firstLine="600"/>
              <w:rPr>
                <w:rFonts w:ascii="Garamond" w:hAnsi="Garamond" w:cs="Garamond"/>
                <w:szCs w:val="22"/>
                <w:lang w:val="ru-RU"/>
              </w:rPr>
            </w:pPr>
            <w:r w:rsidRPr="00E0221E">
              <w:rPr>
                <w:rFonts w:ascii="Garamond" w:hAnsi="Garamond"/>
                <w:color w:val="000000"/>
                <w:szCs w:val="22"/>
                <w:lang w:val="ru-RU"/>
              </w:rPr>
              <w:t xml:space="preserve">Победитель конкурса не позднее 10 (десяти) рабочих дней, считая со дня получения от уполномоченного федерального органа реестра </w:t>
            </w:r>
            <w:r w:rsidRPr="00E0221E">
              <w:rPr>
                <w:rFonts w:ascii="Garamond" w:hAnsi="Garamond"/>
                <w:szCs w:val="22"/>
                <w:lang w:val="ru-RU"/>
              </w:rPr>
              <w:t>конкурсной задолженности</w:t>
            </w:r>
            <w:r w:rsidRPr="00E0221E">
              <w:rPr>
                <w:rFonts w:ascii="Garamond" w:hAnsi="Garamond"/>
                <w:color w:val="000000"/>
                <w:szCs w:val="22"/>
                <w:lang w:val="ru-RU"/>
              </w:rPr>
              <w:t xml:space="preserve"> с распределением</w:t>
            </w:r>
            <w:r w:rsidRPr="00E0221E">
              <w:rPr>
                <w:rFonts w:ascii="Garamond" w:hAnsi="Garamond"/>
                <w:szCs w:val="22"/>
                <w:lang w:val="ru-RU"/>
              </w:rPr>
              <w:t xml:space="preserve">, но не менее чем за 3 (три) рабочих дня до даты проведения расчетов по договорам уступки требования (цессии) с кредиторами – субъектами оптового рынка с использованием торгового счета </w:t>
            </w:r>
            <w:r w:rsidRPr="00E0221E">
              <w:rPr>
                <w:rFonts w:ascii="Garamond" w:hAnsi="Garamond"/>
                <w:color w:val="000000"/>
                <w:szCs w:val="22"/>
                <w:lang w:val="ru-RU"/>
              </w:rPr>
              <w:t xml:space="preserve">обязан заключить с </w:t>
            </w:r>
            <w:r w:rsidRPr="00E0221E">
              <w:rPr>
                <w:rFonts w:ascii="Garamond" w:hAnsi="Garamond" w:cs="Garamond"/>
                <w:szCs w:val="22"/>
                <w:lang w:val="ru-RU"/>
              </w:rPr>
              <w:t>уполномоченной кредитной организацией</w:t>
            </w:r>
            <w:r w:rsidRPr="00E0221E">
              <w:rPr>
                <w:rFonts w:ascii="Garamond" w:hAnsi="Garamond"/>
                <w:color w:val="000000"/>
                <w:szCs w:val="22"/>
                <w:lang w:val="ru-RU"/>
              </w:rPr>
              <w:t xml:space="preserve"> дополнительное соглашение к договору банковского счета в отношении открытого для расчетов на оптовом рынке </w:t>
            </w:r>
            <w:r w:rsidRPr="00C96FFC">
              <w:rPr>
                <w:rFonts w:ascii="Garamond" w:hAnsi="Garamond"/>
                <w:color w:val="000000"/>
                <w:szCs w:val="22"/>
                <w:lang w:val="ru-RU"/>
              </w:rPr>
              <w:t xml:space="preserve">банковского счета </w:t>
            </w:r>
            <w:r w:rsidRPr="00C96FFC">
              <w:rPr>
                <w:rFonts w:ascii="Garamond" w:hAnsi="Garamond"/>
                <w:lang w:val="ru-RU"/>
              </w:rPr>
              <w:t>(торгового счета)</w:t>
            </w:r>
            <w:r w:rsidRPr="00C96FFC">
              <w:rPr>
                <w:rFonts w:ascii="Garamond" w:hAnsi="Garamond" w:cs="Garamond"/>
                <w:szCs w:val="22"/>
                <w:lang w:val="ru-RU"/>
              </w:rPr>
              <w:t xml:space="preserve">, содержащее условие о предоставлении согласия уполномоченной кредитной организации на раскрытие Совету рынка информации по данному счету, и предоставить в Совет рынка </w:t>
            </w:r>
            <w:r w:rsidRPr="00C96FFC">
              <w:rPr>
                <w:rFonts w:ascii="Garamond" w:hAnsi="Garamond"/>
                <w:szCs w:val="22"/>
                <w:lang w:val="ru-RU"/>
              </w:rPr>
              <w:t>в электронном виде с применением ЭП</w:t>
            </w:r>
            <w:r w:rsidRPr="00C96FFC">
              <w:rPr>
                <w:rFonts w:ascii="Garamond" w:hAnsi="Garamond" w:cs="Garamond"/>
                <w:szCs w:val="22"/>
                <w:lang w:val="ru-RU"/>
              </w:rPr>
              <w:t xml:space="preserve"> копию указанного </w:t>
            </w:r>
            <w:r w:rsidRPr="00C96FFC">
              <w:rPr>
                <w:rFonts w:ascii="Garamond" w:hAnsi="Garamond"/>
                <w:szCs w:val="22"/>
                <w:lang w:val="ru-RU"/>
              </w:rPr>
              <w:t>договора банковского счета и дополнительного соглашения к нему.</w:t>
            </w:r>
          </w:p>
          <w:p w14:paraId="15D6DA49" w14:textId="77777777" w:rsidR="006723F8" w:rsidRPr="006723F8" w:rsidRDefault="006723F8" w:rsidP="008857DB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96FFC">
              <w:rPr>
                <w:rFonts w:ascii="Garamond" w:hAnsi="Garamond"/>
                <w:color w:val="000000"/>
                <w:szCs w:val="22"/>
                <w:lang w:val="ru-RU"/>
              </w:rPr>
              <w:t xml:space="preserve">Совет рынка не позднее 1 (одного) рабочего дня, считая со дня получения от победителя конкурса указанных документов, </w:t>
            </w:r>
            <w:r w:rsidRPr="00A92C59">
              <w:rPr>
                <w:rFonts w:ascii="Garamond" w:hAnsi="Garamond"/>
                <w:color w:val="000000"/>
                <w:lang w:val="ru-RU"/>
              </w:rPr>
              <w:t>направляет</w:t>
            </w:r>
            <w:r w:rsidRPr="00A92C59">
              <w:rPr>
                <w:rFonts w:ascii="Garamond" w:hAnsi="Garamond" w:cs="Garamond"/>
                <w:lang w:val="ru-RU"/>
              </w:rPr>
              <w:t xml:space="preserve"> </w:t>
            </w:r>
            <w:r w:rsidRPr="00A92C59">
              <w:rPr>
                <w:rFonts w:ascii="Garamond" w:hAnsi="Garamond"/>
                <w:lang w:val="ru-RU"/>
              </w:rPr>
              <w:lastRenderedPageBreak/>
              <w:t>в электронном виде с применением ЭП</w:t>
            </w:r>
            <w:r w:rsidRPr="00A92C59">
              <w:rPr>
                <w:rFonts w:ascii="Garamond" w:hAnsi="Garamond" w:cs="Garamond"/>
                <w:lang w:val="ru-RU"/>
              </w:rPr>
              <w:t xml:space="preserve"> копию дополнительного соглашения к </w:t>
            </w:r>
            <w:r w:rsidRPr="00A92C59">
              <w:rPr>
                <w:rFonts w:ascii="Garamond" w:hAnsi="Garamond"/>
                <w:lang w:val="ru-RU"/>
              </w:rPr>
              <w:t xml:space="preserve">договору банковского счета </w:t>
            </w:r>
            <w:r w:rsidRPr="00C96FFC">
              <w:rPr>
                <w:rFonts w:ascii="Garamond" w:hAnsi="Garamond"/>
                <w:lang w:val="ru-RU"/>
              </w:rPr>
              <w:t xml:space="preserve">(торгового счета) </w:t>
            </w:r>
            <w:r w:rsidRPr="00A92C59">
              <w:rPr>
                <w:rFonts w:ascii="Garamond" w:hAnsi="Garamond"/>
                <w:lang w:val="ru-RU"/>
              </w:rPr>
              <w:t xml:space="preserve">в </w:t>
            </w:r>
            <w:r w:rsidRPr="006723F8">
              <w:rPr>
                <w:rFonts w:ascii="Garamond" w:hAnsi="Garamond"/>
                <w:highlight w:val="yellow"/>
                <w:lang w:val="ru-RU"/>
              </w:rPr>
              <w:t>АТС и</w:t>
            </w:r>
            <w:r w:rsidRPr="00A92C59">
              <w:rPr>
                <w:rFonts w:ascii="Garamond" w:hAnsi="Garamond"/>
                <w:lang w:val="ru-RU"/>
              </w:rPr>
              <w:t xml:space="preserve"> ЦФР</w:t>
            </w:r>
            <w:r w:rsidRPr="00C96FFC">
              <w:rPr>
                <w:rFonts w:ascii="Garamond" w:hAnsi="Garamond"/>
                <w:szCs w:val="22"/>
                <w:lang w:val="ru-RU"/>
              </w:rPr>
              <w:t>.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6E80CD4D" w14:textId="77777777" w:rsidR="006723F8" w:rsidRDefault="006723F8" w:rsidP="008857DB">
            <w:pPr>
              <w:pStyle w:val="a3"/>
              <w:rPr>
                <w:rFonts w:ascii="Garamond" w:hAnsi="Garamond"/>
                <w:color w:val="000000"/>
                <w:szCs w:val="22"/>
                <w:lang w:val="ru-RU"/>
              </w:rPr>
            </w:pPr>
            <w:r>
              <w:rPr>
                <w:rFonts w:ascii="Garamond" w:hAnsi="Garamond"/>
                <w:color w:val="000000"/>
                <w:szCs w:val="22"/>
                <w:lang w:val="ru-RU"/>
              </w:rPr>
              <w:lastRenderedPageBreak/>
              <w:t>…</w:t>
            </w:r>
          </w:p>
          <w:p w14:paraId="5E50F84F" w14:textId="77777777" w:rsidR="006723F8" w:rsidRPr="00C96FFC" w:rsidRDefault="006723F8" w:rsidP="008857DB">
            <w:pPr>
              <w:pStyle w:val="a3"/>
              <w:ind w:firstLine="600"/>
              <w:rPr>
                <w:rFonts w:ascii="Garamond" w:hAnsi="Garamond" w:cs="Garamond"/>
                <w:szCs w:val="22"/>
                <w:lang w:val="ru-RU"/>
              </w:rPr>
            </w:pPr>
            <w:r w:rsidRPr="00E0221E">
              <w:rPr>
                <w:rFonts w:ascii="Garamond" w:hAnsi="Garamond"/>
                <w:color w:val="000000"/>
                <w:szCs w:val="22"/>
                <w:lang w:val="ru-RU"/>
              </w:rPr>
              <w:t xml:space="preserve">Победитель конкурса не позднее 10 (десяти) рабочих дней, считая со дня получения от уполномоченного федерального органа реестра </w:t>
            </w:r>
            <w:r w:rsidRPr="00E0221E">
              <w:rPr>
                <w:rFonts w:ascii="Garamond" w:hAnsi="Garamond"/>
                <w:szCs w:val="22"/>
                <w:lang w:val="ru-RU"/>
              </w:rPr>
              <w:t>конкурсной задолженности</w:t>
            </w:r>
            <w:r w:rsidRPr="00E0221E">
              <w:rPr>
                <w:rFonts w:ascii="Garamond" w:hAnsi="Garamond"/>
                <w:color w:val="000000"/>
                <w:szCs w:val="22"/>
                <w:lang w:val="ru-RU"/>
              </w:rPr>
              <w:t xml:space="preserve"> с распределением</w:t>
            </w:r>
            <w:r w:rsidRPr="00E0221E">
              <w:rPr>
                <w:rFonts w:ascii="Garamond" w:hAnsi="Garamond"/>
                <w:szCs w:val="22"/>
                <w:lang w:val="ru-RU"/>
              </w:rPr>
              <w:t xml:space="preserve">, но не менее чем за 3 (три) рабочих дня до даты проведения расчетов по договорам уступки требования (цессии) с кредиторами – субъектами оптового рынка с использованием торгового счета </w:t>
            </w:r>
            <w:r w:rsidRPr="00E0221E">
              <w:rPr>
                <w:rFonts w:ascii="Garamond" w:hAnsi="Garamond"/>
                <w:color w:val="000000"/>
                <w:szCs w:val="22"/>
                <w:lang w:val="ru-RU"/>
              </w:rPr>
              <w:t xml:space="preserve">обязан заключить с </w:t>
            </w:r>
            <w:r w:rsidRPr="00E0221E">
              <w:rPr>
                <w:rFonts w:ascii="Garamond" w:hAnsi="Garamond" w:cs="Garamond"/>
                <w:szCs w:val="22"/>
                <w:lang w:val="ru-RU"/>
              </w:rPr>
              <w:t>уполномоченной кредитной организацией</w:t>
            </w:r>
            <w:r w:rsidRPr="00E0221E">
              <w:rPr>
                <w:rFonts w:ascii="Garamond" w:hAnsi="Garamond"/>
                <w:color w:val="000000"/>
                <w:szCs w:val="22"/>
                <w:lang w:val="ru-RU"/>
              </w:rPr>
              <w:t xml:space="preserve"> дополнительное соглашение к договору банковского счета в отношении открытого для расчетов на оптовом рынке </w:t>
            </w:r>
            <w:r w:rsidRPr="00C96FFC">
              <w:rPr>
                <w:rFonts w:ascii="Garamond" w:hAnsi="Garamond"/>
                <w:color w:val="000000"/>
                <w:szCs w:val="22"/>
                <w:lang w:val="ru-RU"/>
              </w:rPr>
              <w:t xml:space="preserve">банковского счета </w:t>
            </w:r>
            <w:r w:rsidRPr="00C96FFC">
              <w:rPr>
                <w:rFonts w:ascii="Garamond" w:hAnsi="Garamond"/>
                <w:lang w:val="ru-RU"/>
              </w:rPr>
              <w:t>(торгового счета)</w:t>
            </w:r>
            <w:r w:rsidRPr="00C96FFC">
              <w:rPr>
                <w:rFonts w:ascii="Garamond" w:hAnsi="Garamond" w:cs="Garamond"/>
                <w:szCs w:val="22"/>
                <w:lang w:val="ru-RU"/>
              </w:rPr>
              <w:t xml:space="preserve">, содержащее условие о предоставлении согласия уполномоченной кредитной организации на раскрытие Совету рынка информации по данному счету, и предоставить в Совет рынка </w:t>
            </w:r>
            <w:r w:rsidRPr="00C96FFC">
              <w:rPr>
                <w:rFonts w:ascii="Garamond" w:hAnsi="Garamond"/>
                <w:szCs w:val="22"/>
                <w:lang w:val="ru-RU"/>
              </w:rPr>
              <w:t>в электронном виде с применением ЭП</w:t>
            </w:r>
            <w:r w:rsidRPr="00C96FFC">
              <w:rPr>
                <w:rFonts w:ascii="Garamond" w:hAnsi="Garamond" w:cs="Garamond"/>
                <w:szCs w:val="22"/>
                <w:lang w:val="ru-RU"/>
              </w:rPr>
              <w:t xml:space="preserve"> копию указанного </w:t>
            </w:r>
            <w:r w:rsidRPr="00C96FFC">
              <w:rPr>
                <w:rFonts w:ascii="Garamond" w:hAnsi="Garamond"/>
                <w:szCs w:val="22"/>
                <w:lang w:val="ru-RU"/>
              </w:rPr>
              <w:t>договора банковского счета и дополнительного соглашения к нему.</w:t>
            </w:r>
          </w:p>
          <w:p w14:paraId="6352D9EB" w14:textId="77777777" w:rsidR="006723F8" w:rsidRPr="006723F8" w:rsidRDefault="006723F8" w:rsidP="008857DB">
            <w:pPr>
              <w:pStyle w:val="a3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C96FFC">
              <w:rPr>
                <w:rFonts w:ascii="Garamond" w:hAnsi="Garamond"/>
                <w:color w:val="000000"/>
                <w:szCs w:val="22"/>
                <w:lang w:val="ru-RU"/>
              </w:rPr>
              <w:t xml:space="preserve">Совет рынка не позднее 1 (одного) рабочего дня, считая со дня получения от победителя конкурса указанных документов, </w:t>
            </w:r>
            <w:r w:rsidRPr="00A92C59">
              <w:rPr>
                <w:rFonts w:ascii="Garamond" w:hAnsi="Garamond"/>
                <w:color w:val="000000"/>
                <w:lang w:val="ru-RU"/>
              </w:rPr>
              <w:t>направляет</w:t>
            </w:r>
            <w:r w:rsidRPr="00A92C59">
              <w:rPr>
                <w:rFonts w:ascii="Garamond" w:hAnsi="Garamond" w:cs="Garamond"/>
                <w:lang w:val="ru-RU"/>
              </w:rPr>
              <w:t xml:space="preserve"> </w:t>
            </w:r>
            <w:r w:rsidRPr="00A92C59">
              <w:rPr>
                <w:rFonts w:ascii="Garamond" w:hAnsi="Garamond"/>
                <w:lang w:val="ru-RU"/>
              </w:rPr>
              <w:t xml:space="preserve">в </w:t>
            </w:r>
            <w:r w:rsidRPr="00A92C59">
              <w:rPr>
                <w:rFonts w:ascii="Garamond" w:hAnsi="Garamond"/>
                <w:lang w:val="ru-RU"/>
              </w:rPr>
              <w:lastRenderedPageBreak/>
              <w:t>электронном виде с применением ЭП</w:t>
            </w:r>
            <w:r w:rsidRPr="00A92C59">
              <w:rPr>
                <w:rFonts w:ascii="Garamond" w:hAnsi="Garamond" w:cs="Garamond"/>
                <w:lang w:val="ru-RU"/>
              </w:rPr>
              <w:t xml:space="preserve"> копию дополнительного соглашения к </w:t>
            </w:r>
            <w:r w:rsidRPr="00A92C59">
              <w:rPr>
                <w:rFonts w:ascii="Garamond" w:hAnsi="Garamond"/>
                <w:lang w:val="ru-RU"/>
              </w:rPr>
              <w:t xml:space="preserve">договору банковского счета </w:t>
            </w:r>
            <w:r w:rsidRPr="00C96FFC">
              <w:rPr>
                <w:rFonts w:ascii="Garamond" w:hAnsi="Garamond"/>
                <w:lang w:val="ru-RU"/>
              </w:rPr>
              <w:t xml:space="preserve">(торгового счета) </w:t>
            </w:r>
            <w:r>
              <w:rPr>
                <w:rFonts w:ascii="Garamond" w:hAnsi="Garamond"/>
                <w:lang w:val="ru-RU"/>
              </w:rPr>
              <w:t>в</w:t>
            </w:r>
            <w:r w:rsidRPr="00A92C59">
              <w:rPr>
                <w:rFonts w:ascii="Garamond" w:hAnsi="Garamond"/>
                <w:lang w:val="ru-RU"/>
              </w:rPr>
              <w:t xml:space="preserve"> ЦФР</w:t>
            </w:r>
            <w:r w:rsidRPr="00C96FFC">
              <w:rPr>
                <w:rFonts w:ascii="Garamond" w:hAnsi="Garamond"/>
                <w:szCs w:val="22"/>
                <w:lang w:val="ru-RU"/>
              </w:rPr>
              <w:t>.</w:t>
            </w:r>
          </w:p>
        </w:tc>
      </w:tr>
    </w:tbl>
    <w:p w14:paraId="30A7D9DC" w14:textId="5259AB78" w:rsidR="00137EF1" w:rsidRDefault="00137EF1" w:rsidP="002F133D">
      <w:bookmarkStart w:id="0" w:name="_GoBack"/>
      <w:bookmarkEnd w:id="0"/>
    </w:p>
    <w:p w14:paraId="19AE6630" w14:textId="401B898C" w:rsidR="004A2C87" w:rsidRPr="00491704" w:rsidRDefault="004A2C87" w:rsidP="008857DB">
      <w:pPr>
        <w:spacing w:after="0" w:line="240" w:lineRule="auto"/>
        <w:rPr>
          <w:rFonts w:ascii="Garamond" w:hAnsi="Garamond"/>
          <w:b/>
          <w:iCs/>
          <w:sz w:val="26"/>
          <w:szCs w:val="26"/>
        </w:rPr>
      </w:pPr>
      <w:r w:rsidRPr="00491704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="00491704" w:rsidRPr="00491704">
        <w:rPr>
          <w:rFonts w:ascii="Garamond" w:hAnsi="Garamond"/>
          <w:b/>
          <w:bCs/>
          <w:sz w:val="26"/>
          <w:szCs w:val="26"/>
        </w:rPr>
        <w:t>СОГЛАШЕНИЕ О П</w:t>
      </w:r>
      <w:r w:rsidR="008857DB">
        <w:rPr>
          <w:rFonts w:ascii="Garamond" w:hAnsi="Garamond"/>
          <w:b/>
          <w:bCs/>
          <w:sz w:val="26"/>
          <w:szCs w:val="26"/>
        </w:rPr>
        <w:t>РИМЕНЕНИИ ЭЛЕКТРОННОЙ ПОДПИСИ В </w:t>
      </w:r>
      <w:r w:rsidR="00491704" w:rsidRPr="00491704">
        <w:rPr>
          <w:rFonts w:ascii="Garamond" w:hAnsi="Garamond"/>
          <w:b/>
          <w:bCs/>
          <w:sz w:val="26"/>
          <w:szCs w:val="26"/>
        </w:rPr>
        <w:t>ТОРГОВОЙ СИСТЕМЕ ОПТОВОГО РЫНКА</w:t>
      </w:r>
      <w:r w:rsidRPr="00491704">
        <w:rPr>
          <w:rFonts w:ascii="Garamond" w:hAnsi="Garamond"/>
          <w:b/>
          <w:iCs/>
          <w:sz w:val="26"/>
          <w:szCs w:val="26"/>
        </w:rPr>
        <w:t xml:space="preserve"> (</w:t>
      </w:r>
      <w:r w:rsidRPr="00491704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491704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491704">
        <w:rPr>
          <w:rFonts w:ascii="Garamond" w:hAnsi="Garamond"/>
          <w:b/>
          <w:iCs/>
          <w:sz w:val="26"/>
          <w:szCs w:val="26"/>
        </w:rPr>
        <w:t>)</w:t>
      </w:r>
    </w:p>
    <w:p w14:paraId="2305D9F9" w14:textId="77777777" w:rsidR="008857DB" w:rsidRDefault="008857DB" w:rsidP="008857DB">
      <w:pPr>
        <w:spacing w:after="0" w:line="240" w:lineRule="auto"/>
        <w:jc w:val="both"/>
        <w:rPr>
          <w:rFonts w:ascii="Garamond" w:hAnsi="Garamond"/>
          <w:b/>
          <w:iCs/>
          <w:sz w:val="24"/>
          <w:szCs w:val="24"/>
        </w:rPr>
      </w:pPr>
    </w:p>
    <w:p w14:paraId="5292FA08" w14:textId="53E2CB67" w:rsidR="004A2C87" w:rsidRDefault="004A2C87" w:rsidP="008857D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57DB">
        <w:rPr>
          <w:rFonts w:ascii="Garamond" w:hAnsi="Garamond"/>
          <w:b/>
          <w:iCs/>
          <w:sz w:val="24"/>
          <w:szCs w:val="24"/>
        </w:rPr>
        <w:t xml:space="preserve">Удалить позицию в </w:t>
      </w:r>
      <w:r w:rsidRPr="008857DB">
        <w:rPr>
          <w:rFonts w:ascii="Garamond" w:hAnsi="Garamond"/>
          <w:b/>
          <w:sz w:val="24"/>
          <w:szCs w:val="24"/>
        </w:rPr>
        <w:t>при</w:t>
      </w:r>
      <w:r w:rsidR="001339D4">
        <w:rPr>
          <w:rFonts w:ascii="Garamond" w:hAnsi="Garamond"/>
          <w:b/>
          <w:sz w:val="24"/>
          <w:szCs w:val="24"/>
        </w:rPr>
        <w:t xml:space="preserve">ложении 2 к Правилам </w:t>
      </w:r>
      <w:proofErr w:type="spellStart"/>
      <w:r w:rsidR="001339D4">
        <w:rPr>
          <w:rFonts w:ascii="Garamond" w:hAnsi="Garamond"/>
          <w:b/>
          <w:sz w:val="24"/>
          <w:szCs w:val="24"/>
        </w:rPr>
        <w:t>ЭДО</w:t>
      </w:r>
      <w:proofErr w:type="spellEnd"/>
      <w:r w:rsidR="001339D4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="001339D4">
        <w:rPr>
          <w:rFonts w:ascii="Garamond" w:hAnsi="Garamond"/>
          <w:b/>
          <w:sz w:val="24"/>
          <w:szCs w:val="24"/>
        </w:rPr>
        <w:t>СЭД</w:t>
      </w:r>
      <w:proofErr w:type="spellEnd"/>
      <w:r w:rsidR="001339D4">
        <w:rPr>
          <w:rFonts w:ascii="Garamond" w:hAnsi="Garamond"/>
          <w:b/>
          <w:sz w:val="24"/>
          <w:szCs w:val="24"/>
        </w:rPr>
        <w:t xml:space="preserve"> КО</w:t>
      </w:r>
    </w:p>
    <w:p w14:paraId="3EA21705" w14:textId="6B59E42B" w:rsidR="001339D4" w:rsidRDefault="001339D4" w:rsidP="008857DB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W w:w="14520" w:type="dxa"/>
        <w:jc w:val="center"/>
        <w:tblLayout w:type="fixed"/>
        <w:tblLook w:val="00A0" w:firstRow="1" w:lastRow="0" w:firstColumn="1" w:lastColumn="0" w:noHBand="0" w:noVBand="0"/>
      </w:tblPr>
      <w:tblGrid>
        <w:gridCol w:w="846"/>
        <w:gridCol w:w="3255"/>
        <w:gridCol w:w="997"/>
        <w:gridCol w:w="851"/>
        <w:gridCol w:w="767"/>
        <w:gridCol w:w="795"/>
        <w:gridCol w:w="848"/>
        <w:gridCol w:w="992"/>
        <w:gridCol w:w="851"/>
        <w:gridCol w:w="1700"/>
        <w:gridCol w:w="1060"/>
        <w:gridCol w:w="708"/>
        <w:gridCol w:w="850"/>
      </w:tblGrid>
      <w:tr w:rsidR="004A2C87" w:rsidRPr="001339D4" w14:paraId="4D9A91F1" w14:textId="77777777" w:rsidTr="001339D4">
        <w:trPr>
          <w:trHeight w:val="7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B8EE064" w14:textId="77777777" w:rsidR="004A2C87" w:rsidRPr="001339D4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OLE_LINK1"/>
            <w:r w:rsidRPr="001339D4">
              <w:rPr>
                <w:rFonts w:ascii="Arial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3435436" w14:textId="77777777" w:rsidR="004A2C87" w:rsidRPr="001339D4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29028D6F" w14:textId="77777777" w:rsidR="004A2C87" w:rsidRPr="001339D4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61F8B1CA" w14:textId="6F06B93E" w:rsidR="004A2C87" w:rsidRPr="001339D4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sz w:val="18"/>
                <w:szCs w:val="18"/>
              </w:rPr>
              <w:t>Формат</w:t>
            </w:r>
            <w:r w:rsidR="001339D4" w:rsidRPr="001339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339D4" w:rsidRPr="001339D4">
              <w:rPr>
                <w:rFonts w:ascii="Arial" w:hAnsi="Arial" w:cs="Arial"/>
                <w:color w:val="000000"/>
                <w:sz w:val="18"/>
                <w:szCs w:val="18"/>
              </w:rPr>
              <w:t>содержательной части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1CC983C0" w14:textId="77777777" w:rsidR="004A2C87" w:rsidRPr="001339D4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79D02FC4" w14:textId="77777777" w:rsidR="004A2C87" w:rsidRPr="001339D4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2C57C4C" w14:textId="77777777" w:rsidR="004A2C87" w:rsidRPr="001339D4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2D3E4075" w14:textId="0ECB79EE" w:rsidR="004A2C87" w:rsidRPr="001339D4" w:rsidRDefault="001339D4" w:rsidP="001339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  <w:r w:rsidRPr="001339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83BA1F8" w14:textId="6CD4F672" w:rsidR="004A2C87" w:rsidRPr="001339D4" w:rsidRDefault="001339D4" w:rsidP="001339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  <w:r w:rsidRPr="001339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2C17C4A" w14:textId="77BCD275" w:rsidR="004A2C87" w:rsidRPr="001339D4" w:rsidRDefault="001339D4" w:rsidP="001339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</w:t>
            </w:r>
            <w:proofErr w:type="spellStart"/>
            <w:r w:rsidRPr="001339D4">
              <w:rPr>
                <w:rFonts w:ascii="Arial" w:hAnsi="Arial" w:cs="Arial"/>
                <w:color w:val="000000"/>
                <w:sz w:val="18"/>
                <w:szCs w:val="18"/>
              </w:rPr>
              <w:t>OID</w:t>
            </w:r>
            <w:proofErr w:type="spellEnd"/>
            <w:r w:rsidRPr="001339D4">
              <w:rPr>
                <w:rFonts w:ascii="Arial" w:hAnsi="Arial" w:cs="Arial"/>
                <w:color w:val="000000"/>
                <w:sz w:val="18"/>
                <w:szCs w:val="18"/>
              </w:rPr>
              <w:t xml:space="preserve">), определяющий требуемые для подписания ЭД полномочия представителя участника </w:t>
            </w:r>
            <w:proofErr w:type="spellStart"/>
            <w:r w:rsidRPr="001339D4">
              <w:rPr>
                <w:rFonts w:ascii="Arial" w:hAnsi="Arial" w:cs="Arial"/>
                <w:color w:val="000000"/>
                <w:sz w:val="18"/>
                <w:szCs w:val="18"/>
              </w:rPr>
              <w:t>ЭДО</w:t>
            </w:r>
            <w:proofErr w:type="spellEnd"/>
            <w:r w:rsidRPr="001339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43C9EA84" w14:textId="5022333E" w:rsidR="004A2C87" w:rsidRPr="001339D4" w:rsidRDefault="001339D4" w:rsidP="001339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color w:val="000000"/>
                <w:sz w:val="18"/>
                <w:szCs w:val="18"/>
              </w:rPr>
              <w:t>ПО для отображения и изготовления бумажных копий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</w:tcPr>
          <w:p w14:paraId="3436964E" w14:textId="4B14C284" w:rsidR="004A2C87" w:rsidRPr="001339D4" w:rsidRDefault="004A2C87" w:rsidP="001339D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sz w:val="18"/>
                <w:szCs w:val="18"/>
              </w:rPr>
              <w:t>Срок хранения в архиве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D310BB3" w14:textId="77777777" w:rsidR="004A2C87" w:rsidRPr="001339D4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9D4">
              <w:rPr>
                <w:rFonts w:ascii="Arial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4A2C87" w:rsidRPr="008857DB" w14:paraId="5FBB5C37" w14:textId="77777777" w:rsidTr="001339D4">
        <w:trPr>
          <w:trHeight w:val="7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A211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57DB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SR_ATS_P208_P219_IMPLCONFIRM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F4601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7DB">
              <w:rPr>
                <w:rFonts w:ascii="Arial" w:hAnsi="Arial" w:cs="Arial"/>
                <w:sz w:val="18"/>
                <w:szCs w:val="18"/>
              </w:rPr>
              <w:t xml:space="preserve">Документы, подтверждающие выполнение требований пункта 208 и пункта 219 Основных положений функционирования розничных рынков организацией, признанной победителем конкурса на присвоение статуса </w:t>
            </w:r>
            <w:proofErr w:type="spellStart"/>
            <w:r w:rsidRPr="008857DB">
              <w:rPr>
                <w:rFonts w:ascii="Arial" w:hAnsi="Arial" w:cs="Arial"/>
                <w:sz w:val="18"/>
                <w:szCs w:val="18"/>
              </w:rPr>
              <w:t>ГП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DA0C7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57DB">
              <w:rPr>
                <w:rFonts w:ascii="Arial" w:hAnsi="Arial" w:cs="Arial"/>
                <w:sz w:val="18"/>
                <w:szCs w:val="18"/>
              </w:rPr>
              <w:t>Регламент № 16,</w:t>
            </w:r>
            <w:r w:rsidRPr="008857D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C1DDB6A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7DB">
              <w:rPr>
                <w:rFonts w:ascii="Arial" w:hAnsi="Arial" w:cs="Arial"/>
                <w:sz w:val="18"/>
                <w:szCs w:val="18"/>
              </w:rPr>
              <w:t xml:space="preserve">п. 23.5.1.1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6BA5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857DB">
              <w:rPr>
                <w:rFonts w:ascii="Arial" w:hAnsi="Arial" w:cs="Arial"/>
                <w:sz w:val="18"/>
                <w:szCs w:val="18"/>
                <w:lang w:val="en-US"/>
              </w:rPr>
              <w:t>pdf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94F6B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7DB">
              <w:rPr>
                <w:rFonts w:ascii="Arial" w:hAnsi="Arial" w:cs="Arial"/>
                <w:sz w:val="18"/>
                <w:szCs w:val="18"/>
              </w:rPr>
              <w:t>Совет рынка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87160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7DB">
              <w:rPr>
                <w:rFonts w:ascii="Arial" w:hAnsi="Arial" w:cs="Arial"/>
                <w:sz w:val="18"/>
                <w:szCs w:val="18"/>
              </w:rPr>
              <w:t>АТС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21783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7DB">
              <w:rPr>
                <w:rFonts w:ascii="Arial" w:hAnsi="Arial" w:cs="Arial"/>
                <w:sz w:val="18"/>
                <w:szCs w:val="18"/>
              </w:rPr>
              <w:t>электронная почта (</w:t>
            </w:r>
            <w:r w:rsidRPr="008857DB">
              <w:rPr>
                <w:rFonts w:ascii="Arial" w:hAnsi="Arial" w:cs="Arial"/>
                <w:sz w:val="18"/>
                <w:szCs w:val="18"/>
                <w:lang w:val="en-GB"/>
              </w:rPr>
              <w:t>ASPMailer</w:t>
            </w:r>
            <w:r w:rsidRPr="008857D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CD9CE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7D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C7CD1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7DB">
              <w:rPr>
                <w:rFonts w:ascii="Arial" w:hAnsi="Arial" w:cs="Arial"/>
                <w:sz w:val="18"/>
                <w:szCs w:val="18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D349F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7DB">
              <w:rPr>
                <w:rFonts w:ascii="Arial" w:hAnsi="Arial" w:cs="Arial"/>
                <w:sz w:val="18"/>
                <w:szCs w:val="18"/>
              </w:rPr>
              <w:t>1.3.6.1.4.1.18545.1.2.1.10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8714E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8857D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Adobe</w:t>
            </w:r>
            <w:proofErr w:type="spellEnd"/>
            <w:r w:rsidRPr="008857D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857DB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Reader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FAA5C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57DB">
              <w:rPr>
                <w:rFonts w:ascii="Arial" w:hAnsi="Arial" w:cs="Arial"/>
                <w:sz w:val="18"/>
                <w:szCs w:val="18"/>
              </w:rPr>
              <w:t>10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749E9" w14:textId="77777777" w:rsidR="004A2C87" w:rsidRPr="008857DB" w:rsidRDefault="004A2C87" w:rsidP="008857D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D8746A8" w14:textId="77777777" w:rsidR="004A2C87" w:rsidRDefault="004A2C87" w:rsidP="00491704"/>
    <w:sectPr w:rsidR="004A2C87" w:rsidSect="008857DB">
      <w:pgSz w:w="16838" w:h="11906" w:orient="landscape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6A6"/>
    <w:multiLevelType w:val="hybridMultilevel"/>
    <w:tmpl w:val="97228AA2"/>
    <w:lvl w:ilvl="0" w:tplc="DDA820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E0160CB"/>
    <w:multiLevelType w:val="hybridMultilevel"/>
    <w:tmpl w:val="1090B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7469C3"/>
    <w:multiLevelType w:val="hybridMultilevel"/>
    <w:tmpl w:val="3B581BEA"/>
    <w:lvl w:ilvl="0" w:tplc="46D010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6EA5"/>
    <w:multiLevelType w:val="hybridMultilevel"/>
    <w:tmpl w:val="157823B2"/>
    <w:styleLink w:val="2"/>
    <w:lvl w:ilvl="0" w:tplc="DCD2E5F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4E01EA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4D238">
      <w:start w:val="1"/>
      <w:numFmt w:val="lowerRoman"/>
      <w:lvlText w:val="%3."/>
      <w:lvlJc w:val="left"/>
      <w:pPr>
        <w:ind w:left="144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65E62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BAFD78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2D080">
      <w:start w:val="1"/>
      <w:numFmt w:val="lowerRoman"/>
      <w:lvlText w:val="%6."/>
      <w:lvlJc w:val="left"/>
      <w:pPr>
        <w:ind w:left="360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1EC450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3862B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A47B8">
      <w:start w:val="1"/>
      <w:numFmt w:val="lowerRoman"/>
      <w:lvlText w:val="%9."/>
      <w:lvlJc w:val="left"/>
      <w:pPr>
        <w:ind w:left="5760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2426FB"/>
    <w:multiLevelType w:val="hybridMultilevel"/>
    <w:tmpl w:val="32A43DF2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8681A"/>
    <w:multiLevelType w:val="hybridMultilevel"/>
    <w:tmpl w:val="764A5B24"/>
    <w:lvl w:ilvl="0" w:tplc="4BF09996">
      <w:start w:val="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55F729D"/>
    <w:multiLevelType w:val="hybridMultilevel"/>
    <w:tmpl w:val="830E4B38"/>
    <w:lvl w:ilvl="0" w:tplc="4BF0999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B7926"/>
    <w:multiLevelType w:val="multilevel"/>
    <w:tmpl w:val="056C60F8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8" w15:restartNumberingAfterBreak="0">
    <w:nsid w:val="79090E46"/>
    <w:multiLevelType w:val="multilevel"/>
    <w:tmpl w:val="8CCE4BC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9824C84"/>
    <w:multiLevelType w:val="hybridMultilevel"/>
    <w:tmpl w:val="48AA19DE"/>
    <w:lvl w:ilvl="0" w:tplc="EFD2CA96">
      <w:start w:val="1"/>
      <w:numFmt w:val="decimal"/>
      <w:lvlText w:val="%1."/>
      <w:lvlJc w:val="left"/>
      <w:pPr>
        <w:ind w:left="720" w:hanging="360"/>
      </w:pPr>
      <w:rPr>
        <w:color w:val="auto"/>
        <w:sz w:val="12"/>
      </w:rPr>
    </w:lvl>
    <w:lvl w:ilvl="1" w:tplc="703639BC">
      <w:start w:val="1"/>
      <w:numFmt w:val="lowerLetter"/>
      <w:lvlText w:val="%2."/>
      <w:lvlJc w:val="left"/>
      <w:pPr>
        <w:ind w:left="1440" w:hanging="360"/>
      </w:pPr>
    </w:lvl>
    <w:lvl w:ilvl="2" w:tplc="4A18FDA2">
      <w:start w:val="1"/>
      <w:numFmt w:val="lowerRoman"/>
      <w:lvlText w:val="%3."/>
      <w:lvlJc w:val="right"/>
      <w:pPr>
        <w:ind w:left="2160" w:hanging="180"/>
      </w:pPr>
    </w:lvl>
    <w:lvl w:ilvl="3" w:tplc="E4A05CA0">
      <w:start w:val="1"/>
      <w:numFmt w:val="decimal"/>
      <w:lvlText w:val="%4."/>
      <w:lvlJc w:val="left"/>
      <w:pPr>
        <w:ind w:left="2880" w:hanging="360"/>
      </w:pPr>
    </w:lvl>
    <w:lvl w:ilvl="4" w:tplc="DC649402">
      <w:start w:val="1"/>
      <w:numFmt w:val="lowerLetter"/>
      <w:lvlText w:val="%5."/>
      <w:lvlJc w:val="left"/>
      <w:pPr>
        <w:ind w:left="3600" w:hanging="360"/>
      </w:pPr>
    </w:lvl>
    <w:lvl w:ilvl="5" w:tplc="8970114E">
      <w:start w:val="1"/>
      <w:numFmt w:val="lowerRoman"/>
      <w:lvlText w:val="%6."/>
      <w:lvlJc w:val="right"/>
      <w:pPr>
        <w:ind w:left="4320" w:hanging="180"/>
      </w:pPr>
    </w:lvl>
    <w:lvl w:ilvl="6" w:tplc="62AE39FA">
      <w:start w:val="1"/>
      <w:numFmt w:val="decimal"/>
      <w:lvlText w:val="%7."/>
      <w:lvlJc w:val="left"/>
      <w:pPr>
        <w:ind w:left="5040" w:hanging="360"/>
      </w:pPr>
    </w:lvl>
    <w:lvl w:ilvl="7" w:tplc="933ABA8A">
      <w:start w:val="1"/>
      <w:numFmt w:val="lowerLetter"/>
      <w:lvlText w:val="%8."/>
      <w:lvlJc w:val="left"/>
      <w:pPr>
        <w:ind w:left="5760" w:hanging="360"/>
      </w:pPr>
    </w:lvl>
    <w:lvl w:ilvl="8" w:tplc="BCB4BE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711D5A"/>
    <w:multiLevelType w:val="multilevel"/>
    <w:tmpl w:val="9F528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F1"/>
    <w:rsid w:val="00012484"/>
    <w:rsid w:val="00041F06"/>
    <w:rsid w:val="000A2BE8"/>
    <w:rsid w:val="000C05B4"/>
    <w:rsid w:val="000E309C"/>
    <w:rsid w:val="000F2840"/>
    <w:rsid w:val="001243C2"/>
    <w:rsid w:val="001339D4"/>
    <w:rsid w:val="00136FE5"/>
    <w:rsid w:val="00137EF1"/>
    <w:rsid w:val="001E0549"/>
    <w:rsid w:val="002244C0"/>
    <w:rsid w:val="00286921"/>
    <w:rsid w:val="00290B6D"/>
    <w:rsid w:val="002F133D"/>
    <w:rsid w:val="003151DD"/>
    <w:rsid w:val="003244A8"/>
    <w:rsid w:val="00336AE3"/>
    <w:rsid w:val="00343B72"/>
    <w:rsid w:val="0035245B"/>
    <w:rsid w:val="00407824"/>
    <w:rsid w:val="00424B9F"/>
    <w:rsid w:val="004837B2"/>
    <w:rsid w:val="00491704"/>
    <w:rsid w:val="00497B76"/>
    <w:rsid w:val="004A2C87"/>
    <w:rsid w:val="004A40DD"/>
    <w:rsid w:val="004B6822"/>
    <w:rsid w:val="004C6E57"/>
    <w:rsid w:val="00516801"/>
    <w:rsid w:val="00570E63"/>
    <w:rsid w:val="0059416E"/>
    <w:rsid w:val="005E00F9"/>
    <w:rsid w:val="005F7547"/>
    <w:rsid w:val="006723F8"/>
    <w:rsid w:val="006A1BB1"/>
    <w:rsid w:val="006B320D"/>
    <w:rsid w:val="0072787A"/>
    <w:rsid w:val="00751C3C"/>
    <w:rsid w:val="007643F2"/>
    <w:rsid w:val="007A2414"/>
    <w:rsid w:val="007C1592"/>
    <w:rsid w:val="007F0598"/>
    <w:rsid w:val="007F7C83"/>
    <w:rsid w:val="00805822"/>
    <w:rsid w:val="008857DB"/>
    <w:rsid w:val="008A3F55"/>
    <w:rsid w:val="008E6499"/>
    <w:rsid w:val="0090041A"/>
    <w:rsid w:val="0091509E"/>
    <w:rsid w:val="00974B67"/>
    <w:rsid w:val="0098235A"/>
    <w:rsid w:val="009A3A7D"/>
    <w:rsid w:val="00A24EEA"/>
    <w:rsid w:val="00A752B3"/>
    <w:rsid w:val="00A7722D"/>
    <w:rsid w:val="00AC5CBA"/>
    <w:rsid w:val="00AE108D"/>
    <w:rsid w:val="00AE328B"/>
    <w:rsid w:val="00B24E76"/>
    <w:rsid w:val="00B82B49"/>
    <w:rsid w:val="00BA49D2"/>
    <w:rsid w:val="00BC0DE2"/>
    <w:rsid w:val="00BD5C0E"/>
    <w:rsid w:val="00C21AE2"/>
    <w:rsid w:val="00C27BFC"/>
    <w:rsid w:val="00C8157E"/>
    <w:rsid w:val="00C832F3"/>
    <w:rsid w:val="00CB55A4"/>
    <w:rsid w:val="00CD3969"/>
    <w:rsid w:val="00D31D52"/>
    <w:rsid w:val="00D50F94"/>
    <w:rsid w:val="00DB59E3"/>
    <w:rsid w:val="00DD34C2"/>
    <w:rsid w:val="00DF1BB3"/>
    <w:rsid w:val="00E11139"/>
    <w:rsid w:val="00E9571D"/>
    <w:rsid w:val="00ED79CD"/>
    <w:rsid w:val="00F12CFD"/>
    <w:rsid w:val="00F77ED1"/>
    <w:rsid w:val="00FD63F1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9AD7"/>
  <w15:chartTrackingRefBased/>
  <w15:docId w15:val="{3EFFCF55-1A77-4D77-8CC6-675943BA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Garamond" w:eastAsia="Times New Roman" w:hAnsi="Garamond" w:cs="Garamond"/>
      <w:b/>
      <w:caps/>
      <w:color w:val="000000"/>
      <w:kern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tabs>
        <w:tab w:val="num" w:pos="0"/>
      </w:tabs>
      <w:spacing w:before="120" w:after="120" w:line="240" w:lineRule="auto"/>
      <w:jc w:val="both"/>
      <w:outlineLvl w:val="2"/>
    </w:pPr>
    <w:rPr>
      <w:rFonts w:ascii="Garamond" w:eastAsia="Times New Roman" w:hAnsi="Garamond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1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a4">
    <w:name w:val="Основной текст Знак"/>
    <w:basedOn w:val="a0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paragraph" w:styleId="aa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Pr>
      <w:b/>
      <w:bCs/>
      <w:sz w:val="20"/>
      <w:szCs w:val="20"/>
    </w:rPr>
  </w:style>
  <w:style w:type="paragraph" w:styleId="ac">
    <w:name w:val="List Paragraph"/>
    <w:basedOn w:val="a"/>
    <w:link w:val="ad"/>
    <w:uiPriority w:val="34"/>
    <w:qFormat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d">
    <w:name w:val="Абзац списка Знак"/>
    <w:link w:val="ac"/>
    <w:rPr>
      <w:rFonts w:ascii="Times New Roman" w:eastAsia="Calibri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Times New Roman" w:hAnsi="Garamond" w:cs="Times New Roman"/>
      <w:color w:val="000000"/>
    </w:rPr>
  </w:style>
  <w:style w:type="paragraph" w:customStyle="1" w:styleId="Iauiue">
    <w:name w:val="Iau?iu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Знак2"/>
    <w:aliases w:val="body text Знак2,Основной текст Знак3"/>
    <w:rPr>
      <w:sz w:val="22"/>
      <w:lang w:val="en-GB" w:eastAsia="en-US" w:bidi="ar-SA"/>
    </w:rPr>
  </w:style>
  <w:style w:type="paragraph" w:styleId="ae">
    <w:name w:val="Revision"/>
    <w:hidden/>
    <w:uiPriority w:val="99"/>
    <w:semiHidden/>
    <w:pPr>
      <w:spacing w:after="0" w:line="240" w:lineRule="auto"/>
    </w:pPr>
  </w:style>
  <w:style w:type="paragraph" w:customStyle="1" w:styleId="110">
    <w:name w:val="Обычный + 11 пт"/>
    <w:aliases w:val="По ширине"/>
    <w:basedOn w:val="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pPr>
      <w:numPr>
        <w:numId w:val="5"/>
      </w:numPr>
    </w:pPr>
  </w:style>
  <w:style w:type="paragraph" w:customStyle="1" w:styleId="msolistparagraph0">
    <w:name w:val="msolist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3">
    <w:name w:val="Абзац списка2"/>
    <w:basedOn w:val="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4">
    <w:name w:val="Основной текст Знак4"/>
    <w:aliases w:val="body text Знак3"/>
    <w:rPr>
      <w:sz w:val="22"/>
      <w:lang w:val="en-GB" w:eastAsia="en-US" w:bidi="ar-SA"/>
    </w:rPr>
  </w:style>
  <w:style w:type="paragraph" w:customStyle="1" w:styleId="subsubclauseindent">
    <w:name w:val="subsubclauseindent"/>
    <w:basedOn w:val="a"/>
    <w:pPr>
      <w:spacing w:before="120" w:after="120" w:line="240" w:lineRule="auto"/>
      <w:ind w:left="2552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styleId="af4">
    <w:name w:val="Subtitle"/>
    <w:basedOn w:val="a"/>
    <w:next w:val="a"/>
    <w:link w:val="af5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Pr>
      <w:rFonts w:eastAsiaTheme="minorEastAsia"/>
      <w:color w:val="5A5A5A" w:themeColor="text1" w:themeTint="A5"/>
      <w:spacing w:val="15"/>
    </w:rPr>
  </w:style>
  <w:style w:type="paragraph" w:styleId="af6">
    <w:name w:val="Body Text Indent"/>
    <w:basedOn w:val="a"/>
    <w:link w:val="af7"/>
    <w:uiPriority w:val="99"/>
    <w:unhideWhenUsed/>
    <w:pPr>
      <w:spacing w:after="120" w:line="360" w:lineRule="auto"/>
      <w:ind w:left="283" w:firstLine="709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rFonts w:ascii="Times New Roman" w:eastAsia="Calibri" w:hAnsi="Times New Roman" w:cs="Times New Roman"/>
      <w:sz w:val="24"/>
    </w:rPr>
  </w:style>
  <w:style w:type="character" w:styleId="af8">
    <w:name w:val="Hyperlink"/>
    <w:basedOn w:val="a0"/>
    <w:uiPriority w:val="99"/>
    <w:semiHidden/>
    <w:unhideWhenUsed/>
    <w:rPr>
      <w:color w:val="0563C1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6"/>
      <w:szCs w:val="16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color w:val="000000"/>
      <w:sz w:val="14"/>
      <w:szCs w:val="14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i/>
      <w:iCs/>
      <w:sz w:val="16"/>
      <w:szCs w:val="16"/>
      <w:lang w:eastAsia="ru-RU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6">
    <w:name w:val="xl76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7">
    <w:name w:val="xl77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8">
    <w:name w:val="xl78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1">
    <w:name w:val="xl81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5">
    <w:name w:val="xl85"/>
    <w:basedOn w:val="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9">
    <w:name w:val="xl8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0">
    <w:name w:val="xl9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6">
    <w:name w:val="xl9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98">
    <w:name w:val="xl9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4"/>
      <w:szCs w:val="14"/>
      <w:lang w:eastAsia="ru-RU"/>
    </w:rPr>
  </w:style>
  <w:style w:type="paragraph" w:customStyle="1" w:styleId="xl104">
    <w:name w:val="xl10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fa">
    <w:name w:val="Table Grid"/>
    <w:basedOn w:val="a1"/>
    <w:uiPriority w:val="39"/>
    <w:pPr>
      <w:spacing w:before="180" w:after="6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AC994-1FB6-471E-BAC1-BF5FFC644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Дряницын Евгений Алексеевич</dc:creator>
  <cp:keywords/>
  <dc:description/>
  <cp:lastModifiedBy>Пряхина Ирина Игоревна</cp:lastModifiedBy>
  <cp:revision>9</cp:revision>
  <dcterms:created xsi:type="dcterms:W3CDTF">2023-06-16T06:56:00Z</dcterms:created>
  <dcterms:modified xsi:type="dcterms:W3CDTF">2023-06-23T12:21:00Z</dcterms:modified>
</cp:coreProperties>
</file>