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60" w:rsidRPr="00FC34ED" w:rsidRDefault="004673D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I</w:t>
      </w:r>
      <w:r w:rsidRPr="004673D4">
        <w:rPr>
          <w:rFonts w:ascii="Garamond" w:hAnsi="Garamond"/>
          <w:b/>
          <w:bCs/>
          <w:sz w:val="28"/>
          <w:szCs w:val="28"/>
        </w:rPr>
        <w:t xml:space="preserve">.4. </w:t>
      </w:r>
      <w:r w:rsidR="008C59A8" w:rsidRPr="00FC34ED">
        <w:rPr>
          <w:rFonts w:ascii="Garamond" w:hAnsi="Garamond"/>
          <w:b/>
          <w:sz w:val="28"/>
          <w:szCs w:val="28"/>
        </w:rPr>
        <w:t>Изменения, связанные с включением в Сводный реестр платежей обязательств по оплате неустойки (пени)</w:t>
      </w:r>
    </w:p>
    <w:p w:rsidR="00FC34ED" w:rsidRDefault="00FC34ED" w:rsidP="00FC34ED">
      <w:pPr>
        <w:jc w:val="right"/>
        <w:rPr>
          <w:rFonts w:ascii="Garamond" w:hAnsi="Garamond"/>
          <w:b/>
          <w:bCs/>
          <w:sz w:val="28"/>
          <w:szCs w:val="28"/>
        </w:rPr>
      </w:pPr>
    </w:p>
    <w:p w:rsidR="004673D4" w:rsidRDefault="00DC500C" w:rsidP="00924714">
      <w:pPr>
        <w:ind w:right="140"/>
        <w:jc w:val="right"/>
        <w:rPr>
          <w:rFonts w:ascii="Garamond" w:hAnsi="Garamond"/>
          <w:b/>
          <w:bCs/>
          <w:sz w:val="28"/>
          <w:szCs w:val="28"/>
        </w:rPr>
      </w:pPr>
      <w:r w:rsidRPr="00FC34ED">
        <w:rPr>
          <w:rFonts w:ascii="Garamond" w:hAnsi="Garamond"/>
          <w:b/>
          <w:bCs/>
          <w:sz w:val="28"/>
          <w:szCs w:val="28"/>
        </w:rPr>
        <w:t xml:space="preserve">Приложение </w:t>
      </w:r>
      <w:r w:rsidR="004673D4">
        <w:rPr>
          <w:rFonts w:ascii="Garamond" w:hAnsi="Garamond"/>
          <w:b/>
          <w:bCs/>
          <w:sz w:val="28"/>
          <w:szCs w:val="28"/>
        </w:rPr>
        <w:t>№ 1.4</w:t>
      </w:r>
    </w:p>
    <w:p w:rsidR="004673D4" w:rsidRPr="004673D4" w:rsidRDefault="004673D4" w:rsidP="004673D4">
      <w:pPr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AF5560" w:rsidRPr="00C2034B" w:rsidTr="00BA26C8">
        <w:tc>
          <w:tcPr>
            <w:tcW w:w="14737" w:type="dxa"/>
          </w:tcPr>
          <w:p w:rsidR="00AF5560" w:rsidRPr="00C2034B" w:rsidRDefault="00DC500C">
            <w:pPr>
              <w:keepNext/>
              <w:rPr>
                <w:rFonts w:ascii="Garamond" w:hAnsi="Garamond"/>
              </w:rPr>
            </w:pPr>
            <w:r w:rsidRPr="00C2034B">
              <w:rPr>
                <w:rFonts w:ascii="Garamond" w:hAnsi="Garamond"/>
                <w:b/>
                <w:bCs/>
              </w:rPr>
              <w:t xml:space="preserve">Инициатор: </w:t>
            </w:r>
            <w:r w:rsidR="000D6B58" w:rsidRPr="00C2034B">
              <w:rPr>
                <w:rFonts w:ascii="Garamond" w:hAnsi="Garamond"/>
              </w:rPr>
              <w:t>Ассоциация «НП Совет рынка».</w:t>
            </w:r>
          </w:p>
          <w:p w:rsidR="00DC500C" w:rsidRPr="00C2034B" w:rsidRDefault="00DC500C" w:rsidP="00DC500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C2034B">
              <w:rPr>
                <w:rFonts w:ascii="Garamond" w:hAnsi="Garamond"/>
                <w:b/>
                <w:bCs/>
              </w:rPr>
              <w:t>Обоснование</w:t>
            </w:r>
            <w:r w:rsidRPr="00725CAE">
              <w:rPr>
                <w:rFonts w:ascii="Garamond" w:hAnsi="Garamond"/>
                <w:b/>
              </w:rPr>
              <w:t>:</w:t>
            </w:r>
            <w:r w:rsidRPr="00C2034B">
              <w:rPr>
                <w:rFonts w:ascii="Garamond" w:hAnsi="Garamond"/>
              </w:rPr>
              <w:t xml:space="preserve"> </w:t>
            </w:r>
            <w:r w:rsidR="00C2034B" w:rsidRPr="00C2034B">
              <w:rPr>
                <w:rFonts w:ascii="Garamond" w:hAnsi="Garamond"/>
              </w:rPr>
              <w:t>в</w:t>
            </w:r>
            <w:r w:rsidR="0029578A" w:rsidRPr="00C2034B">
              <w:rPr>
                <w:rFonts w:ascii="Garamond" w:hAnsi="Garamond"/>
              </w:rPr>
              <w:t xml:space="preserve"> соответствии с изменениями, принятыми Наблюдательным советом Ассоциации «НП Совет рынка» 29.04.2022, АО «ЦФР» производит расчет неустойки </w:t>
            </w:r>
            <w:r w:rsidR="000D6B58" w:rsidRPr="00C2034B">
              <w:rPr>
                <w:rFonts w:ascii="Garamond" w:hAnsi="Garamond"/>
              </w:rPr>
              <w:t xml:space="preserve">за период с 01.03.2022 </w:t>
            </w:r>
            <w:r w:rsidR="0029578A" w:rsidRPr="00C2034B">
              <w:rPr>
                <w:rFonts w:ascii="Garamond" w:hAnsi="Garamond"/>
              </w:rPr>
              <w:t>в соответствии с новым порядком, определ</w:t>
            </w:r>
            <w:r w:rsidR="00725CAE">
              <w:rPr>
                <w:rFonts w:ascii="Garamond" w:hAnsi="Garamond"/>
              </w:rPr>
              <w:t>е</w:t>
            </w:r>
            <w:r w:rsidR="0029578A" w:rsidRPr="00C2034B">
              <w:rPr>
                <w:rFonts w:ascii="Garamond" w:hAnsi="Garamond"/>
              </w:rPr>
              <w:t xml:space="preserve">нным постановлением Правительства </w:t>
            </w:r>
            <w:r w:rsidR="00831CE9" w:rsidRPr="00C2034B">
              <w:rPr>
                <w:rFonts w:ascii="Garamond" w:hAnsi="Garamond"/>
              </w:rPr>
              <w:t xml:space="preserve">Российской Федерации </w:t>
            </w:r>
            <w:r w:rsidR="0029578A" w:rsidRPr="00C2034B">
              <w:rPr>
                <w:rFonts w:ascii="Garamond" w:hAnsi="Garamond"/>
              </w:rPr>
              <w:t>от 20</w:t>
            </w:r>
            <w:r w:rsidR="00725CAE">
              <w:rPr>
                <w:rFonts w:ascii="Garamond" w:hAnsi="Garamond"/>
              </w:rPr>
              <w:t xml:space="preserve"> мая </w:t>
            </w:r>
            <w:r w:rsidR="0029578A" w:rsidRPr="00C2034B">
              <w:rPr>
                <w:rFonts w:ascii="Garamond" w:hAnsi="Garamond"/>
              </w:rPr>
              <w:t>2022</w:t>
            </w:r>
            <w:r w:rsidR="00725CAE">
              <w:rPr>
                <w:rFonts w:ascii="Garamond" w:hAnsi="Garamond"/>
              </w:rPr>
              <w:t xml:space="preserve"> г.</w:t>
            </w:r>
            <w:r w:rsidR="000D6B58" w:rsidRPr="00C2034B">
              <w:rPr>
                <w:rFonts w:ascii="Garamond" w:hAnsi="Garamond"/>
              </w:rPr>
              <w:t xml:space="preserve"> </w:t>
            </w:r>
            <w:r w:rsidR="00725CAE" w:rsidRPr="00C2034B">
              <w:rPr>
                <w:rFonts w:ascii="Garamond" w:hAnsi="Garamond"/>
              </w:rPr>
              <w:t>№</w:t>
            </w:r>
            <w:r w:rsidR="00725CAE">
              <w:rPr>
                <w:rFonts w:ascii="Garamond" w:hAnsi="Garamond"/>
              </w:rPr>
              <w:t xml:space="preserve"> </w:t>
            </w:r>
            <w:r w:rsidR="00725CAE" w:rsidRPr="00C2034B">
              <w:rPr>
                <w:rFonts w:ascii="Garamond" w:hAnsi="Garamond"/>
              </w:rPr>
              <w:t xml:space="preserve">912 </w:t>
            </w:r>
            <w:r w:rsidR="000D6B58" w:rsidRPr="00C2034B">
              <w:rPr>
                <w:rFonts w:ascii="Garamond" w:hAnsi="Garamond"/>
              </w:rPr>
              <w:t>«О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электроэнергетики, тепло-, газо-, водоснабжения и водоотведения»</w:t>
            </w:r>
            <w:r w:rsidR="008C59A8" w:rsidRPr="00C2034B">
              <w:rPr>
                <w:rFonts w:ascii="Garamond" w:hAnsi="Garamond"/>
              </w:rPr>
              <w:t>.</w:t>
            </w:r>
            <w:r w:rsidR="0029578A" w:rsidRPr="00C2034B">
              <w:rPr>
                <w:rFonts w:ascii="Garamond" w:hAnsi="Garamond"/>
              </w:rPr>
              <w:t xml:space="preserve"> Оплата неустойки за март 2022 года (дата платежа 25.04.2022) приостановлена решением Наблюдательного совета от 19.04.2022 для проведения перерасчета в соответствии с новым порядком</w:t>
            </w:r>
            <w:r w:rsidR="00086B62" w:rsidRPr="00C2034B">
              <w:rPr>
                <w:rFonts w:ascii="Garamond" w:hAnsi="Garamond"/>
              </w:rPr>
              <w:t>.</w:t>
            </w:r>
            <w:r w:rsidR="006B37C1" w:rsidRPr="00C2034B">
              <w:rPr>
                <w:rFonts w:ascii="Garamond" w:hAnsi="Garamond"/>
              </w:rPr>
              <w:t xml:space="preserve"> </w:t>
            </w:r>
            <w:r w:rsidR="0029578A" w:rsidRPr="00C2034B">
              <w:rPr>
                <w:rFonts w:ascii="Garamond" w:hAnsi="Garamond"/>
              </w:rPr>
              <w:t>Предлагается</w:t>
            </w:r>
            <w:r w:rsidR="000D6B58" w:rsidRPr="00C2034B">
              <w:rPr>
                <w:rFonts w:ascii="Garamond" w:hAnsi="Garamond"/>
              </w:rPr>
              <w:t xml:space="preserve"> определить дату оплаты рассчитанной неустойки за март 2022 года </w:t>
            </w:r>
            <w:bookmarkStart w:id="0" w:name="_GoBack"/>
            <w:bookmarkEnd w:id="0"/>
            <w:r w:rsidR="0049059F" w:rsidRPr="00C2034B">
              <w:rPr>
                <w:rFonts w:ascii="Garamond" w:hAnsi="Garamond"/>
              </w:rPr>
              <w:t>04</w:t>
            </w:r>
            <w:r w:rsidR="00C2034B">
              <w:rPr>
                <w:rFonts w:ascii="Garamond" w:hAnsi="Garamond"/>
              </w:rPr>
              <w:t>.07.2022</w:t>
            </w:r>
            <w:r w:rsidR="000D6B58" w:rsidRPr="00C2034B">
              <w:rPr>
                <w:rFonts w:ascii="Garamond" w:hAnsi="Garamond"/>
              </w:rPr>
              <w:t>.</w:t>
            </w:r>
            <w:r w:rsidR="0029578A" w:rsidRPr="00C2034B">
              <w:rPr>
                <w:rFonts w:ascii="Garamond" w:hAnsi="Garamond"/>
              </w:rPr>
              <w:t xml:space="preserve"> </w:t>
            </w:r>
          </w:p>
          <w:p w:rsidR="00AF5560" w:rsidRPr="00C2034B" w:rsidRDefault="00105AD1" w:rsidP="00FC34E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C2034B">
              <w:rPr>
                <w:rFonts w:ascii="Garamond" w:hAnsi="Garamond"/>
                <w:b/>
                <w:bCs/>
              </w:rPr>
              <w:t>Дата вступления в силу</w:t>
            </w:r>
            <w:r w:rsidRPr="00725CAE">
              <w:rPr>
                <w:rFonts w:ascii="Garamond" w:hAnsi="Garamond"/>
                <w:b/>
              </w:rPr>
              <w:t>:</w:t>
            </w:r>
            <w:r w:rsidRPr="00C2034B">
              <w:rPr>
                <w:rFonts w:ascii="Garamond" w:hAnsi="Garamond"/>
              </w:rPr>
              <w:t xml:space="preserve"> </w:t>
            </w:r>
            <w:r w:rsidR="00FC34ED" w:rsidRPr="00C2034B">
              <w:rPr>
                <w:rFonts w:ascii="Garamond" w:hAnsi="Garamond"/>
              </w:rPr>
              <w:t>22 июня 2022 года.</w:t>
            </w:r>
          </w:p>
        </w:tc>
      </w:tr>
    </w:tbl>
    <w:p w:rsidR="00AF5560" w:rsidRPr="00C2034B" w:rsidRDefault="00AF5560">
      <w:pPr>
        <w:keepNext/>
        <w:rPr>
          <w:rFonts w:ascii="Garamond" w:hAnsi="Garamond"/>
          <w:b/>
        </w:rPr>
      </w:pPr>
    </w:p>
    <w:p w:rsidR="00AF5560" w:rsidRPr="00FC34ED" w:rsidRDefault="00DC500C">
      <w:pPr>
        <w:keepNext/>
        <w:rPr>
          <w:rFonts w:ascii="Garamond" w:hAnsi="Garamond"/>
          <w:b/>
          <w:bCs/>
          <w:sz w:val="26"/>
          <w:szCs w:val="26"/>
        </w:rPr>
      </w:pPr>
      <w:r w:rsidRPr="00FC34ED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153A3D">
        <w:rPr>
          <w:rFonts w:ascii="Garamond" w:hAnsi="Garamond"/>
          <w:b/>
          <w:bCs/>
          <w:caps/>
          <w:sz w:val="26"/>
          <w:szCs w:val="26"/>
        </w:rPr>
        <w:t xml:space="preserve">Регламент финансовых расчетов на оптовом рынке электроэнергии </w:t>
      </w:r>
      <w:r w:rsidRPr="00FC34ED">
        <w:rPr>
          <w:rFonts w:ascii="Garamond" w:hAnsi="Garamond"/>
          <w:b/>
          <w:bCs/>
          <w:sz w:val="26"/>
          <w:szCs w:val="26"/>
        </w:rPr>
        <w:t>(Приложение № 16 к Договору о присоединении к торговой системе оптового рынка)</w:t>
      </w:r>
      <w:r w:rsidR="000D6B58" w:rsidRPr="00FC34ED">
        <w:rPr>
          <w:rFonts w:ascii="Garamond" w:hAnsi="Garamond"/>
          <w:b/>
          <w:bCs/>
          <w:sz w:val="26"/>
          <w:szCs w:val="26"/>
        </w:rPr>
        <w:t xml:space="preserve"> </w:t>
      </w:r>
    </w:p>
    <w:p w:rsidR="00AF5560" w:rsidRDefault="00AF5560">
      <w:pPr>
        <w:keepNext/>
        <w:rPr>
          <w:b/>
          <w:bCs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6937"/>
        <w:gridCol w:w="6790"/>
      </w:tblGrid>
      <w:tr w:rsidR="00AF5560" w:rsidRPr="00153A3D" w:rsidTr="00BA26C8">
        <w:trPr>
          <w:trHeight w:val="435"/>
        </w:trPr>
        <w:tc>
          <w:tcPr>
            <w:tcW w:w="1010" w:type="dxa"/>
            <w:vAlign w:val="center"/>
          </w:tcPr>
          <w:p w:rsidR="00AF5560" w:rsidRPr="00153A3D" w:rsidRDefault="00DC500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53A3D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AF5560" w:rsidRPr="00153A3D" w:rsidRDefault="00DC500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53A3D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937" w:type="dxa"/>
            <w:vAlign w:val="center"/>
          </w:tcPr>
          <w:p w:rsidR="00AF5560" w:rsidRPr="00153A3D" w:rsidRDefault="00DC500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53A3D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AF5560" w:rsidRPr="00153A3D" w:rsidRDefault="00DC500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53A3D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790" w:type="dxa"/>
            <w:vAlign w:val="center"/>
          </w:tcPr>
          <w:p w:rsidR="00AF5560" w:rsidRPr="00153A3D" w:rsidRDefault="00DC500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53A3D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F5560" w:rsidRPr="00153A3D" w:rsidRDefault="00DC500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53A3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F5560" w:rsidRPr="00153A3D" w:rsidTr="002A5160">
        <w:trPr>
          <w:trHeight w:val="42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0" w:rsidRPr="00153A3D" w:rsidRDefault="00DC500C" w:rsidP="002A5160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53A3D">
              <w:rPr>
                <w:rFonts w:ascii="Garamond" w:hAnsi="Garamond"/>
                <w:b/>
                <w:bCs/>
                <w:sz w:val="22"/>
                <w:szCs w:val="22"/>
              </w:rPr>
              <w:t>12.5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3D" w:rsidRPr="00153A3D" w:rsidRDefault="00153A3D" w:rsidP="002A5160">
            <w:pPr>
              <w:spacing w:before="120" w:after="120"/>
              <w:ind w:left="2127" w:hanging="426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153A3D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12.5. Особенности расчета неустойки (пени) </w:t>
            </w:r>
          </w:p>
          <w:p w:rsidR="00153A3D" w:rsidRPr="00153A3D" w:rsidRDefault="00153A3D" w:rsidP="002A5160">
            <w:pPr>
              <w:tabs>
                <w:tab w:val="left" w:pos="1134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AF5560" w:rsidRPr="00153A3D" w:rsidRDefault="00603331" w:rsidP="002A5160">
            <w:pPr>
              <w:pStyle w:val="a4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153A3D">
              <w:rPr>
                <w:rFonts w:ascii="Garamond" w:hAnsi="Garamond"/>
                <w:sz w:val="22"/>
                <w:szCs w:val="22"/>
                <w:lang w:val="ru-RU" w:eastAsia="en-US"/>
              </w:rPr>
              <w:t xml:space="preserve">ЦФР не включает в Сводный реестр платежей, передаваемый в уполномоченную кредитную организацию, обязательства по оплате неустойки (пени) за неисполнение или ненадлежащее исполнение обязательств по оплате электрической энергии и (или) мощности, а также услуг организаций коммерческой и технологической инфраструктуры оптового рынка, оплата которых осуществляется через уполномоченную кредитную организацию, если срок исполнения таких обязательств по оплате неустойки наступает 25.04.2022. ЦФР включает в Сводный реестр платежей обязательства по оплате неустойки (пени), указанной в данном абзаце, с учетом особенностей оплаты неустойки (пени) в соответствии с пп. 12.5, 12.5.3, 12.6.7 настоящего Регламента </w:t>
            </w:r>
            <w:r w:rsidRPr="00153A3D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в случае принятия Наблюдательным советом СР решения о включении в Сводный реестр платежей указанной неустойки и получения от СР выписки из протокола заседания Наблюдательного совета СР, содержащей указанное решение</w:t>
            </w:r>
            <w:r w:rsidRPr="00153A3D">
              <w:rPr>
                <w:rFonts w:ascii="Garamond" w:hAnsi="Garamond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60" w:rsidRPr="00153A3D" w:rsidRDefault="00DC500C" w:rsidP="002A5160">
            <w:pPr>
              <w:spacing w:before="120" w:after="120"/>
              <w:ind w:left="2127" w:hanging="426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153A3D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12.5. Особенности расчета неустойки (пени) </w:t>
            </w:r>
          </w:p>
          <w:p w:rsidR="00AF5560" w:rsidRPr="00153A3D" w:rsidRDefault="00153A3D" w:rsidP="002A5160">
            <w:pPr>
              <w:tabs>
                <w:tab w:val="left" w:pos="1134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AF5560" w:rsidRPr="00153A3D" w:rsidRDefault="00603331" w:rsidP="002A5160">
            <w:pPr>
              <w:tabs>
                <w:tab w:val="left" w:pos="1134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53A3D">
              <w:rPr>
                <w:rFonts w:ascii="Garamond" w:hAnsi="Garamond"/>
                <w:sz w:val="22"/>
                <w:szCs w:val="22"/>
                <w:lang w:eastAsia="en-US"/>
              </w:rPr>
              <w:t xml:space="preserve">ЦФР не включает в Сводный реестр платежей, передаваемый в уполномоченную кредитную организацию, обязательства по оплате неустойки (пени) за неисполнение или ненадлежащее исполнение обязательств по оплате электрической энергии и (или) мощности, а также услуг организаций коммерческой и технологической инфраструктуры оптового рынка, оплата которых осуществляется через уполномоченную кредитную организацию, если срок исполнения таких обязательств по оплате неустойки наступает 25.04.2022. ЦФР </w:t>
            </w:r>
            <w:r w:rsidR="000D6B58" w:rsidRPr="00153A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 </w:t>
            </w:r>
            <w:r w:rsidR="0049059F" w:rsidRPr="00153A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04</w:t>
            </w:r>
            <w:r w:rsidR="000D6B58" w:rsidRPr="00153A3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.07.2022</w:t>
            </w:r>
            <w:r w:rsidR="000D6B58" w:rsidRPr="00153A3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153A3D">
              <w:rPr>
                <w:rFonts w:ascii="Garamond" w:hAnsi="Garamond"/>
                <w:sz w:val="22"/>
                <w:szCs w:val="22"/>
                <w:lang w:eastAsia="en-US"/>
              </w:rPr>
              <w:t>включает в Сводный реестр платежей обязательства по оплате неустойки (пени), указанной в данном абзаце, с учетом особенностей оплаты неустойки (пени) в соответствии с пп. 12.5, 12.5.3, 12.6.7 настоящего Регламента</w:t>
            </w:r>
            <w:r w:rsidR="00DC500C" w:rsidRPr="00153A3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:rsidR="00AF5560" w:rsidRDefault="00AF5560">
      <w:pPr>
        <w:keepNext/>
        <w:rPr>
          <w:b/>
          <w:bCs/>
        </w:rPr>
      </w:pPr>
    </w:p>
    <w:p w:rsidR="00AF5560" w:rsidRDefault="00AF5560"/>
    <w:sectPr w:rsidR="00AF5560" w:rsidSect="00FC34ED">
      <w:footerReference w:type="default" r:id="rId8"/>
      <w:pgSz w:w="16838" w:h="11906" w:orient="landscape"/>
      <w:pgMar w:top="1134" w:right="822" w:bottom="0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F2" w:rsidRDefault="00E63BF2">
      <w:r>
        <w:separator/>
      </w:r>
    </w:p>
  </w:endnote>
  <w:endnote w:type="continuationSeparator" w:id="0">
    <w:p w:rsidR="00E63BF2" w:rsidRDefault="00E6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60" w:rsidRDefault="00DC500C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53A3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F2" w:rsidRDefault="00E63BF2">
      <w:r>
        <w:separator/>
      </w:r>
    </w:p>
  </w:footnote>
  <w:footnote w:type="continuationSeparator" w:id="0">
    <w:p w:rsidR="00E63BF2" w:rsidRDefault="00E6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E7B0E"/>
    <w:multiLevelType w:val="hybridMultilevel"/>
    <w:tmpl w:val="FA0A0300"/>
    <w:lvl w:ilvl="0" w:tplc="4986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2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9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-501"/>
        </w:tabs>
        <w:ind w:left="786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726B50E1"/>
    <w:multiLevelType w:val="hybridMultilevel"/>
    <w:tmpl w:val="7A4898C0"/>
    <w:lvl w:ilvl="0" w:tplc="BBA2D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6903F72"/>
    <w:multiLevelType w:val="hybridMultilevel"/>
    <w:tmpl w:val="6610F352"/>
    <w:lvl w:ilvl="0" w:tplc="E3502EF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4578B4"/>
    <w:multiLevelType w:val="hybridMultilevel"/>
    <w:tmpl w:val="49C8D0BE"/>
    <w:lvl w:ilvl="0" w:tplc="5484C9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18"/>
  </w:num>
  <w:num w:numId="5">
    <w:abstractNumId w:val="14"/>
  </w:num>
  <w:num w:numId="6">
    <w:abstractNumId w:val="11"/>
  </w:num>
  <w:num w:numId="7">
    <w:abstractNumId w:val="15"/>
  </w:num>
  <w:num w:numId="8">
    <w:abstractNumId w:val="2"/>
  </w:num>
  <w:num w:numId="9">
    <w:abstractNumId w:val="23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1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10"/>
  </w:num>
  <w:num w:numId="22">
    <w:abstractNumId w:val="3"/>
  </w:num>
  <w:num w:numId="23">
    <w:abstractNumId w:val="1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20"/>
  </w:num>
  <w:num w:numId="29">
    <w:abstractNumId w:val="5"/>
  </w:num>
  <w:num w:numId="30">
    <w:abstractNumId w:val="19"/>
  </w:num>
  <w:num w:numId="31">
    <w:abstractNumId w:val="13"/>
  </w:num>
  <w:num w:numId="32">
    <w:abstractNumId w:val="22"/>
  </w:num>
  <w:num w:numId="33">
    <w:abstractNumId w:val="25"/>
  </w:num>
  <w:num w:numId="34">
    <w:abstractNumId w:val="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60"/>
    <w:rsid w:val="00041758"/>
    <w:rsid w:val="00073858"/>
    <w:rsid w:val="00086B62"/>
    <w:rsid w:val="000D6B58"/>
    <w:rsid w:val="00105AD1"/>
    <w:rsid w:val="00153A3D"/>
    <w:rsid w:val="0029578A"/>
    <w:rsid w:val="002A5160"/>
    <w:rsid w:val="002D6C21"/>
    <w:rsid w:val="003D03E5"/>
    <w:rsid w:val="004673D4"/>
    <w:rsid w:val="0049059F"/>
    <w:rsid w:val="005B2091"/>
    <w:rsid w:val="00603331"/>
    <w:rsid w:val="00655B05"/>
    <w:rsid w:val="006B37C1"/>
    <w:rsid w:val="0072501B"/>
    <w:rsid w:val="00725CAE"/>
    <w:rsid w:val="00796D17"/>
    <w:rsid w:val="00831CE9"/>
    <w:rsid w:val="00893BE5"/>
    <w:rsid w:val="008C59A8"/>
    <w:rsid w:val="008E022B"/>
    <w:rsid w:val="00924714"/>
    <w:rsid w:val="00956C83"/>
    <w:rsid w:val="009B3E2B"/>
    <w:rsid w:val="00AF5560"/>
    <w:rsid w:val="00BA0A5D"/>
    <w:rsid w:val="00BA26C8"/>
    <w:rsid w:val="00BD215E"/>
    <w:rsid w:val="00C0291F"/>
    <w:rsid w:val="00C2034B"/>
    <w:rsid w:val="00C24D4A"/>
    <w:rsid w:val="00C4645E"/>
    <w:rsid w:val="00C63468"/>
    <w:rsid w:val="00CD6837"/>
    <w:rsid w:val="00D21190"/>
    <w:rsid w:val="00D3046A"/>
    <w:rsid w:val="00D45A2F"/>
    <w:rsid w:val="00DC500C"/>
    <w:rsid w:val="00E63BF2"/>
    <w:rsid w:val="00F637DA"/>
    <w:rsid w:val="00FC2B40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37E59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spacing w:before="240" w:after="240"/>
      <w:ind w:left="720"/>
      <w:jc w:val="right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/>
      <w:b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uiPriority w:val="9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Pr>
      <w:rFonts w:ascii="Times New Roman" w:hAnsi="Times New Roman"/>
      <w:sz w:val="24"/>
    </w:rPr>
  </w:style>
  <w:style w:type="paragraph" w:styleId="af5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/>
      <w:b/>
      <w:color w:val="000000"/>
      <w:sz w:val="22"/>
    </w:rPr>
  </w:style>
  <w:style w:type="paragraph" w:styleId="af6">
    <w:name w:val="footnote text"/>
    <w:basedOn w:val="a"/>
    <w:link w:val="af7"/>
    <w:uiPriority w:val="99"/>
    <w:semiHidden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Pr>
      <w:rFonts w:ascii="Times New Roman" w:hAnsi="Times New Roman" w:cs="Times New Roman"/>
    </w:rPr>
  </w:style>
  <w:style w:type="character" w:styleId="af8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9">
    <w:name w:val="Title"/>
    <w:basedOn w:val="a"/>
    <w:link w:val="afa"/>
    <w:uiPriority w:val="99"/>
    <w:qFormat/>
    <w:pPr>
      <w:jc w:val="center"/>
    </w:pPr>
    <w:rPr>
      <w:sz w:val="28"/>
      <w:szCs w:val="28"/>
    </w:rPr>
  </w:style>
  <w:style w:type="character" w:customStyle="1" w:styleId="afa">
    <w:name w:val="Заголовок Знак"/>
    <w:basedOn w:val="a0"/>
    <w:link w:val="af9"/>
    <w:uiPriority w:val="99"/>
    <w:locked/>
    <w:rPr>
      <w:rFonts w:ascii="Times New Roman" w:hAnsi="Times New Roman" w:cs="Times New Roman"/>
      <w:sz w:val="28"/>
      <w:szCs w:val="28"/>
    </w:rPr>
  </w:style>
  <w:style w:type="paragraph" w:styleId="afb">
    <w:name w:val="Plain Text"/>
    <w:basedOn w:val="a"/>
    <w:link w:val="afc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c">
    <w:name w:val="Текст Знак"/>
    <w:basedOn w:val="a0"/>
    <w:link w:val="afb"/>
    <w:uiPriority w:val="99"/>
    <w:locked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24">
    <w:name w:val="Обычный2"/>
    <w:uiPriority w:val="99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aff0">
    <w:name w:val="Обычный текст"/>
    <w:basedOn w:val="a"/>
    <w:link w:val="aff1"/>
    <w:uiPriority w:val="99"/>
    <w:pPr>
      <w:ind w:firstLine="425"/>
    </w:pPr>
    <w:rPr>
      <w:rFonts w:eastAsia="Arial Unicode MS"/>
    </w:rPr>
  </w:style>
  <w:style w:type="character" w:customStyle="1" w:styleId="aff1">
    <w:name w:val="Обычный текст Знак"/>
    <w:link w:val="aff0"/>
    <w:uiPriority w:val="99"/>
    <w:rPr>
      <w:rFonts w:ascii="Times New Roman" w:eastAsia="Arial Unicode MS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rPr>
      <w:rFonts w:ascii="Times New Roman" w:eastAsia="Times New Roman" w:hAnsi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32D8-6203-4397-B56D-8E9CB467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Пряхина Ирина Игоревна</cp:lastModifiedBy>
  <cp:revision>19</cp:revision>
  <cp:lastPrinted>2022-06-06T10:03:00Z</cp:lastPrinted>
  <dcterms:created xsi:type="dcterms:W3CDTF">2022-05-31T12:49:00Z</dcterms:created>
  <dcterms:modified xsi:type="dcterms:W3CDTF">2022-06-20T16:24:00Z</dcterms:modified>
</cp:coreProperties>
</file>