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83B" w:rsidRDefault="008E3836">
      <w:pPr>
        <w:widowControl w:val="0"/>
        <w:spacing w:after="0" w:line="240" w:lineRule="auto"/>
        <w:ind w:left="142"/>
        <w:rPr>
          <w:rFonts w:ascii="Garamond" w:hAnsi="Garamond"/>
          <w:b/>
          <w:sz w:val="28"/>
          <w:szCs w:val="28"/>
        </w:rPr>
      </w:pPr>
      <w:bookmarkStart w:id="0" w:name="_Toc525831309"/>
      <w:bookmarkStart w:id="1" w:name="_GoBack"/>
      <w:bookmarkEnd w:id="1"/>
      <w:r>
        <w:rPr>
          <w:rFonts w:ascii="Garamond" w:hAnsi="Garamond"/>
          <w:b/>
          <w:sz w:val="28"/>
          <w:lang w:val="en-US"/>
        </w:rPr>
        <w:t>V</w:t>
      </w:r>
      <w:r>
        <w:rPr>
          <w:rFonts w:ascii="Garamond" w:hAnsi="Garamond"/>
          <w:b/>
          <w:sz w:val="28"/>
        </w:rPr>
        <w:t>.10. Изменения, связанные с порядком взаимодействия АО «ЦФР» и участников оптового рынка по учету обязательств по оплате</w:t>
      </w:r>
      <w:bookmarkEnd w:id="0"/>
      <w:r>
        <w:rPr>
          <w:rFonts w:ascii="Garamond" w:hAnsi="Garamond"/>
          <w:b/>
          <w:sz w:val="28"/>
        </w:rPr>
        <w:t xml:space="preserve"> вне УКО</w:t>
      </w:r>
    </w:p>
    <w:p w:rsidR="00F4583B" w:rsidRDefault="00F4583B">
      <w:pPr>
        <w:widowControl w:val="0"/>
        <w:spacing w:after="0" w:line="240" w:lineRule="auto"/>
        <w:jc w:val="right"/>
        <w:rPr>
          <w:rFonts w:ascii="Garamond" w:hAnsi="Garamond"/>
          <w:b/>
          <w:sz w:val="28"/>
          <w:szCs w:val="28"/>
        </w:rPr>
      </w:pPr>
    </w:p>
    <w:p w:rsidR="00F4583B" w:rsidRDefault="008E3836">
      <w:pPr>
        <w:widowControl w:val="0"/>
        <w:spacing w:after="0" w:line="240" w:lineRule="auto"/>
        <w:ind w:right="141"/>
        <w:jc w:val="right"/>
        <w:rPr>
          <w:rFonts w:ascii="Garamond" w:hAnsi="Garamond"/>
          <w:b/>
          <w:sz w:val="28"/>
          <w:szCs w:val="28"/>
        </w:rPr>
      </w:pPr>
      <w:r>
        <w:rPr>
          <w:rFonts w:ascii="Garamond" w:hAnsi="Garamond"/>
          <w:b/>
          <w:sz w:val="28"/>
          <w:szCs w:val="28"/>
        </w:rPr>
        <w:t>Приложение № 5.10</w:t>
      </w:r>
    </w:p>
    <w:p w:rsidR="00F4583B" w:rsidRDefault="00F4583B">
      <w:pPr>
        <w:widowControl w:val="0"/>
        <w:spacing w:after="0" w:line="240" w:lineRule="auto"/>
        <w:jc w:val="right"/>
        <w:rPr>
          <w:rFonts w:ascii="Garamond" w:hAnsi="Garamond"/>
          <w:b/>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6"/>
      </w:tblGrid>
      <w:tr w:rsidR="00F4583B">
        <w:trPr>
          <w:trHeight w:val="386"/>
        </w:trPr>
        <w:tc>
          <w:tcPr>
            <w:tcW w:w="14596" w:type="dxa"/>
            <w:tcBorders>
              <w:top w:val="single" w:sz="4" w:space="0" w:color="auto"/>
              <w:left w:val="single" w:sz="4" w:space="0" w:color="auto"/>
              <w:bottom w:val="single" w:sz="4" w:space="0" w:color="auto"/>
              <w:right w:val="single" w:sz="4" w:space="0" w:color="auto"/>
            </w:tcBorders>
          </w:tcPr>
          <w:p w:rsidR="00F4583B" w:rsidRDefault="008E3836">
            <w:pPr>
              <w:widowControl w:val="0"/>
              <w:tabs>
                <w:tab w:val="left" w:pos="0"/>
                <w:tab w:val="left" w:pos="3420"/>
              </w:tabs>
              <w:spacing w:after="0" w:line="240" w:lineRule="auto"/>
              <w:rPr>
                <w:rFonts w:ascii="Garamond" w:hAnsi="Garamond"/>
                <w:sz w:val="24"/>
              </w:rPr>
            </w:pPr>
            <w:r>
              <w:rPr>
                <w:rFonts w:ascii="Garamond" w:hAnsi="Garamond"/>
                <w:b/>
                <w:sz w:val="24"/>
              </w:rPr>
              <w:t xml:space="preserve">Инициатор: </w:t>
            </w:r>
            <w:r>
              <w:rPr>
                <w:rFonts w:ascii="Garamond" w:hAnsi="Garamond"/>
                <w:sz w:val="24"/>
              </w:rPr>
              <w:t>АО «ЦФР».</w:t>
            </w:r>
          </w:p>
          <w:p w:rsidR="00F4583B" w:rsidRDefault="008E3836">
            <w:pPr>
              <w:autoSpaceDE w:val="0"/>
              <w:autoSpaceDN w:val="0"/>
              <w:adjustRightInd w:val="0"/>
              <w:spacing w:after="0" w:line="240" w:lineRule="auto"/>
              <w:jc w:val="both"/>
              <w:outlineLvl w:val="0"/>
              <w:rPr>
                <w:rFonts w:ascii="Garamond" w:hAnsi="Garamond"/>
                <w:sz w:val="24"/>
              </w:rPr>
            </w:pPr>
            <w:r>
              <w:rPr>
                <w:rFonts w:ascii="Garamond" w:hAnsi="Garamond"/>
                <w:b/>
                <w:sz w:val="24"/>
              </w:rPr>
              <w:t xml:space="preserve">Обоснование: </w:t>
            </w:r>
            <w:r>
              <w:rPr>
                <w:rFonts w:ascii="Garamond" w:hAnsi="Garamond"/>
                <w:sz w:val="24"/>
              </w:rPr>
              <w:t>уточнить порядок взаимодействия АО «ЦФР» и участников оптового рынка по учету обязательств, оплата которых производится вне уполномоченной кредитной организации в соответствии с Регламентом финансовых расчетов на оптовом рынке электроэнергии.</w:t>
            </w:r>
          </w:p>
          <w:p w:rsidR="00F4583B" w:rsidRDefault="008E3836">
            <w:pPr>
              <w:autoSpaceDE w:val="0"/>
              <w:autoSpaceDN w:val="0"/>
              <w:adjustRightInd w:val="0"/>
              <w:spacing w:after="0" w:line="240" w:lineRule="auto"/>
              <w:jc w:val="both"/>
              <w:outlineLvl w:val="0"/>
              <w:rPr>
                <w:rFonts w:ascii="Garamond" w:hAnsi="Garamond"/>
              </w:rPr>
            </w:pPr>
            <w:r>
              <w:rPr>
                <w:rFonts w:ascii="Garamond" w:hAnsi="Garamond"/>
                <w:b/>
                <w:sz w:val="24"/>
              </w:rPr>
              <w:t>Дата вступления в силу:</w:t>
            </w:r>
            <w:r>
              <w:rPr>
                <w:rFonts w:ascii="Garamond" w:hAnsi="Garamond"/>
                <w:sz w:val="24"/>
              </w:rPr>
              <w:t xml:space="preserve"> 1 июня 2019 года.</w:t>
            </w:r>
          </w:p>
        </w:tc>
      </w:tr>
    </w:tbl>
    <w:p w:rsidR="00F4583B" w:rsidRDefault="00F4583B">
      <w:pPr>
        <w:widowControl w:val="0"/>
        <w:spacing w:after="0" w:line="240" w:lineRule="auto"/>
        <w:rPr>
          <w:rFonts w:ascii="Garamond" w:hAnsi="Garamond"/>
        </w:rPr>
      </w:pPr>
    </w:p>
    <w:p w:rsidR="00F4583B" w:rsidRDefault="008E3836">
      <w:pPr>
        <w:spacing w:after="0" w:line="240" w:lineRule="auto"/>
        <w:rPr>
          <w:rFonts w:ascii="Garamond" w:hAnsi="Garamond"/>
        </w:rPr>
      </w:pPr>
      <w:r>
        <w:rPr>
          <w:rFonts w:ascii="Garamond" w:hAnsi="Garamond"/>
          <w:b/>
          <w:sz w:val="26"/>
        </w:rPr>
        <w:t>Предложения по изменениям и дополнениям в РЕГЛАМЕНТ ФИНАНСОВЫХ РАСЧЕТОВ НА ОПТОВОМ РЫНКЕ ЭЛЕКТРОЭНЕРГИИ (Приложение № 16 к Договору о присоединении к торговой системе оптового рынка)</w:t>
      </w:r>
    </w:p>
    <w:p w:rsidR="00F4583B" w:rsidRDefault="00F4583B">
      <w:pPr>
        <w:tabs>
          <w:tab w:val="left" w:pos="709"/>
        </w:tabs>
        <w:spacing w:after="0" w:line="240" w:lineRule="auto"/>
        <w:jc w:val="center"/>
        <w:rPr>
          <w:rFonts w:ascii="Garamond" w:hAnsi="Garamond"/>
          <w:b/>
          <w:sz w:val="26"/>
          <w:szCs w:val="26"/>
        </w:rPr>
      </w:pPr>
    </w:p>
    <w:tbl>
      <w:tblPr>
        <w:tblW w:w="50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6641"/>
        <w:gridCol w:w="7248"/>
      </w:tblGrid>
      <w:tr w:rsidR="00F4583B">
        <w:trPr>
          <w:trHeight w:val="646"/>
        </w:trPr>
        <w:tc>
          <w:tcPr>
            <w:tcW w:w="2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4583B" w:rsidRDefault="008E3836">
            <w:pPr>
              <w:spacing w:after="0" w:line="240" w:lineRule="auto"/>
              <w:jc w:val="center"/>
              <w:rPr>
                <w:rFonts w:ascii="Garamond" w:hAnsi="Garamond" w:cs="Garamond"/>
                <w:b/>
                <w:bCs/>
              </w:rPr>
            </w:pPr>
            <w:r>
              <w:rPr>
                <w:rFonts w:ascii="Garamond" w:hAnsi="Garamond" w:cs="Garamond"/>
                <w:b/>
                <w:bCs/>
              </w:rPr>
              <w:t>№</w:t>
            </w:r>
          </w:p>
          <w:p w:rsidR="00F4583B" w:rsidRDefault="008E3836">
            <w:pPr>
              <w:spacing w:after="0" w:line="240" w:lineRule="auto"/>
              <w:jc w:val="center"/>
              <w:rPr>
                <w:rFonts w:ascii="Garamond" w:hAnsi="Garamond" w:cs="Garamond"/>
                <w:b/>
                <w:bCs/>
                <w:lang w:val="en-GB"/>
              </w:rPr>
            </w:pPr>
            <w:r>
              <w:rPr>
                <w:rFonts w:ascii="Garamond" w:hAnsi="Garamond" w:cs="Garamond"/>
                <w:b/>
                <w:bCs/>
              </w:rPr>
              <w:t>пункта</w:t>
            </w:r>
          </w:p>
        </w:tc>
        <w:tc>
          <w:tcPr>
            <w:tcW w:w="2254" w:type="pct"/>
            <w:tcBorders>
              <w:top w:val="single" w:sz="4" w:space="0" w:color="auto"/>
              <w:left w:val="single" w:sz="4" w:space="0" w:color="auto"/>
              <w:bottom w:val="single" w:sz="4" w:space="0" w:color="auto"/>
              <w:right w:val="single" w:sz="4" w:space="0" w:color="auto"/>
            </w:tcBorders>
            <w:vAlign w:val="center"/>
          </w:tcPr>
          <w:p w:rsidR="00F4583B" w:rsidRDefault="008E3836">
            <w:pPr>
              <w:spacing w:after="0" w:line="240" w:lineRule="auto"/>
              <w:jc w:val="center"/>
              <w:rPr>
                <w:rFonts w:ascii="Garamond" w:hAnsi="Garamond" w:cs="Garamond"/>
                <w:b/>
              </w:rPr>
            </w:pPr>
            <w:r>
              <w:rPr>
                <w:rFonts w:ascii="Garamond" w:hAnsi="Garamond" w:cs="Garamond"/>
                <w:b/>
              </w:rPr>
              <w:t xml:space="preserve">Редакция, действующая на момент </w:t>
            </w:r>
          </w:p>
          <w:p w:rsidR="00F4583B" w:rsidRDefault="008E3836">
            <w:pPr>
              <w:spacing w:after="0" w:line="240" w:lineRule="auto"/>
              <w:jc w:val="center"/>
              <w:rPr>
                <w:rFonts w:ascii="Garamond" w:hAnsi="Garamond" w:cs="Garamond"/>
                <w:b/>
              </w:rPr>
            </w:pPr>
            <w:r>
              <w:rPr>
                <w:rFonts w:ascii="Garamond" w:hAnsi="Garamond" w:cs="Garamond"/>
                <w:b/>
              </w:rPr>
              <w:t>вступления в силу изменений</w:t>
            </w:r>
          </w:p>
        </w:tc>
        <w:tc>
          <w:tcPr>
            <w:tcW w:w="2460" w:type="pct"/>
            <w:tcBorders>
              <w:top w:val="single" w:sz="4" w:space="0" w:color="auto"/>
              <w:left w:val="single" w:sz="4" w:space="0" w:color="auto"/>
              <w:bottom w:val="single" w:sz="4" w:space="0" w:color="auto"/>
              <w:right w:val="single" w:sz="4" w:space="0" w:color="auto"/>
            </w:tcBorders>
            <w:vAlign w:val="center"/>
          </w:tcPr>
          <w:p w:rsidR="00F4583B" w:rsidRDefault="008E3836">
            <w:pPr>
              <w:spacing w:after="0" w:line="240" w:lineRule="auto"/>
              <w:jc w:val="center"/>
              <w:rPr>
                <w:rFonts w:ascii="Garamond" w:hAnsi="Garamond" w:cs="Garamond"/>
                <w:b/>
              </w:rPr>
            </w:pPr>
            <w:r>
              <w:rPr>
                <w:rFonts w:ascii="Garamond" w:hAnsi="Garamond" w:cs="Garamond"/>
                <w:b/>
              </w:rPr>
              <w:t>Предлагаемая редакция</w:t>
            </w:r>
          </w:p>
          <w:p w:rsidR="00F4583B" w:rsidRDefault="008E3836">
            <w:pPr>
              <w:spacing w:after="0" w:line="240" w:lineRule="auto"/>
              <w:jc w:val="center"/>
              <w:rPr>
                <w:rFonts w:ascii="Garamond" w:hAnsi="Garamond" w:cs="Garamond"/>
              </w:rPr>
            </w:pPr>
            <w:r>
              <w:rPr>
                <w:rFonts w:ascii="Garamond" w:hAnsi="Garamond" w:cs="Garamond"/>
              </w:rPr>
              <w:t>(изменения выделены цветом)</w:t>
            </w:r>
          </w:p>
        </w:tc>
      </w:tr>
      <w:tr w:rsidR="00F4583B">
        <w:trPr>
          <w:trHeight w:val="435"/>
        </w:trPr>
        <w:tc>
          <w:tcPr>
            <w:tcW w:w="2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4583B" w:rsidRDefault="008E3836">
            <w:pPr>
              <w:spacing w:before="120" w:after="120" w:line="240" w:lineRule="auto"/>
              <w:jc w:val="center"/>
              <w:rPr>
                <w:rFonts w:ascii="Garamond" w:hAnsi="Garamond" w:cs="Garamond"/>
                <w:b/>
                <w:bCs/>
              </w:rPr>
            </w:pPr>
            <w:r>
              <w:rPr>
                <w:rFonts w:ascii="Garamond" w:hAnsi="Garamond" w:cs="Garamond"/>
                <w:b/>
                <w:bCs/>
              </w:rPr>
              <w:t>Раздел 19</w:t>
            </w:r>
          </w:p>
        </w:tc>
        <w:tc>
          <w:tcPr>
            <w:tcW w:w="2254" w:type="pct"/>
            <w:tcBorders>
              <w:top w:val="single" w:sz="4" w:space="0" w:color="auto"/>
              <w:left w:val="single" w:sz="4" w:space="0" w:color="auto"/>
              <w:bottom w:val="single" w:sz="4" w:space="0" w:color="auto"/>
              <w:right w:val="single" w:sz="4" w:space="0" w:color="auto"/>
            </w:tcBorders>
          </w:tcPr>
          <w:p w:rsidR="00F4583B" w:rsidRDefault="008E3836">
            <w:pPr>
              <w:pStyle w:val="1"/>
            </w:pPr>
            <w:bookmarkStart w:id="2" w:name="_Toc533587254"/>
            <w:r>
              <w:t>Порядок взаимодействия ЦФР и участников оптового рынка по учету ОБЯЗАТЕЛЬСТВ ПО ОПЛАТЕ</w:t>
            </w:r>
            <w:r>
              <w:rPr>
                <w:highlight w:val="yellow"/>
              </w:rPr>
              <w:t>, ПОДТВЕРЖДЕННЫХ СУДЕБНЫМ АКТОМ</w:t>
            </w:r>
            <w:bookmarkEnd w:id="2"/>
          </w:p>
          <w:p w:rsidR="00F4583B" w:rsidRDefault="008E3836">
            <w:pPr>
              <w:spacing w:before="120" w:after="120" w:line="240" w:lineRule="auto"/>
              <w:ind w:left="8"/>
              <w:jc w:val="both"/>
              <w:rPr>
                <w:rFonts w:ascii="Garamond" w:hAnsi="Garamond"/>
                <w:highlight w:val="yellow"/>
              </w:rPr>
            </w:pPr>
            <w:r>
              <w:rPr>
                <w:rFonts w:ascii="Garamond" w:hAnsi="Garamond"/>
              </w:rPr>
              <w:t>19.1. В соответствии с настоящим разделом ЦФР учитывает</w:t>
            </w:r>
            <w:r>
              <w:rPr>
                <w:rFonts w:ascii="Garamond" w:hAnsi="Garamond"/>
                <w:highlight w:val="yellow"/>
              </w:rPr>
              <w:t xml:space="preserve"> </w:t>
            </w:r>
            <w:r>
              <w:rPr>
                <w:rFonts w:ascii="Garamond" w:hAnsi="Garamond"/>
              </w:rPr>
              <w:t xml:space="preserve">прекращение обязательств по оплате </w:t>
            </w:r>
            <w:r>
              <w:rPr>
                <w:rFonts w:ascii="Garamond" w:hAnsi="Garamond"/>
                <w:highlight w:val="yellow"/>
              </w:rPr>
              <w:t xml:space="preserve">электрической энергии и мощности по договорам, заключенным на оптовом рынке, оплате услуг, а также по оплате неустойки (пени), рассчитанной за нарушение сроков исполнения вышеуказанных обязательств, по оплате штрафов, рассчитанных по договорам купли-продажи (поставки) мощности, денежной суммы, обусловленной отказом от исполнения обязательств по договорам купли-продажи (далее – обязательства по оплате), при условии предоставления в ЦФР участником оптового рынка, ФСК, КО и СО – кредитором или должником в соответствующем обязательстве копии судебного акта о взыскании задолженности по соответствующему обязательству, в котором указаны в качестве истца и ответчика участники оптового рынка, ФСК, КО и СО (для целей настоящего раздела под участниками оптового рынка понимаются также организации, которые являлись участниками оптового рынка на момент возникновения обязательства), являющиеся кредитором и </w:t>
            </w:r>
            <w:r>
              <w:rPr>
                <w:rFonts w:ascii="Garamond" w:hAnsi="Garamond"/>
                <w:highlight w:val="yellow"/>
              </w:rPr>
              <w:lastRenderedPageBreak/>
              <w:t xml:space="preserve">должником в соответствующем обязательстве, а также одного из следующих документов: </w:t>
            </w:r>
          </w:p>
          <w:p w:rsidR="00F4583B" w:rsidRDefault="008E3836">
            <w:pPr>
              <w:pStyle w:val="a8"/>
              <w:spacing w:before="120" w:after="120"/>
              <w:ind w:left="8"/>
              <w:jc w:val="both"/>
              <w:rPr>
                <w:rFonts w:ascii="Garamond" w:hAnsi="Garamond"/>
                <w:sz w:val="22"/>
                <w:szCs w:val="22"/>
                <w:highlight w:val="yellow"/>
              </w:rPr>
            </w:pPr>
            <w:r>
              <w:rPr>
                <w:rFonts w:ascii="Garamond" w:hAnsi="Garamond"/>
                <w:sz w:val="22"/>
                <w:szCs w:val="22"/>
                <w:highlight w:val="yellow"/>
              </w:rPr>
              <w:t xml:space="preserve">а) подтверждающих исполнение должником соответствующих обязательств по оплате: </w:t>
            </w:r>
          </w:p>
          <w:p w:rsidR="00F4583B" w:rsidRDefault="008E3836">
            <w:pPr>
              <w:pStyle w:val="a9"/>
              <w:widowControl w:val="0"/>
              <w:ind w:left="8"/>
              <w:rPr>
                <w:rFonts w:ascii="Garamond" w:hAnsi="Garamond"/>
                <w:szCs w:val="22"/>
                <w:highlight w:val="yellow"/>
                <w:lang w:val="ru-RU" w:eastAsia="ru-RU"/>
              </w:rPr>
            </w:pPr>
            <w:r>
              <w:rPr>
                <w:rFonts w:ascii="Garamond" w:hAnsi="Garamond"/>
                <w:szCs w:val="22"/>
                <w:highlight w:val="yellow"/>
                <w:lang w:val="ru-RU" w:eastAsia="ru-RU"/>
              </w:rPr>
              <w:t>– платежного поручения с отметкой банка и назначением платежа во исполнение судебного акта;</w:t>
            </w:r>
          </w:p>
          <w:p w:rsidR="00F4583B" w:rsidRDefault="008E3836">
            <w:pPr>
              <w:pStyle w:val="a9"/>
              <w:widowControl w:val="0"/>
              <w:ind w:left="8"/>
              <w:rPr>
                <w:rFonts w:ascii="Garamond" w:hAnsi="Garamond"/>
                <w:szCs w:val="22"/>
                <w:highlight w:val="yellow"/>
                <w:lang w:val="ru-RU" w:eastAsia="ru-RU"/>
              </w:rPr>
            </w:pPr>
            <w:r>
              <w:rPr>
                <w:rFonts w:ascii="Garamond" w:hAnsi="Garamond"/>
                <w:szCs w:val="22"/>
                <w:highlight w:val="yellow"/>
                <w:lang w:val="ru-RU" w:eastAsia="ru-RU"/>
              </w:rPr>
              <w:t>– акта приема-передачи ценных бумаг, подписанного участниками оптового рынка – должником и кредитором;</w:t>
            </w:r>
          </w:p>
          <w:p w:rsidR="00F4583B" w:rsidRDefault="008E3836">
            <w:pPr>
              <w:autoSpaceDE w:val="0"/>
              <w:autoSpaceDN w:val="0"/>
              <w:adjustRightInd w:val="0"/>
              <w:spacing w:before="120" w:after="120" w:line="240" w:lineRule="auto"/>
              <w:ind w:left="8"/>
              <w:jc w:val="both"/>
              <w:rPr>
                <w:rFonts w:ascii="Garamond" w:hAnsi="Garamond"/>
                <w:highlight w:val="yellow"/>
              </w:rPr>
            </w:pPr>
            <w:r>
              <w:rPr>
                <w:rFonts w:ascii="Garamond" w:hAnsi="Garamond"/>
                <w:highlight w:val="yellow"/>
              </w:rPr>
              <w:t>– копии постановления судебного пристава-исполнителя об окончании исполнительного производства в связи с фактическим исполнением требований, содержащихся в исполнительном документе;</w:t>
            </w:r>
          </w:p>
          <w:p w:rsidR="00F4583B" w:rsidRDefault="008E3836">
            <w:pPr>
              <w:autoSpaceDE w:val="0"/>
              <w:autoSpaceDN w:val="0"/>
              <w:adjustRightInd w:val="0"/>
              <w:spacing w:before="120" w:after="120" w:line="240" w:lineRule="auto"/>
              <w:ind w:left="8"/>
              <w:jc w:val="both"/>
              <w:rPr>
                <w:rFonts w:ascii="Garamond" w:hAnsi="Garamond"/>
                <w:highlight w:val="yellow"/>
              </w:rPr>
            </w:pPr>
            <w:r>
              <w:rPr>
                <w:rFonts w:ascii="Garamond" w:hAnsi="Garamond"/>
                <w:highlight w:val="yellow"/>
              </w:rPr>
              <w:t>– выписки со счета должника, подтверждающей списание денежных средств на основании исполнительного листа или постановления судебного пристава-исполнителя;</w:t>
            </w:r>
          </w:p>
          <w:p w:rsidR="00F4583B" w:rsidRDefault="008E3836">
            <w:pPr>
              <w:autoSpaceDE w:val="0"/>
              <w:autoSpaceDN w:val="0"/>
              <w:adjustRightInd w:val="0"/>
              <w:spacing w:before="120" w:after="120" w:line="240" w:lineRule="auto"/>
              <w:ind w:left="8"/>
              <w:jc w:val="both"/>
              <w:rPr>
                <w:rFonts w:ascii="Garamond" w:hAnsi="Garamond"/>
                <w:highlight w:val="yellow"/>
              </w:rPr>
            </w:pPr>
            <w:r>
              <w:rPr>
                <w:rFonts w:ascii="Garamond" w:hAnsi="Garamond"/>
                <w:highlight w:val="yellow"/>
              </w:rPr>
              <w:t>– выписки со счета кредитора, подтверждающей зачисление денежных средств на основании исполнительного листа или постановления судебного пристава-исполнителя;</w:t>
            </w:r>
          </w:p>
          <w:p w:rsidR="00F4583B" w:rsidRDefault="008E3836">
            <w:pPr>
              <w:autoSpaceDE w:val="0"/>
              <w:autoSpaceDN w:val="0"/>
              <w:adjustRightInd w:val="0"/>
              <w:spacing w:before="120" w:after="120" w:line="240" w:lineRule="auto"/>
              <w:ind w:left="8"/>
              <w:jc w:val="both"/>
              <w:rPr>
                <w:rFonts w:ascii="Garamond" w:hAnsi="Garamond"/>
                <w:highlight w:val="yellow"/>
              </w:rPr>
            </w:pPr>
            <w:r>
              <w:rPr>
                <w:rFonts w:ascii="Garamond" w:hAnsi="Garamond"/>
                <w:highlight w:val="yellow"/>
              </w:rPr>
              <w:t>– копий исполнительных документов с отметкой банка или иной кредитной организации, указывающих на окончание исполнения обязательства по оплате в связи с перечислением кредитору денежных средств в полном объеме или указывающих на частичное исполнение обязательства по оплате, размер взысканной суммы и основание для окончания исполнения;</w:t>
            </w:r>
          </w:p>
          <w:p w:rsidR="00F4583B" w:rsidRDefault="008E3836">
            <w:pPr>
              <w:autoSpaceDE w:val="0"/>
              <w:autoSpaceDN w:val="0"/>
              <w:adjustRightInd w:val="0"/>
              <w:spacing w:before="120" w:after="120" w:line="240" w:lineRule="auto"/>
              <w:ind w:left="8"/>
              <w:jc w:val="both"/>
              <w:rPr>
                <w:rFonts w:ascii="Garamond" w:hAnsi="Garamond"/>
                <w:highlight w:val="yellow"/>
              </w:rPr>
            </w:pPr>
            <w:r>
              <w:rPr>
                <w:rFonts w:ascii="Garamond" w:hAnsi="Garamond"/>
                <w:highlight w:val="yellow"/>
              </w:rPr>
              <w:t xml:space="preserve">– иных документов, подтверждающих исполнение, предусмотренных законодательством. </w:t>
            </w:r>
          </w:p>
          <w:p w:rsidR="00F4583B" w:rsidRDefault="008E3836">
            <w:pPr>
              <w:autoSpaceDE w:val="0"/>
              <w:autoSpaceDN w:val="0"/>
              <w:adjustRightInd w:val="0"/>
              <w:spacing w:before="120" w:after="120" w:line="240" w:lineRule="auto"/>
              <w:ind w:left="8"/>
              <w:jc w:val="both"/>
              <w:rPr>
                <w:rFonts w:ascii="Garamond" w:hAnsi="Garamond"/>
                <w:highlight w:val="yellow"/>
              </w:rPr>
            </w:pPr>
            <w:r>
              <w:rPr>
                <w:rFonts w:ascii="Garamond" w:hAnsi="Garamond"/>
                <w:highlight w:val="yellow"/>
              </w:rPr>
              <w:t xml:space="preserve"> б) в случае прекращения обязательств зачетом:</w:t>
            </w:r>
          </w:p>
          <w:p w:rsidR="00F4583B" w:rsidRDefault="008E3836">
            <w:pPr>
              <w:pStyle w:val="a9"/>
              <w:widowControl w:val="0"/>
              <w:ind w:left="8"/>
              <w:rPr>
                <w:rFonts w:ascii="Garamond" w:hAnsi="Garamond"/>
                <w:szCs w:val="22"/>
                <w:highlight w:val="yellow"/>
                <w:lang w:val="ru-RU" w:eastAsia="ru-RU"/>
              </w:rPr>
            </w:pPr>
            <w:r>
              <w:rPr>
                <w:rFonts w:ascii="Garamond" w:hAnsi="Garamond"/>
                <w:szCs w:val="22"/>
                <w:highlight w:val="yellow"/>
                <w:lang w:val="ru-RU" w:eastAsia="ru-RU"/>
              </w:rPr>
              <w:t>– копии судебного акта, предусматривающего зачет встречных однородных требований между истцом и ответчиком;</w:t>
            </w:r>
          </w:p>
          <w:p w:rsidR="00F4583B" w:rsidRDefault="008E3836">
            <w:pPr>
              <w:pStyle w:val="a9"/>
              <w:widowControl w:val="0"/>
              <w:ind w:left="8"/>
              <w:rPr>
                <w:rFonts w:ascii="Garamond" w:hAnsi="Garamond"/>
                <w:szCs w:val="22"/>
                <w:lang w:val="ru-RU" w:eastAsia="ru-RU"/>
              </w:rPr>
            </w:pPr>
            <w:r>
              <w:rPr>
                <w:rFonts w:ascii="Garamond" w:hAnsi="Garamond"/>
                <w:szCs w:val="22"/>
                <w:highlight w:val="yellow"/>
                <w:lang w:val="ru-RU" w:eastAsia="ru-RU"/>
              </w:rPr>
              <w:t>– акта, подписанного надлежащим образом уполномоченными представителями должника и кредитора, о зачете встречных однородных требований;</w:t>
            </w:r>
          </w:p>
          <w:p w:rsidR="00F4583B" w:rsidRDefault="008E3836">
            <w:pPr>
              <w:pStyle w:val="a9"/>
              <w:widowControl w:val="0"/>
              <w:ind w:left="8"/>
              <w:rPr>
                <w:rFonts w:ascii="Garamond" w:hAnsi="Garamond"/>
                <w:szCs w:val="22"/>
                <w:highlight w:val="yellow"/>
                <w:lang w:val="ru-RU" w:eastAsia="ru-RU"/>
              </w:rPr>
            </w:pPr>
            <w:r>
              <w:rPr>
                <w:rFonts w:ascii="Garamond" w:hAnsi="Garamond"/>
                <w:szCs w:val="22"/>
                <w:lang w:val="ru-RU" w:eastAsia="ru-RU"/>
              </w:rPr>
              <w:lastRenderedPageBreak/>
              <w:t xml:space="preserve">       </w:t>
            </w:r>
            <w:r>
              <w:rPr>
                <w:rFonts w:ascii="Garamond" w:hAnsi="Garamond"/>
                <w:szCs w:val="22"/>
                <w:highlight w:val="yellow"/>
                <w:lang w:val="ru-RU" w:eastAsia="ru-RU"/>
              </w:rPr>
              <w:t>в) в случае прощения долга:</w:t>
            </w:r>
          </w:p>
          <w:p w:rsidR="00F4583B" w:rsidRDefault="008E3836">
            <w:pPr>
              <w:pStyle w:val="a9"/>
              <w:widowControl w:val="0"/>
              <w:ind w:left="8"/>
              <w:rPr>
                <w:rFonts w:ascii="Garamond" w:hAnsi="Garamond"/>
                <w:szCs w:val="22"/>
                <w:lang w:val="ru-RU" w:eastAsia="ru-RU"/>
              </w:rPr>
            </w:pPr>
            <w:r>
              <w:rPr>
                <w:rFonts w:ascii="Garamond" w:hAnsi="Garamond"/>
                <w:szCs w:val="22"/>
                <w:highlight w:val="yellow"/>
                <w:lang w:val="ru-RU" w:eastAsia="ru-RU"/>
              </w:rPr>
              <w:t>– уведомления кредитора о прощении долга, подписанного надлежащим образом уполномоченным представителем кредитором;</w:t>
            </w:r>
          </w:p>
          <w:p w:rsidR="00F4583B" w:rsidRDefault="008E3836">
            <w:pPr>
              <w:pStyle w:val="a9"/>
              <w:widowControl w:val="0"/>
              <w:ind w:left="8"/>
              <w:rPr>
                <w:rFonts w:ascii="Garamond" w:hAnsi="Garamond"/>
                <w:szCs w:val="22"/>
                <w:highlight w:val="yellow"/>
                <w:lang w:val="ru-RU" w:eastAsia="ru-RU"/>
              </w:rPr>
            </w:pPr>
            <w:r>
              <w:rPr>
                <w:rFonts w:ascii="Garamond" w:hAnsi="Garamond"/>
                <w:szCs w:val="22"/>
                <w:highlight w:val="yellow"/>
                <w:lang w:val="ru-RU" w:eastAsia="ru-RU"/>
              </w:rPr>
              <w:t>– копии определения суда об утверждении мирового соглашения, уменьшающего размер обязательств между участниками оптового рынка – должником и кредитором.</w:t>
            </w:r>
          </w:p>
          <w:p w:rsidR="00F4583B" w:rsidRDefault="008E3836">
            <w:pPr>
              <w:spacing w:before="120" w:after="120" w:line="240" w:lineRule="auto"/>
              <w:ind w:left="8"/>
              <w:jc w:val="both"/>
              <w:rPr>
                <w:rFonts w:ascii="Garamond" w:hAnsi="Garamond"/>
                <w:highlight w:val="yellow"/>
              </w:rPr>
            </w:pPr>
            <w:r>
              <w:rPr>
                <w:rFonts w:ascii="Garamond" w:hAnsi="Garamond"/>
              </w:rPr>
              <w:t xml:space="preserve">19.2. </w:t>
            </w:r>
            <w:r>
              <w:rPr>
                <w:rFonts w:ascii="Garamond" w:hAnsi="Garamond"/>
                <w:highlight w:val="yellow"/>
              </w:rPr>
              <w:t>ЦФР прекращает учет обязательств по оплате и не рассчитывает неустойку при неисполнения указанных обязательств в случаях:</w:t>
            </w:r>
          </w:p>
          <w:p w:rsidR="00F4583B" w:rsidRDefault="008E3836">
            <w:pPr>
              <w:spacing w:before="120" w:after="120" w:line="240" w:lineRule="auto"/>
              <w:ind w:left="8"/>
              <w:jc w:val="both"/>
              <w:rPr>
                <w:rFonts w:ascii="Garamond" w:hAnsi="Garamond"/>
                <w:highlight w:val="yellow"/>
              </w:rPr>
            </w:pPr>
            <w:r>
              <w:rPr>
                <w:rFonts w:ascii="Garamond" w:hAnsi="Garamond"/>
                <w:highlight w:val="yellow"/>
              </w:rPr>
              <w:t xml:space="preserve">– перехода прав требования участника оптового рынка – кредитора по указанным обязательствам к третьему лицу;  </w:t>
            </w:r>
          </w:p>
          <w:p w:rsidR="00F4583B" w:rsidRDefault="008E3836">
            <w:pPr>
              <w:spacing w:before="120" w:after="120" w:line="240" w:lineRule="auto"/>
              <w:ind w:left="8"/>
              <w:jc w:val="both"/>
              <w:rPr>
                <w:rFonts w:ascii="Garamond" w:hAnsi="Garamond"/>
                <w:highlight w:val="yellow"/>
              </w:rPr>
            </w:pPr>
            <w:r>
              <w:rPr>
                <w:rFonts w:ascii="Garamond" w:hAnsi="Garamond"/>
                <w:highlight w:val="yellow"/>
              </w:rPr>
              <w:t>– перевода долга по указанным обязательствам участника оптового рынка – должника на третье лицо –</w:t>
            </w:r>
          </w:p>
          <w:p w:rsidR="00F4583B" w:rsidRDefault="008E3836">
            <w:pPr>
              <w:spacing w:before="120" w:after="120" w:line="240" w:lineRule="auto"/>
              <w:ind w:left="8"/>
              <w:jc w:val="both"/>
              <w:rPr>
                <w:rFonts w:ascii="Garamond" w:hAnsi="Garamond"/>
                <w:highlight w:val="yellow"/>
              </w:rPr>
            </w:pPr>
            <w:r>
              <w:rPr>
                <w:rFonts w:ascii="Garamond" w:hAnsi="Garamond"/>
                <w:highlight w:val="yellow"/>
              </w:rPr>
              <w:t xml:space="preserve">при условии предоставления в ЦФР участником оптового рынка – кредитором или должником по соответствующему обязательству копии судебного акта о взыскании задолженности по соответствующему обязательству, в котором указаны в качестве истца и ответчика участники оптового рынка, являющиеся кредитором и должником, и одного из следующих документов:  </w:t>
            </w:r>
          </w:p>
          <w:p w:rsidR="00F4583B" w:rsidRDefault="008E3836">
            <w:pPr>
              <w:spacing w:before="120" w:after="120" w:line="240" w:lineRule="auto"/>
              <w:ind w:left="8"/>
              <w:jc w:val="both"/>
              <w:rPr>
                <w:rFonts w:ascii="Garamond" w:hAnsi="Garamond"/>
                <w:highlight w:val="yellow"/>
              </w:rPr>
            </w:pPr>
            <w:r>
              <w:rPr>
                <w:rFonts w:ascii="Garamond" w:hAnsi="Garamond"/>
                <w:highlight w:val="yellow"/>
              </w:rPr>
              <w:t>– надлежащим образом заверенной копии договора уступки права требования (цессии) к ответчику, заключенного между истцом и третьим лицом;</w:t>
            </w:r>
          </w:p>
          <w:p w:rsidR="00F4583B" w:rsidRDefault="008E3836">
            <w:pPr>
              <w:spacing w:before="120" w:after="120" w:line="240" w:lineRule="auto"/>
              <w:ind w:left="8"/>
              <w:jc w:val="both"/>
              <w:rPr>
                <w:rFonts w:ascii="Garamond" w:hAnsi="Garamond"/>
                <w:highlight w:val="yellow"/>
              </w:rPr>
            </w:pPr>
            <w:r>
              <w:rPr>
                <w:rFonts w:ascii="Garamond" w:hAnsi="Garamond"/>
                <w:highlight w:val="yellow"/>
              </w:rPr>
              <w:t xml:space="preserve">– уведомления участника оптового рынка – кредитора об уступке прав требования третьему лицу; </w:t>
            </w:r>
          </w:p>
          <w:p w:rsidR="00F4583B" w:rsidRDefault="008E3836">
            <w:pPr>
              <w:pStyle w:val="a9"/>
              <w:widowControl w:val="0"/>
              <w:ind w:left="8"/>
              <w:rPr>
                <w:rFonts w:ascii="Garamond" w:hAnsi="Garamond"/>
                <w:szCs w:val="22"/>
                <w:highlight w:val="yellow"/>
                <w:lang w:val="ru-RU" w:eastAsia="ru-RU"/>
              </w:rPr>
            </w:pPr>
            <w:r>
              <w:rPr>
                <w:rFonts w:ascii="Garamond" w:hAnsi="Garamond"/>
                <w:szCs w:val="22"/>
                <w:highlight w:val="yellow"/>
                <w:lang w:val="ru-RU" w:eastAsia="ru-RU"/>
              </w:rPr>
              <w:t>– надлежащим образом заверенной копии договора (соглашения) перевода долга, заключенного между должником и третьим лицом, содержащего письменное согласие кредитора на перевод долга от ответчика к третьему лицу.</w:t>
            </w:r>
          </w:p>
          <w:p w:rsidR="00F4583B" w:rsidRDefault="008E3836">
            <w:pPr>
              <w:spacing w:before="120" w:after="120" w:line="240" w:lineRule="auto"/>
              <w:ind w:left="8"/>
              <w:jc w:val="both"/>
              <w:rPr>
                <w:rFonts w:ascii="Garamond" w:hAnsi="Garamond"/>
                <w:highlight w:val="yellow"/>
              </w:rPr>
            </w:pPr>
            <w:r>
              <w:rPr>
                <w:rFonts w:ascii="Garamond" w:hAnsi="Garamond"/>
                <w:highlight w:val="yellow"/>
              </w:rPr>
              <w:t xml:space="preserve">19.3. ЦФР учитывает прекращение обязательств по оплате не позднее второго рабочего дня после получения документов, указанных в </w:t>
            </w:r>
            <w:proofErr w:type="spellStart"/>
            <w:r>
              <w:rPr>
                <w:rFonts w:ascii="Garamond" w:hAnsi="Garamond"/>
                <w:highlight w:val="yellow"/>
              </w:rPr>
              <w:t>пп</w:t>
            </w:r>
            <w:proofErr w:type="spellEnd"/>
            <w:r>
              <w:rPr>
                <w:rFonts w:ascii="Garamond" w:hAnsi="Garamond"/>
                <w:highlight w:val="yellow"/>
              </w:rPr>
              <w:t xml:space="preserve">. 19.1, 19.2 настоящего Регламента, за исключением случаев, когда невозможно определить на основании предоставленного участником оптового рынка судебного акта, на основании какого договора и за </w:t>
            </w:r>
            <w:r>
              <w:rPr>
                <w:rFonts w:ascii="Garamond" w:hAnsi="Garamond"/>
                <w:highlight w:val="yellow"/>
              </w:rPr>
              <w:lastRenderedPageBreak/>
              <w:t>какие периоды возникло обязательство по оплате (пункт 19.7 настоящего Регламента).</w:t>
            </w:r>
          </w:p>
          <w:p w:rsidR="00F4583B" w:rsidRDefault="008E3836">
            <w:pPr>
              <w:spacing w:before="120" w:after="120" w:line="240" w:lineRule="auto"/>
              <w:ind w:left="8"/>
              <w:jc w:val="both"/>
              <w:rPr>
                <w:rFonts w:ascii="Garamond" w:hAnsi="Garamond"/>
                <w:highlight w:val="yellow"/>
              </w:rPr>
            </w:pPr>
            <w:r>
              <w:rPr>
                <w:rFonts w:ascii="Garamond" w:hAnsi="Garamond"/>
                <w:highlight w:val="yellow"/>
              </w:rPr>
              <w:t xml:space="preserve">В случаях, предусмотренных пунктом 19.7 настоящего Регламента, ЦФР не позднее второго рабочего дня после получения документов, указанных в </w:t>
            </w:r>
            <w:proofErr w:type="spellStart"/>
            <w:r>
              <w:rPr>
                <w:rFonts w:ascii="Garamond" w:hAnsi="Garamond"/>
                <w:highlight w:val="yellow"/>
              </w:rPr>
              <w:t>пп</w:t>
            </w:r>
            <w:proofErr w:type="spellEnd"/>
            <w:r>
              <w:rPr>
                <w:rFonts w:ascii="Garamond" w:hAnsi="Garamond"/>
                <w:highlight w:val="yellow"/>
              </w:rPr>
              <w:t>. 19.1, 19.2 настоящего Регламента, направляет запрос о предоставлении дополнительных документов и (или) информации, предусмотренных п. 19.7 настоящего Регламента.</w:t>
            </w:r>
          </w:p>
          <w:p w:rsidR="00F4583B" w:rsidRDefault="008E3836">
            <w:pPr>
              <w:spacing w:before="120" w:after="120" w:line="240" w:lineRule="auto"/>
              <w:ind w:left="8"/>
              <w:jc w:val="both"/>
              <w:rPr>
                <w:rFonts w:ascii="Garamond" w:hAnsi="Garamond"/>
                <w:highlight w:val="yellow"/>
              </w:rPr>
            </w:pPr>
            <w:r>
              <w:rPr>
                <w:rFonts w:ascii="Garamond" w:hAnsi="Garamond"/>
                <w:highlight w:val="yellow"/>
              </w:rPr>
              <w:t>ЦФР учитывает прекращение обязательств по оплате не позднее второго рабочего дня после получения дополнительных документов, указанных в п. 19.7 настоящего Регламента.</w:t>
            </w:r>
          </w:p>
          <w:p w:rsidR="00F4583B" w:rsidRDefault="008E3836">
            <w:pPr>
              <w:spacing w:before="120" w:after="120" w:line="240" w:lineRule="auto"/>
              <w:ind w:left="8"/>
              <w:jc w:val="both"/>
              <w:rPr>
                <w:rFonts w:ascii="Garamond" w:hAnsi="Garamond"/>
                <w:highlight w:val="yellow"/>
              </w:rPr>
            </w:pPr>
            <w:r>
              <w:rPr>
                <w:rFonts w:ascii="Garamond" w:hAnsi="Garamond"/>
                <w:highlight w:val="yellow"/>
              </w:rPr>
              <w:t>До получения дополнительных документов и (или) информации ЦФР не учитывает прекращение обязательств по оплате.</w:t>
            </w:r>
          </w:p>
          <w:p w:rsidR="00F4583B" w:rsidRDefault="008E3836">
            <w:pPr>
              <w:pStyle w:val="a9"/>
              <w:widowControl w:val="0"/>
              <w:ind w:left="8"/>
              <w:rPr>
                <w:rFonts w:ascii="Garamond" w:hAnsi="Garamond"/>
                <w:szCs w:val="22"/>
                <w:highlight w:val="yellow"/>
                <w:lang w:val="ru-RU" w:eastAsia="ru-RU"/>
              </w:rPr>
            </w:pPr>
            <w:r>
              <w:rPr>
                <w:rFonts w:ascii="Garamond" w:hAnsi="Garamond"/>
                <w:szCs w:val="22"/>
                <w:highlight w:val="yellow"/>
                <w:lang w:val="ru-RU" w:eastAsia="ru-RU"/>
              </w:rPr>
              <w:t>В случае если возражения со стороны кредитора о недостоверности информации и (или) документов, предоставленных должником, поступят в ЦФР после прекращения ЦФР обязательств по оплате, ЦФР запрашивает дополнительные документы у должника и (или) у кредитора. При подтверждении факта недостоверности предоставленных должником документов и (или) информации ЦФР восстанавливает учет соответствующих обязательств по оплате.</w:t>
            </w:r>
          </w:p>
          <w:p w:rsidR="00F4583B" w:rsidRDefault="008E3836">
            <w:pPr>
              <w:spacing w:before="120" w:after="120" w:line="240" w:lineRule="auto"/>
              <w:ind w:left="8"/>
              <w:jc w:val="both"/>
              <w:rPr>
                <w:rFonts w:ascii="Garamond" w:hAnsi="Garamond"/>
                <w:highlight w:val="yellow"/>
              </w:rPr>
            </w:pPr>
            <w:r>
              <w:rPr>
                <w:rFonts w:ascii="Garamond" w:hAnsi="Garamond"/>
                <w:highlight w:val="yellow"/>
              </w:rPr>
              <w:t xml:space="preserve">19.4. </w:t>
            </w:r>
            <w:r>
              <w:rPr>
                <w:rFonts w:ascii="Garamond" w:hAnsi="Garamond"/>
              </w:rPr>
              <w:t xml:space="preserve">ЦФР учитывает прекращение обязательств по оплате по соответствующему договору, заключенному на оптовом рынке, за расчетные периоды, указанные в судебном акте, при условии, если обязательства по оплате за эти периоды не были исполнены через уполномоченную кредитную организацию до учета ЦФР прекращения обязательств по оплате </w:t>
            </w:r>
            <w:r>
              <w:rPr>
                <w:rFonts w:ascii="Garamond" w:hAnsi="Garamond"/>
                <w:highlight w:val="yellow"/>
              </w:rPr>
              <w:t xml:space="preserve">в случаях, предусмотренных </w:t>
            </w:r>
            <w:proofErr w:type="spellStart"/>
            <w:r>
              <w:rPr>
                <w:rFonts w:ascii="Garamond" w:hAnsi="Garamond"/>
                <w:highlight w:val="yellow"/>
              </w:rPr>
              <w:t>пп</w:t>
            </w:r>
            <w:proofErr w:type="spellEnd"/>
            <w:r>
              <w:rPr>
                <w:rFonts w:ascii="Garamond" w:hAnsi="Garamond"/>
                <w:highlight w:val="yellow"/>
              </w:rPr>
              <w:t>. 19.1, 19.2, 19.3, 19.7 настоящего Регламента.</w:t>
            </w:r>
          </w:p>
          <w:p w:rsidR="00F4583B" w:rsidRDefault="008E3836">
            <w:pPr>
              <w:spacing w:before="120" w:after="120" w:line="240" w:lineRule="auto"/>
              <w:ind w:left="8"/>
              <w:jc w:val="both"/>
              <w:rPr>
                <w:rFonts w:ascii="Garamond" w:hAnsi="Garamond"/>
                <w:highlight w:val="yellow"/>
              </w:rPr>
            </w:pPr>
            <w:r>
              <w:rPr>
                <w:rFonts w:ascii="Garamond" w:hAnsi="Garamond"/>
              </w:rPr>
              <w:t xml:space="preserve">Если обязательства по оплате за соответствующие расчетные периоды были частично исполнены через уполномоченную кредитную организацию до учета ЦФР прекращения обязательств по оплате </w:t>
            </w:r>
            <w:r>
              <w:rPr>
                <w:rFonts w:ascii="Garamond" w:hAnsi="Garamond"/>
                <w:highlight w:val="yellow"/>
              </w:rPr>
              <w:t xml:space="preserve">в случаях, предусмотренных </w:t>
            </w:r>
            <w:proofErr w:type="spellStart"/>
            <w:r>
              <w:rPr>
                <w:rFonts w:ascii="Garamond" w:hAnsi="Garamond"/>
                <w:highlight w:val="yellow"/>
              </w:rPr>
              <w:t>пп</w:t>
            </w:r>
            <w:proofErr w:type="spellEnd"/>
            <w:r>
              <w:rPr>
                <w:rFonts w:ascii="Garamond" w:hAnsi="Garamond"/>
                <w:highlight w:val="yellow"/>
              </w:rPr>
              <w:t xml:space="preserve">. 19.1, 19.2, 19.3, 19.7 настоящего Регламента, </w:t>
            </w:r>
            <w:r>
              <w:rPr>
                <w:rFonts w:ascii="Garamond" w:hAnsi="Garamond"/>
              </w:rPr>
              <w:t>ЦФР учитывает прекращение обязательств по оплате по соответствующему договору в размере неисполненных через уполномоченную кредитную организацию обязательств за соответствующие расчетные периоды</w:t>
            </w:r>
            <w:r>
              <w:rPr>
                <w:rFonts w:ascii="Garamond" w:hAnsi="Garamond"/>
                <w:highlight w:val="yellow"/>
              </w:rPr>
              <w:t>.</w:t>
            </w:r>
          </w:p>
          <w:p w:rsidR="00F4583B" w:rsidRDefault="008E3836">
            <w:pPr>
              <w:pStyle w:val="a9"/>
              <w:widowControl w:val="0"/>
              <w:ind w:left="8"/>
              <w:rPr>
                <w:rFonts w:ascii="Garamond" w:hAnsi="Garamond"/>
                <w:szCs w:val="22"/>
                <w:highlight w:val="yellow"/>
                <w:lang w:val="ru-RU" w:eastAsia="ru-RU"/>
              </w:rPr>
            </w:pPr>
            <w:r>
              <w:rPr>
                <w:rFonts w:ascii="Garamond" w:hAnsi="Garamond"/>
                <w:szCs w:val="22"/>
                <w:lang w:val="ru-RU" w:eastAsia="ru-RU"/>
              </w:rPr>
              <w:lastRenderedPageBreak/>
              <w:t xml:space="preserve">Если обязательства по оплате по соответствующему договору, заключенному на оптовом рынке, за расчетные периоды, указанные в судебном акте, были исполнены полностью или частично через уполномоченную кредитную организацию до учета ЦФР прекращения обязательств по оплате </w:t>
            </w:r>
            <w:r>
              <w:rPr>
                <w:rFonts w:ascii="Garamond" w:hAnsi="Garamond"/>
                <w:szCs w:val="22"/>
                <w:highlight w:val="yellow"/>
                <w:lang w:val="ru-RU" w:eastAsia="ru-RU"/>
              </w:rPr>
              <w:t xml:space="preserve">в случаях, предусмотренных </w:t>
            </w:r>
            <w:proofErr w:type="spellStart"/>
            <w:r>
              <w:rPr>
                <w:rFonts w:ascii="Garamond" w:hAnsi="Garamond"/>
                <w:szCs w:val="22"/>
                <w:highlight w:val="yellow"/>
                <w:lang w:val="ru-RU" w:eastAsia="ru-RU"/>
              </w:rPr>
              <w:t>пп</w:t>
            </w:r>
            <w:proofErr w:type="spellEnd"/>
            <w:r>
              <w:rPr>
                <w:rFonts w:ascii="Garamond" w:hAnsi="Garamond"/>
                <w:szCs w:val="22"/>
                <w:highlight w:val="yellow"/>
                <w:lang w:val="ru-RU" w:eastAsia="ru-RU"/>
              </w:rPr>
              <w:t xml:space="preserve">. 19.1, 19.2, 19.3, 19.7 настоящего Регламента, </w:t>
            </w:r>
            <w:r>
              <w:rPr>
                <w:rFonts w:ascii="Garamond" w:hAnsi="Garamond"/>
                <w:szCs w:val="22"/>
                <w:lang w:val="ru-RU" w:eastAsia="ru-RU"/>
              </w:rPr>
              <w:t>урегулирование вопросов, связанных с возвратом уплаченных денежных средств, производится участниками в двустороннем порядке без участия ЦФР.</w:t>
            </w:r>
            <w:r>
              <w:rPr>
                <w:rFonts w:ascii="Garamond" w:hAnsi="Garamond"/>
                <w:szCs w:val="22"/>
                <w:highlight w:val="yellow"/>
                <w:lang w:val="ru-RU" w:eastAsia="ru-RU"/>
              </w:rPr>
              <w:t xml:space="preserve">  </w:t>
            </w:r>
          </w:p>
          <w:p w:rsidR="00F4583B" w:rsidRDefault="008E3836">
            <w:pPr>
              <w:pStyle w:val="a9"/>
              <w:ind w:left="8"/>
              <w:rPr>
                <w:rFonts w:ascii="Garamond" w:hAnsi="Garamond"/>
                <w:szCs w:val="22"/>
                <w:lang w:val="ru-RU" w:eastAsia="ru-RU"/>
              </w:rPr>
            </w:pPr>
            <w:r>
              <w:rPr>
                <w:rFonts w:ascii="Garamond" w:hAnsi="Garamond"/>
                <w:szCs w:val="22"/>
                <w:highlight w:val="yellow"/>
                <w:lang w:val="ru-RU" w:eastAsia="ru-RU"/>
              </w:rPr>
              <w:t xml:space="preserve">19.5. </w:t>
            </w:r>
            <w:r>
              <w:rPr>
                <w:rFonts w:ascii="Garamond" w:hAnsi="Garamond"/>
                <w:szCs w:val="22"/>
                <w:lang w:val="ru-RU" w:eastAsia="ru-RU"/>
              </w:rPr>
              <w:t>ЦФР информирует продавца и покупателя об учете исполнения обязательств путем публикации на сайте КО Отчета о состоянии обязательств (Приложение 16 к настоящему Регламенту).</w:t>
            </w:r>
          </w:p>
          <w:p w:rsidR="00F4583B" w:rsidRDefault="008E3836">
            <w:pPr>
              <w:spacing w:before="120" w:after="120" w:line="240" w:lineRule="auto"/>
              <w:ind w:left="8"/>
              <w:jc w:val="both"/>
              <w:rPr>
                <w:rFonts w:ascii="Garamond" w:hAnsi="Garamond"/>
                <w:highlight w:val="yellow"/>
              </w:rPr>
            </w:pPr>
            <w:r>
              <w:rPr>
                <w:rFonts w:ascii="Garamond" w:hAnsi="Garamond"/>
                <w:highlight w:val="yellow"/>
              </w:rPr>
              <w:t>19.6. ЦФР осуществляет мониторинг судебных актов арбитражных судов Российской Федерации на предмет отказа в удовлетворении исковых требований о взыскании задолженности по обязательствам по оплате. Мониторинг судебных актов осуществляется по делам с участием ЦФР в качестве третьего лица, не заявляющего самостоятельных требований относительно предмета спора, а также по иным делам в случае информирования ЦФР со стороны истца и (или) ответчика.</w:t>
            </w:r>
          </w:p>
          <w:p w:rsidR="00F4583B" w:rsidRDefault="008E3836">
            <w:pPr>
              <w:spacing w:before="120" w:after="120" w:line="240" w:lineRule="auto"/>
              <w:ind w:left="8"/>
              <w:jc w:val="both"/>
              <w:rPr>
                <w:rFonts w:ascii="Garamond" w:hAnsi="Garamond"/>
                <w:highlight w:val="yellow"/>
              </w:rPr>
            </w:pPr>
            <w:r>
              <w:rPr>
                <w:rFonts w:ascii="Garamond" w:hAnsi="Garamond"/>
                <w:highlight w:val="yellow"/>
              </w:rPr>
              <w:t>Мониторинг вышеназванных судебных актов осуществляется ЦФР посредством использования Картотеки арбитражных дел (</w:t>
            </w:r>
            <w:hyperlink r:id="rId8" w:history="1">
              <w:r>
                <w:rPr>
                  <w:rFonts w:ascii="Garamond" w:hAnsi="Garamond"/>
                  <w:highlight w:val="yellow"/>
                </w:rPr>
                <w:t>http://kad.arbitr.ru/</w:t>
              </w:r>
            </w:hyperlink>
            <w:r>
              <w:rPr>
                <w:rFonts w:ascii="Garamond" w:hAnsi="Garamond"/>
                <w:highlight w:val="yellow"/>
              </w:rPr>
              <w:t xml:space="preserve">) системы «Электронное правосудие арбитражных судов Российской Федерации».   </w:t>
            </w:r>
          </w:p>
          <w:p w:rsidR="00F4583B" w:rsidRDefault="008E3836">
            <w:pPr>
              <w:spacing w:before="120" w:after="120" w:line="240" w:lineRule="auto"/>
              <w:ind w:left="8"/>
              <w:jc w:val="both"/>
              <w:rPr>
                <w:rFonts w:ascii="Garamond" w:hAnsi="Garamond"/>
                <w:highlight w:val="yellow"/>
              </w:rPr>
            </w:pPr>
            <w:r>
              <w:rPr>
                <w:rFonts w:ascii="Garamond" w:hAnsi="Garamond"/>
                <w:highlight w:val="yellow"/>
              </w:rPr>
              <w:t xml:space="preserve">19.6.1. </w:t>
            </w:r>
            <w:r>
              <w:rPr>
                <w:rFonts w:ascii="Garamond" w:hAnsi="Garamond"/>
              </w:rPr>
              <w:t>С даты, следующей за датой получения ЦФР информации о вступлении в законную силу судебного акта в отношении участника оптового рынка об отказе в удовлетворении исковых требований о взыскании задолженности по обязательствам по оплате</w:t>
            </w:r>
            <w:r>
              <w:rPr>
                <w:rFonts w:ascii="Garamond" w:hAnsi="Garamond"/>
                <w:highlight w:val="yellow"/>
              </w:rPr>
              <w:t>, расчеты с указанным участником оптового рынка осуществляются в порядке, установленном настоящим Регламентом, с учетом следующих особенностей:</w:t>
            </w:r>
          </w:p>
          <w:p w:rsidR="00F4583B" w:rsidRDefault="008E3836">
            <w:pPr>
              <w:spacing w:before="120" w:after="120" w:line="240" w:lineRule="auto"/>
              <w:ind w:left="8"/>
              <w:jc w:val="both"/>
              <w:rPr>
                <w:rFonts w:ascii="Garamond" w:hAnsi="Garamond"/>
                <w:highlight w:val="yellow"/>
              </w:rPr>
            </w:pPr>
            <w:r>
              <w:rPr>
                <w:rFonts w:ascii="Garamond" w:hAnsi="Garamond"/>
                <w:highlight w:val="yellow"/>
              </w:rPr>
              <w:t>– ЦФР не включает в Сводный реестр платежей, направляемый в уполномоченную кредитную организацию, неисполненные обязательства такого участника оптового рынка, возникшие по договорам, заключенным на оптовом рынке, за расчетные периоды, указанные в судебном акте;</w:t>
            </w:r>
          </w:p>
          <w:p w:rsidR="00F4583B" w:rsidRDefault="008E3836">
            <w:pPr>
              <w:spacing w:before="120" w:after="120" w:line="240" w:lineRule="auto"/>
              <w:ind w:left="8"/>
              <w:jc w:val="both"/>
              <w:rPr>
                <w:rFonts w:ascii="Garamond" w:hAnsi="Garamond"/>
                <w:highlight w:val="yellow"/>
              </w:rPr>
            </w:pPr>
            <w:r>
              <w:rPr>
                <w:rFonts w:ascii="Garamond" w:hAnsi="Garamond"/>
                <w:highlight w:val="yellow"/>
              </w:rPr>
              <w:lastRenderedPageBreak/>
              <w:t>– ЦФР не включает в Сводный реестр платежей, направляемый в уполномоченную кредитную организацию, неустойку, рассчитанную за нарушение таким участником оптового рынка сроков исполнения вышеуказанных обязательств;</w:t>
            </w:r>
          </w:p>
          <w:p w:rsidR="00F4583B" w:rsidRDefault="008E3836">
            <w:pPr>
              <w:spacing w:before="120" w:after="120" w:line="240" w:lineRule="auto"/>
              <w:ind w:left="8"/>
              <w:jc w:val="both"/>
              <w:rPr>
                <w:rFonts w:ascii="Garamond" w:hAnsi="Garamond"/>
                <w:highlight w:val="yellow"/>
              </w:rPr>
            </w:pPr>
            <w:r>
              <w:rPr>
                <w:rFonts w:ascii="Garamond" w:hAnsi="Garamond"/>
                <w:highlight w:val="yellow"/>
              </w:rPr>
              <w:t>– ЦФР не рассчитывает неустойку за нарушение сроков исполнения таким участником оптового рынка вышеуказанных обязательств.</w:t>
            </w:r>
          </w:p>
          <w:p w:rsidR="00F4583B" w:rsidRDefault="008E3836">
            <w:pPr>
              <w:spacing w:before="120" w:after="120" w:line="240" w:lineRule="auto"/>
              <w:ind w:left="8"/>
              <w:jc w:val="both"/>
              <w:rPr>
                <w:rFonts w:ascii="Garamond" w:hAnsi="Garamond"/>
                <w:highlight w:val="yellow"/>
              </w:rPr>
            </w:pPr>
            <w:r>
              <w:rPr>
                <w:rFonts w:ascii="Garamond" w:hAnsi="Garamond"/>
                <w:highlight w:val="yellow"/>
              </w:rPr>
              <w:t xml:space="preserve">19.6.2. </w:t>
            </w:r>
            <w:r>
              <w:rPr>
                <w:rFonts w:ascii="Garamond" w:hAnsi="Garamond"/>
              </w:rPr>
              <w:t>С даты, следующей за датой получения ЦФР информации об отмене судом вышестоящей инстанции судебного акта в отношении участника оптового рынка об отказе в удовлетворении исковых требований о взыскании задолженности, вступившего ранее в законную силу, ЦФР</w:t>
            </w:r>
            <w:r>
              <w:rPr>
                <w:rFonts w:ascii="Garamond" w:hAnsi="Garamond"/>
                <w:highlight w:val="yellow"/>
              </w:rPr>
              <w:t xml:space="preserve"> проводит следующие действия:</w:t>
            </w:r>
          </w:p>
          <w:p w:rsidR="00F4583B" w:rsidRDefault="008E3836">
            <w:pPr>
              <w:spacing w:before="120" w:after="120" w:line="240" w:lineRule="auto"/>
              <w:ind w:left="8"/>
              <w:jc w:val="both"/>
              <w:rPr>
                <w:rFonts w:ascii="Garamond" w:hAnsi="Garamond"/>
                <w:highlight w:val="yellow"/>
              </w:rPr>
            </w:pPr>
            <w:r>
              <w:rPr>
                <w:rFonts w:ascii="Garamond" w:hAnsi="Garamond"/>
                <w:highlight w:val="yellow"/>
              </w:rPr>
              <w:t>– осуществляет расчеты с данным участником оптового рынка по неисполненным обязательствам, указанным в пункте 19.6.1 настоящего Регламента, в порядке, предусмотренном настоящим Регламентом;</w:t>
            </w:r>
          </w:p>
          <w:p w:rsidR="00F4583B" w:rsidRDefault="008E3836">
            <w:pPr>
              <w:pStyle w:val="a9"/>
              <w:ind w:left="8"/>
              <w:rPr>
                <w:rFonts w:ascii="Garamond" w:hAnsi="Garamond"/>
                <w:szCs w:val="22"/>
                <w:highlight w:val="yellow"/>
                <w:lang w:val="ru-RU" w:eastAsia="ru-RU"/>
              </w:rPr>
            </w:pPr>
            <w:r>
              <w:rPr>
                <w:rFonts w:ascii="Garamond" w:hAnsi="Garamond"/>
                <w:szCs w:val="22"/>
                <w:highlight w:val="yellow"/>
                <w:lang w:val="ru-RU" w:eastAsia="ru-RU"/>
              </w:rPr>
              <w:t xml:space="preserve">– возобновляет расчет неустойки за нарушение сроков исполнения таким участником оптового рынка обязательств, указанных в пункте 19.6.1 настоящего Регламента, с учетом особенностей, установленных настоящим Регламентом.  </w:t>
            </w:r>
          </w:p>
          <w:p w:rsidR="00F4583B" w:rsidRDefault="008E3836">
            <w:pPr>
              <w:pStyle w:val="a9"/>
              <w:ind w:left="8"/>
              <w:rPr>
                <w:rFonts w:ascii="Garamond" w:hAnsi="Garamond"/>
                <w:szCs w:val="22"/>
                <w:highlight w:val="yellow"/>
                <w:lang w:val="ru-RU" w:eastAsia="ru-RU"/>
              </w:rPr>
            </w:pPr>
            <w:r>
              <w:rPr>
                <w:rFonts w:ascii="Garamond" w:hAnsi="Garamond"/>
                <w:szCs w:val="22"/>
                <w:highlight w:val="yellow"/>
                <w:lang w:val="ru-RU" w:eastAsia="ru-RU"/>
              </w:rPr>
              <w:t>19.7. В случае невозможности определить на основании предоставленного участником оптового рынка судебного акта, по какому договору и за какие периоды возникло обязательство по оплате, которое являлось предметом судебного рассмотрения, участник оптового рынка обязан предоставить по запросу ЦФР, указанному в п. 19.3 настоящего Регламента, надлежащим образом заверенные копии документов, позволяющих идентифицировать указанное обязательство (в частности, исковое заявление, заявление о выдаче судебного приказа).</w:t>
            </w:r>
          </w:p>
          <w:p w:rsidR="00F4583B" w:rsidRDefault="00F4583B">
            <w:pPr>
              <w:spacing w:before="120" w:after="120" w:line="240" w:lineRule="auto"/>
              <w:ind w:left="8"/>
              <w:jc w:val="both"/>
              <w:rPr>
                <w:rFonts w:ascii="Garamond" w:hAnsi="Garamond" w:cs="Garamond"/>
                <w:b/>
                <w:highlight w:val="yellow"/>
              </w:rPr>
            </w:pPr>
          </w:p>
        </w:tc>
        <w:tc>
          <w:tcPr>
            <w:tcW w:w="2460" w:type="pct"/>
            <w:tcBorders>
              <w:top w:val="single" w:sz="4" w:space="0" w:color="auto"/>
              <w:left w:val="single" w:sz="4" w:space="0" w:color="auto"/>
              <w:bottom w:val="single" w:sz="4" w:space="0" w:color="auto"/>
              <w:right w:val="single" w:sz="4" w:space="0" w:color="auto"/>
            </w:tcBorders>
            <w:vAlign w:val="center"/>
          </w:tcPr>
          <w:p w:rsidR="00F4583B" w:rsidRDefault="008E3836">
            <w:pPr>
              <w:pStyle w:val="1"/>
            </w:pPr>
            <w:r>
              <w:lastRenderedPageBreak/>
              <w:t xml:space="preserve">ПОРЯДОК ВЗАИМОДЕЙСТВИЯ ЦФР И УЧАСТНИКОВ ОПТОВОГО РЫНКА ПО УЧЕТУ ОБЯЗАТЕЛЬСТВ ПО ОПЛАТЕ, </w:t>
            </w:r>
            <w:r>
              <w:rPr>
                <w:highlight w:val="yellow"/>
              </w:rPr>
              <w:t>ИСПОЛНЕНИЕ КОТОРЫХ ОСУЩЕСТВЛЯЕТСЯ ВНЕ УПОЛНОМОЧЕННОЙ КРЕДИТНОЙ ОРГАНИЗАЦИИ</w:t>
            </w:r>
          </w:p>
          <w:p w:rsidR="00F4583B" w:rsidRDefault="008E3836">
            <w:pPr>
              <w:spacing w:before="120" w:after="120" w:line="240" w:lineRule="auto"/>
              <w:jc w:val="both"/>
              <w:rPr>
                <w:rFonts w:ascii="Garamond" w:hAnsi="Garamond"/>
                <w:highlight w:val="yellow"/>
              </w:rPr>
            </w:pPr>
            <w:r>
              <w:rPr>
                <w:rFonts w:ascii="Garamond" w:hAnsi="Garamond"/>
              </w:rPr>
              <w:t xml:space="preserve">19.1. В соответствии с настоящим разделом ЦФР учитывает прекращение обязательств по оплате </w:t>
            </w:r>
            <w:r>
              <w:rPr>
                <w:rFonts w:ascii="Garamond" w:hAnsi="Garamond"/>
                <w:highlight w:val="yellow"/>
              </w:rPr>
              <w:t>или прекращает учет обязательств, исполнение которых осуществляется без использования торговых счетов участников оптового рынка, открытых в уполномоченной кредитной организации, в следующих случаях:</w:t>
            </w:r>
          </w:p>
          <w:p w:rsidR="00F4583B" w:rsidRDefault="008E3836">
            <w:pPr>
              <w:spacing w:before="120" w:after="120" w:line="240" w:lineRule="auto"/>
              <w:ind w:firstLine="710"/>
              <w:jc w:val="both"/>
              <w:rPr>
                <w:rFonts w:ascii="Garamond" w:hAnsi="Garamond"/>
                <w:highlight w:val="yellow"/>
              </w:rPr>
            </w:pPr>
            <w:r>
              <w:rPr>
                <w:rFonts w:ascii="Garamond" w:hAnsi="Garamond"/>
                <w:highlight w:val="yellow"/>
              </w:rPr>
              <w:t>– вступления в законную силу судебного акта (в том числе решения третейского суда) о взыскании задолженности по договорам, заключенным на оптовом рынке (далее – взыскание задолженности в судебном порядке). В указанном судебном акте в качестве истца и ответчика должны быть указаны участники оптового рынка, ФСК, СО, АТС, ЦФР, являющиеся кредитором и должником в обязательстве по оплате;</w:t>
            </w:r>
          </w:p>
          <w:p w:rsidR="00F4583B" w:rsidRDefault="008E3836">
            <w:pPr>
              <w:spacing w:before="120" w:after="120" w:line="240" w:lineRule="auto"/>
              <w:ind w:firstLine="710"/>
              <w:jc w:val="both"/>
              <w:rPr>
                <w:rFonts w:ascii="Garamond" w:hAnsi="Garamond"/>
                <w:highlight w:val="yellow"/>
              </w:rPr>
            </w:pPr>
            <w:r>
              <w:rPr>
                <w:rFonts w:ascii="Garamond" w:hAnsi="Garamond"/>
                <w:highlight w:val="yellow"/>
              </w:rPr>
              <w:t xml:space="preserve">– лишения участника оптового рынка статуса субъекта оптового рынка или права участия в торговле электрической энергией (мощностью) на </w:t>
            </w:r>
            <w:r>
              <w:rPr>
                <w:rFonts w:ascii="Garamond" w:hAnsi="Garamond"/>
                <w:highlight w:val="yellow"/>
              </w:rPr>
              <w:lastRenderedPageBreak/>
              <w:t>оптовом рынке в отношении всех зарегистрированных за ним ГТП (далее – лишения права на участие или статуса);</w:t>
            </w:r>
          </w:p>
          <w:p w:rsidR="00F4583B" w:rsidRDefault="008E3836">
            <w:pPr>
              <w:spacing w:before="120" w:after="120" w:line="240" w:lineRule="auto"/>
              <w:ind w:firstLine="710"/>
              <w:jc w:val="both"/>
              <w:rPr>
                <w:rFonts w:ascii="Garamond" w:hAnsi="Garamond"/>
                <w:highlight w:val="yellow"/>
              </w:rPr>
            </w:pPr>
            <w:r>
              <w:rPr>
                <w:rFonts w:ascii="Garamond" w:hAnsi="Garamond"/>
                <w:highlight w:val="yellow"/>
              </w:rPr>
              <w:t>– заключения дополнительных соглашений к РД о порядке расчетов потребителями с низкой платежной дисциплиной (далее – заключение дополнительных соглашений к РД);</w:t>
            </w:r>
          </w:p>
          <w:p w:rsidR="00F4583B" w:rsidRDefault="008E3836">
            <w:pPr>
              <w:spacing w:before="120" w:after="120" w:line="240" w:lineRule="auto"/>
              <w:ind w:firstLine="710"/>
              <w:jc w:val="both"/>
              <w:rPr>
                <w:rFonts w:ascii="Garamond" w:hAnsi="Garamond"/>
                <w:highlight w:val="yellow"/>
              </w:rPr>
            </w:pPr>
            <w:r>
              <w:rPr>
                <w:rFonts w:ascii="Garamond" w:hAnsi="Garamond"/>
                <w:highlight w:val="yellow"/>
              </w:rPr>
              <w:t>– вступления в законную силу судебного акта о признании участника оптового рынка несостоятельным (банкротом) и введения в отношении него процедуры конкурсного производства (далее – признание участника оптового рынка банкротом);</w:t>
            </w:r>
          </w:p>
          <w:p w:rsidR="00F4583B" w:rsidRDefault="008E3836">
            <w:pPr>
              <w:spacing w:before="120" w:after="120" w:line="240" w:lineRule="auto"/>
              <w:ind w:firstLine="710"/>
              <w:jc w:val="both"/>
              <w:rPr>
                <w:rFonts w:ascii="Garamond" w:hAnsi="Garamond"/>
              </w:rPr>
            </w:pPr>
            <w:r>
              <w:rPr>
                <w:rFonts w:ascii="Garamond" w:hAnsi="Garamond"/>
                <w:highlight w:val="yellow"/>
              </w:rPr>
              <w:t>– передачи в соответствии с разделом 14 настоящего Регламента участнику оптового рынка, являющемуся комитентом в договорах комиссии, заключенных с ЦФР, прав по неисполненному договору купли-продажи, заключенному с ЦФР.</w:t>
            </w:r>
          </w:p>
          <w:p w:rsidR="00F4583B" w:rsidRDefault="008E3836">
            <w:pPr>
              <w:spacing w:before="120" w:after="120" w:line="240" w:lineRule="auto"/>
              <w:ind w:firstLine="708"/>
              <w:jc w:val="both"/>
              <w:rPr>
                <w:rFonts w:ascii="Garamond" w:hAnsi="Garamond"/>
                <w:highlight w:val="yellow"/>
              </w:rPr>
            </w:pPr>
            <w:r>
              <w:rPr>
                <w:rFonts w:ascii="Garamond" w:hAnsi="Garamond"/>
                <w:highlight w:val="yellow"/>
              </w:rPr>
              <w:t>Под обязательствами по оплате в целях настоящего раздела понимаются обязательства по оплате электрической энергии, мощности, услуг по договорам, заключенным на оптовом рынке, обязательства по оплате неустойки (пени), штрафов за нарушение обязательств по договорам, заключенным на оптовом рынке, а также обязательств по оплате денежной суммы, обусловленной отказом от исполнения обязательств по договорам купли-продажи.</w:t>
            </w:r>
          </w:p>
          <w:p w:rsidR="00F4583B" w:rsidRDefault="008E3836">
            <w:pPr>
              <w:spacing w:before="120" w:after="120" w:line="240" w:lineRule="auto"/>
              <w:ind w:firstLine="708"/>
              <w:jc w:val="both"/>
              <w:rPr>
                <w:rFonts w:ascii="Garamond" w:hAnsi="Garamond"/>
              </w:rPr>
            </w:pPr>
            <w:r>
              <w:rPr>
                <w:rFonts w:ascii="Garamond" w:hAnsi="Garamond"/>
                <w:highlight w:val="yellow"/>
              </w:rPr>
              <w:t>ЦФР учитывает прекращение обязательств по оплате или прекращает учет обязательств при условии предоставления участником оптового рынка, ФСК, СО, АТС (далее – кредитором или должником) в порядке и сроки, предусмотренные настоящим разделом, документов, указанных в пунктах настоящего Регламента.</w:t>
            </w:r>
          </w:p>
          <w:p w:rsidR="00F4583B" w:rsidRDefault="008E3836">
            <w:pPr>
              <w:spacing w:before="120" w:after="120" w:line="240" w:lineRule="auto"/>
              <w:ind w:firstLine="706"/>
              <w:jc w:val="both"/>
              <w:rPr>
                <w:rFonts w:ascii="Garamond" w:hAnsi="Garamond"/>
                <w:b/>
                <w:highlight w:val="yellow"/>
              </w:rPr>
            </w:pPr>
            <w:r>
              <w:rPr>
                <w:rFonts w:ascii="Garamond" w:hAnsi="Garamond"/>
                <w:b/>
              </w:rPr>
              <w:t xml:space="preserve">19.2. </w:t>
            </w:r>
            <w:r>
              <w:rPr>
                <w:rFonts w:ascii="Garamond" w:hAnsi="Garamond"/>
                <w:b/>
                <w:highlight w:val="yellow"/>
              </w:rPr>
              <w:t>Документы, на основании которых ЦФР учитывает прекращение обязательств по оплате или прекращает учет обязательств</w:t>
            </w:r>
          </w:p>
          <w:p w:rsidR="00F4583B" w:rsidRPr="00AF39CA" w:rsidRDefault="008E3836">
            <w:pPr>
              <w:spacing w:before="120" w:after="120" w:line="240" w:lineRule="auto"/>
              <w:ind w:firstLine="710"/>
              <w:jc w:val="both"/>
              <w:rPr>
                <w:rFonts w:ascii="Garamond" w:hAnsi="Garamond"/>
                <w:highlight w:val="yellow"/>
              </w:rPr>
            </w:pPr>
            <w:r>
              <w:rPr>
                <w:rFonts w:ascii="Garamond" w:hAnsi="Garamond"/>
                <w:highlight w:val="yellow"/>
              </w:rPr>
              <w:t xml:space="preserve">19.2.1. ЦФР учитывает прекращение обязательств по оплате при условии предоставления одного из следующих документов, за исключением </w:t>
            </w:r>
            <w:r w:rsidRPr="00AF39CA">
              <w:rPr>
                <w:rFonts w:ascii="Garamond" w:hAnsi="Garamond"/>
                <w:highlight w:val="yellow"/>
              </w:rPr>
              <w:t xml:space="preserve">случая, указанного в п. 19.2.4 настоящего Регламента: </w:t>
            </w:r>
          </w:p>
          <w:p w:rsidR="00F4583B" w:rsidRPr="00AF39CA" w:rsidRDefault="008E3836">
            <w:pPr>
              <w:spacing w:before="120" w:after="120" w:line="240" w:lineRule="auto"/>
              <w:ind w:firstLine="708"/>
              <w:jc w:val="both"/>
              <w:rPr>
                <w:rFonts w:ascii="Garamond" w:hAnsi="Garamond"/>
                <w:highlight w:val="yellow"/>
              </w:rPr>
            </w:pPr>
            <w:r w:rsidRPr="00AF39CA">
              <w:rPr>
                <w:rFonts w:ascii="Garamond" w:hAnsi="Garamond"/>
                <w:highlight w:val="yellow"/>
              </w:rPr>
              <w:t>а) при исполнении обязательств по оплате путем перечисления денежных средств:</w:t>
            </w:r>
          </w:p>
          <w:p w:rsidR="00F4583B" w:rsidRPr="00AF39CA" w:rsidRDefault="008E3836">
            <w:pPr>
              <w:spacing w:before="120" w:after="120" w:line="240" w:lineRule="auto"/>
              <w:ind w:firstLine="710"/>
              <w:jc w:val="both"/>
              <w:rPr>
                <w:rFonts w:ascii="Garamond" w:hAnsi="Garamond"/>
                <w:highlight w:val="yellow"/>
              </w:rPr>
            </w:pPr>
            <w:r w:rsidRPr="00AF39CA">
              <w:rPr>
                <w:rFonts w:ascii="Garamond" w:hAnsi="Garamond"/>
                <w:highlight w:val="yellow"/>
              </w:rPr>
              <w:lastRenderedPageBreak/>
              <w:t>– отчета об исполнении обязательств по оплате по форме, установленной приложением 19.1 к настоящему Регламенту, за исключением исполнения обязательств по договорам уступки прав (цессии), заключенным в соответствии с разделом 14 настоящего Регламента;</w:t>
            </w:r>
          </w:p>
          <w:p w:rsidR="00F4583B" w:rsidRPr="00AF39CA" w:rsidRDefault="008E3836">
            <w:pPr>
              <w:spacing w:before="120" w:after="120" w:line="240" w:lineRule="auto"/>
              <w:ind w:firstLine="710"/>
              <w:jc w:val="both"/>
              <w:rPr>
                <w:rFonts w:ascii="Garamond" w:hAnsi="Garamond"/>
                <w:highlight w:val="yellow"/>
              </w:rPr>
            </w:pPr>
            <w:r w:rsidRPr="00AF39CA">
              <w:rPr>
                <w:rFonts w:ascii="Garamond" w:hAnsi="Garamond"/>
                <w:highlight w:val="yellow"/>
              </w:rPr>
              <w:t>– при исполнении обязательств по договорам уступки прав (цессии), заключенным в соответствии с разделом 14 настоящего Регламента, – отчета об исполнении обязательств по оплате по договорам цессии по форме, установленной приложением 19.2 к настоящему Регламенту;</w:t>
            </w:r>
          </w:p>
          <w:p w:rsidR="00F4583B" w:rsidRPr="00AF39CA" w:rsidRDefault="008E3836">
            <w:pPr>
              <w:spacing w:before="120" w:after="120" w:line="240" w:lineRule="auto"/>
              <w:ind w:firstLine="710"/>
              <w:jc w:val="both"/>
              <w:rPr>
                <w:rFonts w:ascii="Garamond" w:hAnsi="Garamond"/>
                <w:highlight w:val="yellow"/>
              </w:rPr>
            </w:pPr>
            <w:r w:rsidRPr="00AF39CA">
              <w:rPr>
                <w:rFonts w:ascii="Garamond" w:hAnsi="Garamond"/>
                <w:highlight w:val="yellow"/>
              </w:rPr>
              <w:t>– иных документов, подтверждающих исполнение и предусмотренных законодательством;</w:t>
            </w:r>
          </w:p>
          <w:p w:rsidR="00F4583B" w:rsidRPr="00AF39CA" w:rsidRDefault="008E3836">
            <w:pPr>
              <w:spacing w:before="120" w:after="120" w:line="240" w:lineRule="auto"/>
              <w:ind w:firstLine="706"/>
              <w:jc w:val="both"/>
              <w:rPr>
                <w:rFonts w:ascii="Garamond" w:hAnsi="Garamond"/>
                <w:highlight w:val="yellow"/>
              </w:rPr>
            </w:pPr>
            <w:r w:rsidRPr="00AF39CA">
              <w:rPr>
                <w:rFonts w:ascii="Garamond" w:hAnsi="Garamond"/>
                <w:highlight w:val="yellow"/>
              </w:rPr>
              <w:t>б) при исполнении обязательств по оплате путем передачи ценных бумаг:</w:t>
            </w:r>
          </w:p>
          <w:p w:rsidR="00F4583B" w:rsidRPr="00AF39CA" w:rsidRDefault="008E3836">
            <w:pPr>
              <w:spacing w:before="120" w:after="120" w:line="240" w:lineRule="auto"/>
              <w:ind w:firstLine="710"/>
              <w:jc w:val="both"/>
              <w:rPr>
                <w:rFonts w:ascii="Garamond" w:hAnsi="Garamond"/>
                <w:highlight w:val="yellow"/>
              </w:rPr>
            </w:pPr>
            <w:r w:rsidRPr="00AF39CA">
              <w:rPr>
                <w:rFonts w:ascii="Garamond" w:hAnsi="Garamond"/>
                <w:highlight w:val="yellow"/>
              </w:rPr>
              <w:t>– копии акта приема-передачи ценных бумаг, подписанного должником и кредитором;</w:t>
            </w:r>
          </w:p>
          <w:p w:rsidR="00F4583B" w:rsidRPr="00AF39CA" w:rsidRDefault="008E3836">
            <w:pPr>
              <w:spacing w:before="120" w:after="120" w:line="240" w:lineRule="auto"/>
              <w:ind w:firstLine="710"/>
              <w:jc w:val="both"/>
              <w:rPr>
                <w:rFonts w:ascii="Garamond" w:hAnsi="Garamond"/>
                <w:highlight w:val="yellow"/>
              </w:rPr>
            </w:pPr>
            <w:r w:rsidRPr="00AF39CA">
              <w:rPr>
                <w:rFonts w:ascii="Garamond" w:hAnsi="Garamond"/>
                <w:highlight w:val="yellow"/>
              </w:rPr>
              <w:t>в) при прекращении обязательств по оплате зачетом встречного однородного требования:</w:t>
            </w:r>
          </w:p>
          <w:p w:rsidR="00F4583B" w:rsidRPr="00AF39CA" w:rsidRDefault="008E3836">
            <w:pPr>
              <w:widowControl w:val="0"/>
              <w:spacing w:before="120" w:after="120" w:line="240" w:lineRule="auto"/>
              <w:ind w:firstLine="710"/>
              <w:jc w:val="both"/>
              <w:rPr>
                <w:rFonts w:ascii="Garamond" w:hAnsi="Garamond"/>
                <w:highlight w:val="yellow"/>
              </w:rPr>
            </w:pPr>
            <w:r w:rsidRPr="00AF39CA">
              <w:rPr>
                <w:rFonts w:ascii="Garamond" w:hAnsi="Garamond"/>
                <w:highlight w:val="yellow"/>
              </w:rPr>
              <w:t>– копии судебного акта, предусматривающего зачет встречных однородных требований между кредитором и должником;</w:t>
            </w:r>
          </w:p>
          <w:p w:rsidR="00F4583B" w:rsidRPr="00AF39CA" w:rsidRDefault="008E3836">
            <w:pPr>
              <w:widowControl w:val="0"/>
              <w:spacing w:before="120" w:after="120" w:line="240" w:lineRule="auto"/>
              <w:ind w:firstLine="710"/>
              <w:jc w:val="both"/>
              <w:rPr>
                <w:rFonts w:ascii="Garamond" w:hAnsi="Garamond"/>
                <w:highlight w:val="yellow"/>
              </w:rPr>
            </w:pPr>
            <w:r w:rsidRPr="00AF39CA">
              <w:rPr>
                <w:rFonts w:ascii="Garamond" w:hAnsi="Garamond"/>
                <w:highlight w:val="yellow"/>
              </w:rPr>
              <w:t>– копии акта, подписанного должником и кредитором, о зачете встречных однородных требований;</w:t>
            </w:r>
          </w:p>
          <w:p w:rsidR="00F4583B" w:rsidRPr="00AF39CA" w:rsidRDefault="008E3836">
            <w:pPr>
              <w:pStyle w:val="a8"/>
              <w:widowControl w:val="0"/>
              <w:numPr>
                <w:ilvl w:val="0"/>
                <w:numId w:val="3"/>
              </w:numPr>
              <w:tabs>
                <w:tab w:val="left" w:pos="993"/>
              </w:tabs>
              <w:spacing w:before="120" w:after="120"/>
              <w:ind w:left="0" w:firstLine="710"/>
              <w:jc w:val="both"/>
              <w:rPr>
                <w:rFonts w:ascii="Garamond" w:eastAsia="Calibri" w:hAnsi="Garamond"/>
                <w:sz w:val="22"/>
                <w:szCs w:val="22"/>
                <w:highlight w:val="yellow"/>
                <w:lang w:eastAsia="en-US"/>
              </w:rPr>
            </w:pPr>
            <w:r w:rsidRPr="00AF39CA">
              <w:rPr>
                <w:rFonts w:ascii="Garamond" w:eastAsia="Calibri" w:hAnsi="Garamond"/>
                <w:sz w:val="22"/>
                <w:szCs w:val="22"/>
                <w:highlight w:val="yellow"/>
                <w:lang w:eastAsia="en-US"/>
              </w:rPr>
              <w:t xml:space="preserve"> уведомления об одностороннем проведении зачета встречных однородных требований, подписанного должником или кредитором;</w:t>
            </w:r>
          </w:p>
          <w:p w:rsidR="00F4583B" w:rsidRPr="00AF39CA" w:rsidRDefault="008E3836">
            <w:pPr>
              <w:spacing w:before="120" w:after="120" w:line="240" w:lineRule="auto"/>
              <w:ind w:firstLine="710"/>
              <w:jc w:val="both"/>
              <w:rPr>
                <w:rFonts w:ascii="Garamond" w:hAnsi="Garamond"/>
                <w:highlight w:val="yellow"/>
              </w:rPr>
            </w:pPr>
            <w:r w:rsidRPr="00AF39CA">
              <w:rPr>
                <w:rFonts w:ascii="Garamond" w:hAnsi="Garamond"/>
                <w:highlight w:val="yellow"/>
              </w:rPr>
              <w:t>г) при прекращении обязательств по оплате прощением долга:</w:t>
            </w:r>
          </w:p>
          <w:p w:rsidR="00F4583B" w:rsidRPr="00AF39CA" w:rsidRDefault="008E3836">
            <w:pPr>
              <w:widowControl w:val="0"/>
              <w:spacing w:before="120" w:after="120" w:line="240" w:lineRule="auto"/>
              <w:ind w:firstLine="710"/>
              <w:jc w:val="both"/>
              <w:rPr>
                <w:rFonts w:ascii="Garamond" w:hAnsi="Garamond"/>
                <w:highlight w:val="yellow"/>
              </w:rPr>
            </w:pPr>
            <w:r w:rsidRPr="00AF39CA">
              <w:rPr>
                <w:rFonts w:ascii="Garamond" w:hAnsi="Garamond"/>
                <w:highlight w:val="yellow"/>
              </w:rPr>
              <w:t>– копии уведомления кредитора о прощении долга;</w:t>
            </w:r>
          </w:p>
          <w:p w:rsidR="00F4583B" w:rsidRPr="00AF39CA" w:rsidRDefault="008E3836">
            <w:pPr>
              <w:widowControl w:val="0"/>
              <w:spacing w:before="120" w:after="120" w:line="240" w:lineRule="auto"/>
              <w:ind w:firstLine="710"/>
              <w:jc w:val="both"/>
              <w:rPr>
                <w:rFonts w:ascii="Garamond" w:hAnsi="Garamond"/>
                <w:highlight w:val="yellow"/>
              </w:rPr>
            </w:pPr>
            <w:r w:rsidRPr="00AF39CA">
              <w:rPr>
                <w:rFonts w:ascii="Garamond" w:hAnsi="Garamond"/>
                <w:highlight w:val="yellow"/>
              </w:rPr>
              <w:t>– копии определения суда об утверждении мирового соглашения, уменьшающего размер обязательств между участниками оптового рынка – должником и кредитором.</w:t>
            </w:r>
          </w:p>
          <w:p w:rsidR="00F4583B" w:rsidRPr="00AF39CA" w:rsidRDefault="008E3836">
            <w:pPr>
              <w:spacing w:before="120" w:after="120" w:line="240" w:lineRule="auto"/>
              <w:ind w:firstLine="710"/>
              <w:jc w:val="both"/>
              <w:rPr>
                <w:rFonts w:ascii="Garamond" w:hAnsi="Garamond"/>
                <w:highlight w:val="yellow"/>
              </w:rPr>
            </w:pPr>
            <w:r w:rsidRPr="00AF39CA">
              <w:rPr>
                <w:rFonts w:ascii="Garamond" w:hAnsi="Garamond"/>
                <w:highlight w:val="yellow"/>
              </w:rPr>
              <w:t>19.2.2.  ЦФР прекращает учет обязательств на основании одного из следующих документов:</w:t>
            </w:r>
          </w:p>
          <w:p w:rsidR="00F4583B" w:rsidRPr="00AF39CA" w:rsidRDefault="008E3836">
            <w:pPr>
              <w:spacing w:before="120" w:after="120" w:line="240" w:lineRule="auto"/>
              <w:ind w:firstLine="710"/>
              <w:jc w:val="both"/>
              <w:rPr>
                <w:rFonts w:ascii="Garamond" w:hAnsi="Garamond"/>
                <w:highlight w:val="yellow"/>
              </w:rPr>
            </w:pPr>
            <w:r w:rsidRPr="00AF39CA">
              <w:rPr>
                <w:rFonts w:ascii="Garamond" w:hAnsi="Garamond"/>
                <w:highlight w:val="yellow"/>
              </w:rPr>
              <w:t>а) при переходе права требования участника оптового рынка – кредитора по указанным обязательствам к третьему лицу:</w:t>
            </w:r>
          </w:p>
          <w:p w:rsidR="00F4583B" w:rsidRPr="00AF39CA" w:rsidRDefault="008E3836">
            <w:pPr>
              <w:spacing w:before="120" w:after="120" w:line="240" w:lineRule="auto"/>
              <w:ind w:firstLine="708"/>
              <w:jc w:val="both"/>
              <w:rPr>
                <w:rFonts w:ascii="Garamond" w:hAnsi="Garamond"/>
                <w:highlight w:val="yellow"/>
              </w:rPr>
            </w:pPr>
            <w:r w:rsidRPr="00AF39CA">
              <w:rPr>
                <w:rFonts w:ascii="Garamond" w:hAnsi="Garamond"/>
                <w:highlight w:val="yellow"/>
              </w:rPr>
              <w:lastRenderedPageBreak/>
              <w:t>– копии договора уступки прав требования (цессии) к ответчику, заключенного между кредитором и третьим лицом;</w:t>
            </w:r>
          </w:p>
          <w:p w:rsidR="00F4583B" w:rsidRPr="00AF39CA" w:rsidRDefault="008E3836">
            <w:pPr>
              <w:spacing w:before="120" w:after="120" w:line="240" w:lineRule="auto"/>
              <w:ind w:firstLine="708"/>
              <w:jc w:val="both"/>
              <w:rPr>
                <w:rFonts w:ascii="Garamond" w:hAnsi="Garamond"/>
                <w:highlight w:val="yellow"/>
              </w:rPr>
            </w:pPr>
            <w:r w:rsidRPr="00AF39CA">
              <w:rPr>
                <w:rFonts w:ascii="Garamond" w:hAnsi="Garamond"/>
                <w:highlight w:val="yellow"/>
              </w:rPr>
              <w:t xml:space="preserve">– копии уведомления участника оптового рынка – кредитора об уступке прав требования третьему лицу; </w:t>
            </w:r>
          </w:p>
          <w:p w:rsidR="00F4583B" w:rsidRPr="00AF39CA" w:rsidRDefault="008E3836">
            <w:pPr>
              <w:spacing w:before="120" w:after="120" w:line="240" w:lineRule="auto"/>
              <w:ind w:firstLine="708"/>
              <w:jc w:val="both"/>
              <w:rPr>
                <w:rFonts w:ascii="Garamond" w:hAnsi="Garamond"/>
                <w:highlight w:val="yellow"/>
              </w:rPr>
            </w:pPr>
            <w:r w:rsidRPr="00AF39CA">
              <w:rPr>
                <w:rFonts w:ascii="Garamond" w:hAnsi="Garamond"/>
                <w:highlight w:val="yellow"/>
              </w:rPr>
              <w:t>– определения суда о процессуальном правопреемстве;</w:t>
            </w:r>
          </w:p>
          <w:p w:rsidR="00F4583B" w:rsidRDefault="008E3836">
            <w:pPr>
              <w:spacing w:before="120" w:after="120" w:line="240" w:lineRule="auto"/>
              <w:ind w:firstLine="710"/>
              <w:jc w:val="both"/>
              <w:rPr>
                <w:rFonts w:ascii="Garamond" w:hAnsi="Garamond"/>
                <w:highlight w:val="yellow"/>
              </w:rPr>
            </w:pPr>
            <w:r w:rsidRPr="00AF39CA">
              <w:rPr>
                <w:rFonts w:ascii="Garamond" w:hAnsi="Garamond"/>
                <w:highlight w:val="yellow"/>
              </w:rPr>
              <w:t>б) при переводе долга</w:t>
            </w:r>
            <w:r>
              <w:rPr>
                <w:rFonts w:ascii="Garamond" w:hAnsi="Garamond"/>
                <w:highlight w:val="yellow"/>
              </w:rPr>
              <w:t>:</w:t>
            </w:r>
          </w:p>
          <w:p w:rsidR="00F4583B" w:rsidRDefault="008E3836">
            <w:pPr>
              <w:spacing w:before="120" w:after="120" w:line="240" w:lineRule="auto"/>
              <w:ind w:firstLine="708"/>
              <w:jc w:val="both"/>
              <w:rPr>
                <w:rFonts w:ascii="Garamond" w:hAnsi="Garamond"/>
                <w:highlight w:val="yellow"/>
              </w:rPr>
            </w:pPr>
            <w:r>
              <w:rPr>
                <w:rFonts w:ascii="Garamond" w:hAnsi="Garamond"/>
                <w:highlight w:val="yellow"/>
              </w:rPr>
              <w:t>– копии договора (соглашения) перевода долга, заключенного между должником и третьим лицом, содержащего письменное согласие кредитора на перевод долга от должника к третьему лицу.</w:t>
            </w:r>
          </w:p>
          <w:p w:rsidR="00F4583B" w:rsidRPr="00AF39CA" w:rsidRDefault="008E3836" w:rsidP="00AF39CA">
            <w:pPr>
              <w:spacing w:before="120" w:after="120" w:line="240" w:lineRule="auto"/>
              <w:ind w:firstLine="710"/>
              <w:jc w:val="both"/>
              <w:rPr>
                <w:rFonts w:ascii="Garamond" w:hAnsi="Garamond"/>
                <w:highlight w:val="yellow"/>
              </w:rPr>
            </w:pPr>
            <w:r>
              <w:rPr>
                <w:rFonts w:ascii="Garamond" w:hAnsi="Garamond"/>
                <w:highlight w:val="yellow"/>
              </w:rPr>
              <w:t xml:space="preserve">19.2.3. В случае взыскания задолженности в судебном порядке участник оптового </w:t>
            </w:r>
            <w:r w:rsidRPr="00AF39CA">
              <w:rPr>
                <w:rFonts w:ascii="Garamond" w:hAnsi="Garamond"/>
                <w:highlight w:val="yellow"/>
              </w:rPr>
              <w:t>рынка в дополнение к документам, указанным в пунктах 19.2.1, 19.2.2 настоящего Регламента, предоставляет копию судебного акта.</w:t>
            </w:r>
          </w:p>
          <w:p w:rsidR="00F4583B" w:rsidRPr="00AF39CA" w:rsidRDefault="008E3836" w:rsidP="00AF39CA">
            <w:pPr>
              <w:spacing w:before="120" w:after="120" w:line="240" w:lineRule="auto"/>
              <w:ind w:firstLine="710"/>
              <w:jc w:val="both"/>
              <w:rPr>
                <w:rFonts w:ascii="Garamond" w:hAnsi="Garamond"/>
                <w:highlight w:val="yellow"/>
              </w:rPr>
            </w:pPr>
            <w:r w:rsidRPr="00AF39CA">
              <w:rPr>
                <w:rFonts w:ascii="Garamond" w:hAnsi="Garamond"/>
                <w:highlight w:val="yellow"/>
              </w:rPr>
              <w:t>В случае невозможности определить на основании предоставленной участником оптового рынка копии судебного акта, по какому договору, за какие периоды возникло обязательство по оплате, участник оптового рынка в дополнение к документам, указанным в пунктах 19.2.1, 19.2.2 настоящего Регламента, предоставляет копию искового заявления</w:t>
            </w:r>
            <w:r w:rsidR="00AF39CA" w:rsidRPr="00AF39CA">
              <w:rPr>
                <w:rFonts w:ascii="Garamond" w:hAnsi="Garamond"/>
                <w:highlight w:val="yellow"/>
              </w:rPr>
              <w:t>,</w:t>
            </w:r>
            <w:r w:rsidRPr="00AF39CA">
              <w:rPr>
                <w:rFonts w:ascii="Garamond" w:hAnsi="Garamond"/>
                <w:highlight w:val="yellow"/>
              </w:rPr>
              <w:t xml:space="preserve"> либо копию заявления о выдаче судебного приказа, либо копию мирового соглашения.</w:t>
            </w:r>
          </w:p>
          <w:p w:rsidR="00F4583B" w:rsidRPr="00AF39CA" w:rsidRDefault="008E3836" w:rsidP="00AF39CA">
            <w:pPr>
              <w:spacing w:before="120" w:after="120" w:line="240" w:lineRule="auto"/>
              <w:ind w:firstLine="710"/>
              <w:jc w:val="both"/>
              <w:rPr>
                <w:rFonts w:ascii="Garamond" w:hAnsi="Garamond"/>
                <w:highlight w:val="yellow"/>
              </w:rPr>
            </w:pPr>
            <w:r w:rsidRPr="00AF39CA">
              <w:rPr>
                <w:rFonts w:ascii="Garamond" w:hAnsi="Garamond"/>
                <w:highlight w:val="yellow"/>
              </w:rPr>
              <w:t>19.2.4. В случае признания участника оптового рынка банкротом ЦФР учитывает прекращение обязательств по оплате на основании одного из следующих документов:</w:t>
            </w:r>
          </w:p>
          <w:p w:rsidR="00F4583B" w:rsidRPr="00AF39CA" w:rsidRDefault="008E3836">
            <w:pPr>
              <w:spacing w:before="120" w:after="120" w:line="240" w:lineRule="auto"/>
              <w:ind w:firstLine="657"/>
              <w:jc w:val="both"/>
              <w:rPr>
                <w:rFonts w:ascii="Garamond" w:hAnsi="Garamond"/>
                <w:highlight w:val="yellow"/>
              </w:rPr>
            </w:pPr>
            <w:r w:rsidRPr="00AF39CA">
              <w:rPr>
                <w:rFonts w:ascii="Garamond" w:hAnsi="Garamond"/>
                <w:highlight w:val="yellow"/>
              </w:rPr>
              <w:t>– отчета об исполнении обязательств по оплате по форме, установленной приложением 19.1 к настоящему Регламенту;</w:t>
            </w:r>
          </w:p>
          <w:p w:rsidR="00F4583B" w:rsidRPr="00AF39CA" w:rsidRDefault="008E3836">
            <w:pPr>
              <w:spacing w:before="120" w:after="120" w:line="240" w:lineRule="auto"/>
              <w:ind w:firstLine="710"/>
              <w:jc w:val="both"/>
              <w:rPr>
                <w:rFonts w:ascii="Garamond" w:hAnsi="Garamond"/>
                <w:highlight w:val="yellow"/>
              </w:rPr>
            </w:pPr>
            <w:r w:rsidRPr="00AF39CA">
              <w:rPr>
                <w:rFonts w:ascii="Garamond" w:hAnsi="Garamond"/>
                <w:highlight w:val="yellow"/>
              </w:rPr>
              <w:t>– копии платежного поручения с отметкой банка и назначением платежа во исполнение обязательств/требований по договорам, заключенным с участником оптового рынка, признанным несостоятельным (банкротом);</w:t>
            </w:r>
          </w:p>
          <w:p w:rsidR="00F4583B" w:rsidRDefault="008E3836">
            <w:pPr>
              <w:tabs>
                <w:tab w:val="left" w:pos="1003"/>
              </w:tabs>
              <w:spacing w:before="120" w:after="120" w:line="240" w:lineRule="auto"/>
              <w:ind w:firstLine="710"/>
              <w:jc w:val="both"/>
              <w:rPr>
                <w:rFonts w:ascii="Garamond" w:hAnsi="Garamond"/>
                <w:highlight w:val="yellow"/>
              </w:rPr>
            </w:pPr>
            <w:r w:rsidRPr="00AF39CA">
              <w:rPr>
                <w:rFonts w:ascii="Garamond" w:hAnsi="Garamond"/>
                <w:highlight w:val="yellow"/>
              </w:rPr>
              <w:t xml:space="preserve">– иных документов, подтверждающих исполнение обязательств/требований </w:t>
            </w:r>
            <w:r>
              <w:rPr>
                <w:rFonts w:ascii="Garamond" w:hAnsi="Garamond"/>
                <w:highlight w:val="yellow"/>
              </w:rPr>
              <w:t>по договорам, заключенным с участником оптового рынка, признанным несостоятельным (банкротом).</w:t>
            </w:r>
          </w:p>
          <w:p w:rsidR="00F4583B" w:rsidRDefault="008E3836">
            <w:pPr>
              <w:spacing w:before="120" w:after="120" w:line="240" w:lineRule="auto"/>
              <w:jc w:val="both"/>
              <w:rPr>
                <w:rFonts w:ascii="Garamond" w:hAnsi="Garamond"/>
                <w:b/>
                <w:highlight w:val="yellow"/>
              </w:rPr>
            </w:pPr>
            <w:r>
              <w:rPr>
                <w:rFonts w:ascii="Garamond" w:hAnsi="Garamond"/>
                <w:highlight w:val="yellow"/>
              </w:rPr>
              <w:lastRenderedPageBreak/>
              <w:tab/>
            </w:r>
            <w:r>
              <w:rPr>
                <w:rFonts w:ascii="Garamond" w:hAnsi="Garamond"/>
                <w:b/>
                <w:highlight w:val="yellow"/>
              </w:rPr>
              <w:t>19.3. Порядок взаимодействия ЦФР и участников оптового рынка по учету обязательств по оплате или прекращению учета обязательств</w:t>
            </w:r>
          </w:p>
          <w:p w:rsidR="00F4583B" w:rsidRDefault="008E3836">
            <w:pPr>
              <w:spacing w:before="120" w:after="120" w:line="240" w:lineRule="auto"/>
              <w:ind w:firstLine="708"/>
              <w:jc w:val="both"/>
              <w:rPr>
                <w:rFonts w:ascii="Garamond" w:hAnsi="Garamond"/>
                <w:highlight w:val="yellow"/>
              </w:rPr>
            </w:pPr>
            <w:r>
              <w:rPr>
                <w:rFonts w:ascii="Garamond" w:hAnsi="Garamond"/>
                <w:highlight w:val="yellow"/>
              </w:rPr>
              <w:t>19.3.1. Порядок предоставления документов, указанных в пункте 19.2 настоящего Регламента</w:t>
            </w:r>
          </w:p>
          <w:p w:rsidR="00F4583B" w:rsidRPr="00AF39CA" w:rsidRDefault="008E3836">
            <w:pPr>
              <w:shd w:val="clear" w:color="auto" w:fill="FFFFFF"/>
              <w:spacing w:before="120" w:after="120" w:line="240" w:lineRule="auto"/>
              <w:ind w:firstLine="708"/>
              <w:jc w:val="both"/>
              <w:rPr>
                <w:rFonts w:ascii="Garamond" w:hAnsi="Garamond"/>
                <w:highlight w:val="yellow"/>
              </w:rPr>
            </w:pPr>
            <w:r>
              <w:rPr>
                <w:rFonts w:ascii="Garamond" w:hAnsi="Garamond"/>
                <w:highlight w:val="yellow"/>
              </w:rPr>
              <w:t xml:space="preserve">Документы </w:t>
            </w:r>
            <w:r w:rsidRPr="00AF39CA">
              <w:rPr>
                <w:rFonts w:ascii="Garamond" w:hAnsi="Garamond"/>
                <w:highlight w:val="yellow"/>
              </w:rPr>
              <w:t>должны быть направлены в ЦФР кредитором или должником в рабочие дни месяца</w:t>
            </w:r>
            <w:r w:rsidR="00AF39CA" w:rsidRPr="00AF39CA">
              <w:rPr>
                <w:rFonts w:ascii="Garamond" w:hAnsi="Garamond"/>
                <w:highlight w:val="yellow"/>
              </w:rPr>
              <w:t>,</w:t>
            </w:r>
            <w:r w:rsidRPr="00AF39CA">
              <w:rPr>
                <w:rFonts w:ascii="Garamond" w:hAnsi="Garamond"/>
                <w:highlight w:val="yellow"/>
              </w:rPr>
              <w:t xml:space="preserve"> не позднее 15 (пятнадцатого) числа месяца, следующего за месяцем, в котором были исполнены обязательства по оплате.</w:t>
            </w:r>
          </w:p>
          <w:p w:rsidR="00F4583B" w:rsidRPr="00AF39CA" w:rsidRDefault="008E3836">
            <w:pPr>
              <w:shd w:val="clear" w:color="auto" w:fill="FFFFFF"/>
              <w:spacing w:before="120" w:after="120" w:line="240" w:lineRule="auto"/>
              <w:ind w:firstLine="710"/>
              <w:jc w:val="both"/>
              <w:rPr>
                <w:rFonts w:ascii="Garamond" w:hAnsi="Garamond"/>
                <w:highlight w:val="yellow"/>
              </w:rPr>
            </w:pPr>
            <w:r w:rsidRPr="00AF39CA">
              <w:rPr>
                <w:rFonts w:ascii="Garamond" w:hAnsi="Garamond"/>
                <w:highlight w:val="yellow"/>
              </w:rPr>
              <w:t>Документы направляются кредитором или должником в адрес ЦФР с сопроводительным письмом за подписью уполномоченного лица на бумажном носителе.</w:t>
            </w:r>
          </w:p>
          <w:p w:rsidR="00F4583B" w:rsidRPr="00AF39CA" w:rsidRDefault="008E3836">
            <w:pPr>
              <w:spacing w:before="120" w:after="120" w:line="240" w:lineRule="auto"/>
              <w:ind w:firstLine="710"/>
              <w:jc w:val="both"/>
              <w:rPr>
                <w:rFonts w:ascii="Garamond" w:hAnsi="Garamond"/>
                <w:highlight w:val="yellow"/>
              </w:rPr>
            </w:pPr>
            <w:r w:rsidRPr="00AF39CA">
              <w:rPr>
                <w:rFonts w:ascii="Garamond" w:hAnsi="Garamond"/>
                <w:highlight w:val="yellow"/>
              </w:rPr>
              <w:t>В случае направления в ЦФР кредитором или должником уведомления по форме приложения 19.3 к настоящему Регламенту за подписью уполномоченного лица о согласованном одностороннем предоставлении документов, указанных в п. 19.2 настоящего Регламента, предоставление аналогичной учетной информации со стороны контрагента не требуется.</w:t>
            </w:r>
          </w:p>
          <w:p w:rsidR="00F4583B" w:rsidRPr="00AF39CA" w:rsidRDefault="008E3836">
            <w:pPr>
              <w:spacing w:before="120" w:after="120" w:line="240" w:lineRule="auto"/>
              <w:ind w:firstLine="710"/>
              <w:jc w:val="both"/>
              <w:rPr>
                <w:rFonts w:ascii="Garamond" w:hAnsi="Garamond"/>
                <w:highlight w:val="yellow"/>
              </w:rPr>
            </w:pPr>
            <w:r w:rsidRPr="00AF39CA">
              <w:rPr>
                <w:rFonts w:ascii="Garamond" w:hAnsi="Garamond"/>
                <w:highlight w:val="yellow"/>
              </w:rPr>
              <w:t>В случае наличия в Отчете о состоянии обязательств (приложение 16 к настоящему Регламенту) или в Отчете об учтенных платежах и о состоянии задолженности по договорам уступки прав (цессии) (приложение 13 к настоящему Регламенту) информации об учете обязательств по оплате или о прекращении учета обязательств предоставление в ЦФР документов, указанных в п. 19.2 настоящего Регламента, в отношении учтенных обязательств не требуется.</w:t>
            </w:r>
          </w:p>
          <w:p w:rsidR="00F4583B" w:rsidRPr="00AF39CA" w:rsidRDefault="008E3836">
            <w:pPr>
              <w:shd w:val="clear" w:color="auto" w:fill="FFFFFF"/>
              <w:spacing w:before="120" w:after="120" w:line="240" w:lineRule="auto"/>
              <w:ind w:firstLine="710"/>
              <w:jc w:val="both"/>
              <w:rPr>
                <w:rFonts w:ascii="Garamond" w:hAnsi="Garamond"/>
                <w:highlight w:val="yellow"/>
              </w:rPr>
            </w:pPr>
            <w:r w:rsidRPr="00AF39CA">
              <w:rPr>
                <w:rFonts w:ascii="Garamond" w:hAnsi="Garamond"/>
                <w:highlight w:val="yellow"/>
              </w:rPr>
              <w:t>19.3.2. Порядок учета ЦФР обязательств по оплате или</w:t>
            </w:r>
            <w:r w:rsidR="0022666D">
              <w:rPr>
                <w:rFonts w:ascii="Garamond" w:hAnsi="Garamond"/>
                <w:highlight w:val="yellow"/>
              </w:rPr>
              <w:t xml:space="preserve"> прекращения учета обязательств</w:t>
            </w:r>
          </w:p>
          <w:p w:rsidR="00F4583B" w:rsidRDefault="008E3836">
            <w:pPr>
              <w:spacing w:before="120" w:after="120" w:line="240" w:lineRule="auto"/>
              <w:ind w:firstLine="708"/>
              <w:jc w:val="both"/>
              <w:rPr>
                <w:rFonts w:ascii="Garamond" w:hAnsi="Garamond"/>
                <w:highlight w:val="yellow"/>
              </w:rPr>
            </w:pPr>
            <w:r>
              <w:rPr>
                <w:rFonts w:ascii="Garamond" w:hAnsi="Garamond"/>
                <w:highlight w:val="yellow"/>
              </w:rPr>
              <w:t>19.3.2.1. ЦФР учитывает прекращение обязательств по оплате и (или) прекращает учет обязательств не позднее 5 (пятого) рабочего дня с момента предоставления должником или кредитором в ЦФР документов, указанных в пункте 19.2 настоящего Регламента, за исключением случая, указанного в пунктах 19.3.2.2, 19.3.2.3 настоящего Регламента. Течение указанного срока начинается со дня, следующего за днем предоставления документов.</w:t>
            </w:r>
          </w:p>
          <w:p w:rsidR="00F4583B" w:rsidRDefault="008E3836">
            <w:pPr>
              <w:spacing w:before="120" w:after="120" w:line="240" w:lineRule="auto"/>
              <w:ind w:firstLine="710"/>
              <w:jc w:val="both"/>
              <w:rPr>
                <w:rFonts w:ascii="Garamond" w:hAnsi="Garamond"/>
                <w:highlight w:val="yellow"/>
              </w:rPr>
            </w:pPr>
            <w:r>
              <w:rPr>
                <w:rFonts w:ascii="Garamond" w:hAnsi="Garamond"/>
                <w:highlight w:val="yellow"/>
              </w:rPr>
              <w:t xml:space="preserve">В случае направления в ЦФР кредитором или должником отчета об исполнении обязательств по оплате, датой учета ЦФР исполнения </w:t>
            </w:r>
            <w:r>
              <w:rPr>
                <w:rFonts w:ascii="Garamond" w:hAnsi="Garamond"/>
                <w:highlight w:val="yellow"/>
              </w:rPr>
              <w:lastRenderedPageBreak/>
              <w:t xml:space="preserve">обязательств по оплате является последняя дата отчетного периода, указанного в отчете об исполнении обязательств по оплате.  </w:t>
            </w:r>
          </w:p>
          <w:p w:rsidR="00F4583B" w:rsidRDefault="008E3836">
            <w:pPr>
              <w:pStyle w:val="a9"/>
              <w:shd w:val="clear" w:color="auto" w:fill="FFFFFF"/>
              <w:ind w:firstLine="708"/>
              <w:rPr>
                <w:rFonts w:ascii="Garamond" w:eastAsia="Calibri" w:hAnsi="Garamond"/>
                <w:szCs w:val="22"/>
                <w:highlight w:val="yellow"/>
                <w:lang w:val="ru-RU"/>
              </w:rPr>
            </w:pPr>
            <w:r>
              <w:rPr>
                <w:rFonts w:ascii="Garamond" w:eastAsia="Calibri" w:hAnsi="Garamond"/>
                <w:szCs w:val="22"/>
                <w:highlight w:val="yellow"/>
                <w:lang w:val="ru-RU"/>
              </w:rPr>
              <w:t>19.3.2.2. ЦФР не учитывает прекращение обязательств по оплате и (или) не прекращает учет обязательств в следующих случаях:</w:t>
            </w:r>
          </w:p>
          <w:p w:rsidR="00F4583B" w:rsidRDefault="008E3836">
            <w:pPr>
              <w:pStyle w:val="a9"/>
              <w:shd w:val="clear" w:color="auto" w:fill="FFFFFF"/>
              <w:ind w:firstLine="708"/>
              <w:rPr>
                <w:rFonts w:ascii="Garamond" w:eastAsia="Calibri" w:hAnsi="Garamond"/>
                <w:szCs w:val="22"/>
                <w:highlight w:val="yellow"/>
                <w:lang w:val="ru-RU"/>
              </w:rPr>
            </w:pPr>
            <w:r>
              <w:rPr>
                <w:rFonts w:ascii="Garamond" w:eastAsia="Calibri" w:hAnsi="Garamond"/>
                <w:szCs w:val="22"/>
                <w:highlight w:val="yellow"/>
                <w:lang w:val="ru-RU"/>
              </w:rPr>
              <w:t>– при невозможности определить на основании предоставленных кредитором или должником документов, по какому договору и за какие периоды возникло обязательство по оплате;</w:t>
            </w:r>
          </w:p>
          <w:p w:rsidR="00F4583B" w:rsidRDefault="008E3836">
            <w:pPr>
              <w:pStyle w:val="a9"/>
              <w:shd w:val="clear" w:color="auto" w:fill="FFFFFF"/>
              <w:ind w:firstLine="708"/>
              <w:rPr>
                <w:rFonts w:ascii="Garamond" w:eastAsia="Calibri" w:hAnsi="Garamond"/>
                <w:szCs w:val="22"/>
                <w:highlight w:val="yellow"/>
                <w:lang w:val="ru-RU"/>
              </w:rPr>
            </w:pPr>
            <w:r>
              <w:rPr>
                <w:rFonts w:ascii="Garamond" w:eastAsia="Calibri" w:hAnsi="Garamond"/>
                <w:szCs w:val="22"/>
                <w:highlight w:val="yellow"/>
                <w:lang w:val="ru-RU"/>
              </w:rPr>
              <w:t>– при наличии ошибочной информации в отчете об исполнении обязательств по оплате.</w:t>
            </w:r>
          </w:p>
          <w:p w:rsidR="00F4583B" w:rsidRDefault="008E3836">
            <w:pPr>
              <w:pStyle w:val="a9"/>
              <w:shd w:val="clear" w:color="auto" w:fill="FFFFFF"/>
              <w:ind w:firstLine="710"/>
              <w:rPr>
                <w:rFonts w:ascii="Garamond" w:eastAsia="Calibri" w:hAnsi="Garamond"/>
                <w:szCs w:val="22"/>
                <w:highlight w:val="yellow"/>
                <w:lang w:val="ru-RU"/>
              </w:rPr>
            </w:pPr>
            <w:r>
              <w:rPr>
                <w:rFonts w:ascii="Garamond" w:eastAsia="Calibri" w:hAnsi="Garamond"/>
                <w:szCs w:val="22"/>
                <w:highlight w:val="yellow"/>
                <w:lang w:val="ru-RU"/>
              </w:rPr>
              <w:t>В указанных случаях ЦФР направляет кредитору или должнику письменный запрос с просьбой предоставить дополнительные документы и (или) информацию, скорректированный отчет об исполнении обязательств по оплате.</w:t>
            </w:r>
          </w:p>
          <w:p w:rsidR="00F4583B" w:rsidRDefault="008E3836">
            <w:pPr>
              <w:pStyle w:val="a9"/>
              <w:shd w:val="clear" w:color="auto" w:fill="FFFFFF"/>
              <w:ind w:firstLine="710"/>
              <w:rPr>
                <w:rFonts w:ascii="Garamond" w:eastAsia="Calibri" w:hAnsi="Garamond"/>
                <w:szCs w:val="22"/>
                <w:highlight w:val="yellow"/>
                <w:lang w:val="ru-RU"/>
              </w:rPr>
            </w:pPr>
            <w:r>
              <w:rPr>
                <w:rFonts w:ascii="Garamond" w:eastAsia="Calibri" w:hAnsi="Garamond"/>
                <w:szCs w:val="22"/>
                <w:highlight w:val="yellow"/>
                <w:lang w:val="ru-RU"/>
              </w:rPr>
              <w:t xml:space="preserve">Запрос направляется не позднее 5 (пятого) рабочего дня, начиная со дня, следующего за днем предоставления кредитором или должником в ЦФР документов, указанных в пункте 19.2 настоящего Регламента. </w:t>
            </w:r>
          </w:p>
          <w:p w:rsidR="00F4583B" w:rsidRDefault="008E3836">
            <w:pPr>
              <w:pStyle w:val="a9"/>
              <w:shd w:val="clear" w:color="auto" w:fill="FFFFFF"/>
              <w:ind w:firstLine="710"/>
              <w:rPr>
                <w:rFonts w:ascii="Garamond" w:eastAsia="Calibri" w:hAnsi="Garamond"/>
                <w:szCs w:val="22"/>
                <w:highlight w:val="yellow"/>
                <w:lang w:val="ru-RU"/>
              </w:rPr>
            </w:pPr>
            <w:r>
              <w:rPr>
                <w:rFonts w:ascii="Garamond" w:eastAsia="Calibri" w:hAnsi="Garamond"/>
                <w:szCs w:val="22"/>
                <w:highlight w:val="yellow"/>
                <w:lang w:val="ru-RU"/>
              </w:rPr>
              <w:t>ЦФР учитывает прекращение обязательств по оплате или прекращает учет обязательств не позднее 5 (пятого) рабочего дня после получения дополнительных документов или скорректированного отчета об исполнении обязательств по оплате.</w:t>
            </w:r>
          </w:p>
          <w:p w:rsidR="00F4583B" w:rsidRDefault="008E3836">
            <w:pPr>
              <w:pStyle w:val="a9"/>
              <w:shd w:val="clear" w:color="auto" w:fill="FFFFFF"/>
              <w:ind w:firstLine="710"/>
              <w:rPr>
                <w:rFonts w:ascii="Garamond" w:eastAsia="Calibri" w:hAnsi="Garamond"/>
                <w:szCs w:val="22"/>
                <w:highlight w:val="yellow"/>
                <w:lang w:val="ru-RU"/>
              </w:rPr>
            </w:pPr>
            <w:r>
              <w:rPr>
                <w:rFonts w:ascii="Garamond" w:eastAsia="Calibri" w:hAnsi="Garamond"/>
                <w:szCs w:val="22"/>
                <w:highlight w:val="yellow"/>
                <w:lang w:val="ru-RU"/>
              </w:rPr>
              <w:t xml:space="preserve">19.3.2.3. ЦФР восстанавливает учет прекращенных обязательств по оплате в случае поступления письменных возражений со стороны контрагента кредитора или должника, предоставившего в ЦФР документы, указанные в пункте 19.2 настоящего Регламента. </w:t>
            </w:r>
          </w:p>
          <w:p w:rsidR="00F4583B" w:rsidRDefault="008E3836">
            <w:pPr>
              <w:pStyle w:val="a9"/>
              <w:shd w:val="clear" w:color="auto" w:fill="FFFFFF"/>
              <w:ind w:firstLine="710"/>
              <w:rPr>
                <w:rFonts w:ascii="Garamond" w:eastAsia="Calibri" w:hAnsi="Garamond"/>
                <w:szCs w:val="22"/>
                <w:highlight w:val="yellow"/>
                <w:lang w:val="ru-RU"/>
              </w:rPr>
            </w:pPr>
            <w:r>
              <w:rPr>
                <w:rFonts w:ascii="Garamond" w:eastAsia="Calibri" w:hAnsi="Garamond"/>
                <w:szCs w:val="22"/>
                <w:highlight w:val="yellow"/>
                <w:lang w:val="ru-RU"/>
              </w:rPr>
              <w:t>В этом случае кредитор или должник обязаны предоставить в ЦФР согласованную информацию о прекращении обязательств по оплате.</w:t>
            </w:r>
          </w:p>
          <w:p w:rsidR="00F4583B" w:rsidRDefault="008E3836">
            <w:pPr>
              <w:spacing w:before="120" w:after="120" w:line="240" w:lineRule="auto"/>
              <w:ind w:firstLine="710"/>
              <w:jc w:val="both"/>
              <w:rPr>
                <w:rFonts w:ascii="Garamond" w:hAnsi="Garamond"/>
              </w:rPr>
            </w:pPr>
            <w:r>
              <w:rPr>
                <w:rFonts w:ascii="Garamond" w:hAnsi="Garamond"/>
                <w:highlight w:val="yellow"/>
              </w:rPr>
              <w:t xml:space="preserve">19.3.2.4. </w:t>
            </w:r>
            <w:r>
              <w:rPr>
                <w:rFonts w:ascii="Garamond" w:hAnsi="Garamond"/>
              </w:rPr>
              <w:t>ЦФР учитывает прекращение обязательств по оплате по соответствующему договору, заключенному на оптовом рынке, за расчетные периоды, указанные в судебном акте, при условии, если обязательства по оплате за эти периоды не были исполнены через уполномоченную кредитную организацию до учета ЦФР прекращения обязательств по оплате.</w:t>
            </w:r>
          </w:p>
          <w:p w:rsidR="00F4583B" w:rsidRDefault="008E3836">
            <w:pPr>
              <w:spacing w:before="120" w:after="120" w:line="240" w:lineRule="auto"/>
              <w:ind w:firstLine="710"/>
              <w:jc w:val="both"/>
              <w:rPr>
                <w:rFonts w:ascii="Garamond" w:hAnsi="Garamond"/>
              </w:rPr>
            </w:pPr>
            <w:r>
              <w:rPr>
                <w:rFonts w:ascii="Garamond" w:hAnsi="Garamond"/>
              </w:rPr>
              <w:t xml:space="preserve">Если обязательства по оплате за соответствующие расчетные периоды были частично исполнены через уполномоченную кредитную </w:t>
            </w:r>
            <w:r>
              <w:rPr>
                <w:rFonts w:ascii="Garamond" w:hAnsi="Garamond"/>
              </w:rPr>
              <w:lastRenderedPageBreak/>
              <w:t>организацию до учета ЦФР прекращения обязательств по оплате, ЦФР учитывает прекращение обязательств по оплате по соответствующему договору в размере неисполненных через уполномоченную кредитную организацию обязательств за соответствующие расчетные периоды.</w:t>
            </w:r>
          </w:p>
          <w:p w:rsidR="00F4583B" w:rsidRDefault="008E3836">
            <w:pPr>
              <w:widowControl w:val="0"/>
              <w:spacing w:before="120" w:after="120" w:line="240" w:lineRule="auto"/>
              <w:ind w:firstLine="710"/>
              <w:jc w:val="both"/>
              <w:rPr>
                <w:rFonts w:ascii="Garamond" w:hAnsi="Garamond"/>
                <w:highlight w:val="yellow"/>
              </w:rPr>
            </w:pPr>
            <w:r>
              <w:rPr>
                <w:rFonts w:ascii="Garamond" w:hAnsi="Garamond"/>
              </w:rPr>
              <w:t>Если обязательства по оплате по соответствующему договору, заключенному на оптовом рынке, за расчетные периоды, указанные в судебном акте, были исполнены полностью через уполномоченную кредитную организацию до учета ЦФР прекращения обязательств по оплате, урегулирование вопросов, связанных с возвратом уплаченных денежных средств, производится участниками в двустороннем порядке без участия ЦФР.</w:t>
            </w:r>
            <w:r>
              <w:rPr>
                <w:rFonts w:ascii="Garamond" w:hAnsi="Garamond"/>
                <w:highlight w:val="yellow"/>
              </w:rPr>
              <w:t xml:space="preserve">  </w:t>
            </w:r>
          </w:p>
          <w:p w:rsidR="00F4583B" w:rsidRDefault="008E3836">
            <w:pPr>
              <w:spacing w:before="120" w:after="120" w:line="240" w:lineRule="auto"/>
              <w:ind w:firstLine="710"/>
              <w:jc w:val="both"/>
              <w:rPr>
                <w:rFonts w:ascii="Garamond" w:hAnsi="Garamond"/>
              </w:rPr>
            </w:pPr>
            <w:r>
              <w:rPr>
                <w:rFonts w:ascii="Garamond" w:hAnsi="Garamond"/>
                <w:highlight w:val="yellow"/>
              </w:rPr>
              <w:t xml:space="preserve">19.3.3. </w:t>
            </w:r>
            <w:r>
              <w:rPr>
                <w:rFonts w:ascii="Garamond" w:hAnsi="Garamond"/>
              </w:rPr>
              <w:t xml:space="preserve">ЦФР информирует продавца и покупателя об учете исполнения обязательств путем публикации на сайте КО Отчета о состоянии обязательств (Приложение 16 к настоящему Регламенту). </w:t>
            </w:r>
          </w:p>
          <w:p w:rsidR="00F4583B" w:rsidRDefault="008E3836">
            <w:pPr>
              <w:spacing w:before="120" w:after="120" w:line="240" w:lineRule="auto"/>
              <w:ind w:firstLine="710"/>
              <w:jc w:val="both"/>
              <w:rPr>
                <w:rFonts w:ascii="Garamond" w:hAnsi="Garamond"/>
                <w:highlight w:val="yellow"/>
              </w:rPr>
            </w:pPr>
            <w:r>
              <w:rPr>
                <w:rFonts w:ascii="Garamond" w:hAnsi="Garamond"/>
                <w:highlight w:val="yellow"/>
              </w:rPr>
              <w:t xml:space="preserve">19.3.4.  </w:t>
            </w:r>
            <w:r>
              <w:rPr>
                <w:rFonts w:ascii="Garamond" w:hAnsi="Garamond"/>
              </w:rPr>
              <w:t xml:space="preserve">С даты, следующей за датой получения ЦФР информации о вступлении в законную силу судебного акта в отношении участника оптового рынка об отказе в удовлетворении исковых требований о взыскании задолженности по обязательствам по оплате, </w:t>
            </w:r>
            <w:r>
              <w:rPr>
                <w:rFonts w:ascii="Garamond" w:hAnsi="Garamond"/>
                <w:highlight w:val="yellow"/>
              </w:rPr>
              <w:t>ЦФР прекращает учет обязательств.</w:t>
            </w:r>
          </w:p>
          <w:p w:rsidR="00F4583B" w:rsidRDefault="008E3836">
            <w:pPr>
              <w:spacing w:before="120" w:after="120" w:line="240" w:lineRule="auto"/>
              <w:ind w:firstLine="710"/>
              <w:jc w:val="both"/>
              <w:rPr>
                <w:rFonts w:ascii="Garamond" w:eastAsia="Times New Roman" w:hAnsi="Garamond"/>
              </w:rPr>
            </w:pPr>
            <w:r>
              <w:rPr>
                <w:rFonts w:ascii="Garamond" w:hAnsi="Garamond"/>
              </w:rPr>
              <w:t xml:space="preserve">С даты, следующей за датой получения ЦФР информации об отмене судом вышестоящей инстанции судебного акта в отношении участника оптового рынка об отказе в удовлетворении исковых требований о взыскании задолженности, вступившего ранее в законную силу, ЦФР </w:t>
            </w:r>
            <w:r>
              <w:rPr>
                <w:rFonts w:ascii="Garamond" w:hAnsi="Garamond"/>
                <w:highlight w:val="yellow"/>
              </w:rPr>
              <w:t>восстанавливает учет прекращенных обязательств по оплате.</w:t>
            </w:r>
          </w:p>
        </w:tc>
      </w:tr>
      <w:tr w:rsidR="00F4583B">
        <w:trPr>
          <w:trHeight w:val="435"/>
        </w:trPr>
        <w:tc>
          <w:tcPr>
            <w:tcW w:w="2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4583B" w:rsidRDefault="008E3836">
            <w:pPr>
              <w:spacing w:before="120" w:after="120" w:line="240" w:lineRule="auto"/>
              <w:jc w:val="center"/>
              <w:rPr>
                <w:rFonts w:ascii="Garamond" w:hAnsi="Garamond" w:cs="Garamond"/>
                <w:b/>
                <w:bCs/>
              </w:rPr>
            </w:pPr>
            <w:r>
              <w:rPr>
                <w:rFonts w:ascii="Garamond" w:hAnsi="Garamond" w:cs="Garamond"/>
                <w:b/>
                <w:bCs/>
              </w:rPr>
              <w:lastRenderedPageBreak/>
              <w:t xml:space="preserve">3.4.3 </w:t>
            </w:r>
          </w:p>
        </w:tc>
        <w:tc>
          <w:tcPr>
            <w:tcW w:w="2254" w:type="pct"/>
            <w:tcBorders>
              <w:top w:val="single" w:sz="4" w:space="0" w:color="auto"/>
              <w:left w:val="single" w:sz="4" w:space="0" w:color="auto"/>
              <w:bottom w:val="single" w:sz="4" w:space="0" w:color="auto"/>
              <w:right w:val="single" w:sz="4" w:space="0" w:color="auto"/>
            </w:tcBorders>
          </w:tcPr>
          <w:p w:rsidR="00F4583B" w:rsidRDefault="008E3836">
            <w:pPr>
              <w:pStyle w:val="3"/>
              <w:spacing w:after="120"/>
              <w:rPr>
                <w:sz w:val="22"/>
              </w:rPr>
            </w:pPr>
            <w:bookmarkStart w:id="3" w:name="_Toc533586917"/>
            <w:r>
              <w:rPr>
                <w:sz w:val="22"/>
              </w:rPr>
              <w:t>Порядок взаимодействия ЦФР и участника оптового рынка по подтверждению проведенного платежа по дополнительным соглашениям к РД</w:t>
            </w:r>
            <w:bookmarkEnd w:id="3"/>
          </w:p>
          <w:p w:rsidR="00F4583B" w:rsidRDefault="008E3836">
            <w:pPr>
              <w:pStyle w:val="a9"/>
              <w:ind w:firstLine="709"/>
              <w:rPr>
                <w:rFonts w:ascii="Garamond" w:hAnsi="Garamond"/>
                <w:color w:val="000000"/>
                <w:szCs w:val="22"/>
                <w:lang w:val="ru-RU"/>
              </w:rPr>
            </w:pPr>
            <w:r>
              <w:rPr>
                <w:rFonts w:ascii="Garamond" w:hAnsi="Garamond"/>
                <w:color w:val="000000"/>
                <w:szCs w:val="22"/>
                <w:lang w:val="ru-RU"/>
              </w:rPr>
              <w:t xml:space="preserve">Платежи, проведенные на основании дополнительных соглашений к РД о порядке расчетов потребителями с низкой платежной дисциплиной, перечень которых определяется Наблюдательным советом Совета рынка на соответствующий год, </w:t>
            </w:r>
            <w:r>
              <w:rPr>
                <w:rFonts w:ascii="Garamond" w:hAnsi="Garamond"/>
                <w:color w:val="000000"/>
                <w:szCs w:val="22"/>
                <w:highlight w:val="yellow"/>
                <w:lang w:val="ru-RU"/>
              </w:rPr>
              <w:t>не позднее 3 (трех) рабочих дней с даты проведения платежа</w:t>
            </w:r>
            <w:r>
              <w:rPr>
                <w:rFonts w:ascii="Garamond" w:hAnsi="Garamond"/>
                <w:color w:val="000000"/>
                <w:szCs w:val="22"/>
                <w:lang w:val="ru-RU"/>
              </w:rPr>
              <w:t xml:space="preserve"> должны быть подтверждены заключившими указанные дополнительные соглашения участниками оптового рынка – поставщиком и (или) покупателем, </w:t>
            </w:r>
            <w:r>
              <w:rPr>
                <w:rFonts w:ascii="Garamond" w:hAnsi="Garamond"/>
                <w:szCs w:val="22"/>
                <w:lang w:val="ru-RU"/>
              </w:rPr>
              <w:lastRenderedPageBreak/>
              <w:t xml:space="preserve">путем предоставления в ЦФР </w:t>
            </w:r>
            <w:r>
              <w:rPr>
                <w:rFonts w:ascii="Garamond" w:hAnsi="Garamond"/>
                <w:color w:val="000000"/>
                <w:szCs w:val="22"/>
                <w:lang w:val="ru-RU"/>
              </w:rPr>
              <w:t xml:space="preserve">надлежащим образом заверенных документов, подтверждающих исполнение обязательств по оплате. </w:t>
            </w:r>
          </w:p>
          <w:p w:rsidR="00F4583B" w:rsidRDefault="008E3836">
            <w:pPr>
              <w:pStyle w:val="a9"/>
              <w:ind w:firstLine="709"/>
              <w:rPr>
                <w:rFonts w:ascii="Garamond" w:hAnsi="Garamond"/>
                <w:szCs w:val="22"/>
                <w:highlight w:val="yellow"/>
                <w:lang w:val="ru-RU"/>
              </w:rPr>
            </w:pPr>
            <w:r>
              <w:rPr>
                <w:rFonts w:ascii="Garamond" w:hAnsi="Garamond"/>
                <w:color w:val="000000"/>
                <w:szCs w:val="22"/>
                <w:highlight w:val="yellow"/>
                <w:lang w:val="ru-RU"/>
              </w:rPr>
              <w:t>В качестве подтверждения исполнения обязательств принимается один из следующих документов:</w:t>
            </w:r>
          </w:p>
          <w:p w:rsidR="00F4583B" w:rsidRDefault="008E3836">
            <w:pPr>
              <w:pStyle w:val="a9"/>
              <w:ind w:firstLine="709"/>
              <w:rPr>
                <w:rFonts w:ascii="Garamond" w:hAnsi="Garamond"/>
                <w:szCs w:val="22"/>
                <w:highlight w:val="yellow"/>
                <w:lang w:val="ru-RU"/>
              </w:rPr>
            </w:pPr>
            <w:r>
              <w:rPr>
                <w:rFonts w:ascii="Garamond" w:hAnsi="Garamond"/>
                <w:szCs w:val="22"/>
                <w:highlight w:val="yellow"/>
                <w:lang w:val="ru-RU"/>
              </w:rPr>
              <w:t xml:space="preserve"> – реестр платежей, подписанный уполномоченным лицом, с указанием суммы платежа, даты платежа, номера договора, периода обязательств, по которых проведена оплата;</w:t>
            </w:r>
          </w:p>
          <w:p w:rsidR="00F4583B" w:rsidRDefault="008E3836">
            <w:pPr>
              <w:pStyle w:val="a9"/>
              <w:widowControl w:val="0"/>
              <w:ind w:firstLine="709"/>
              <w:rPr>
                <w:rFonts w:ascii="Garamond" w:hAnsi="Garamond"/>
                <w:szCs w:val="22"/>
                <w:highlight w:val="yellow"/>
                <w:lang w:val="ru-RU"/>
              </w:rPr>
            </w:pPr>
            <w:r>
              <w:rPr>
                <w:rFonts w:ascii="Garamond" w:hAnsi="Garamond"/>
                <w:szCs w:val="22"/>
                <w:highlight w:val="yellow"/>
                <w:lang w:val="ru-RU"/>
              </w:rPr>
              <w:t>– платежное поручение с отметкой банка и назначением платежа с указанием номера договора;</w:t>
            </w:r>
          </w:p>
          <w:p w:rsidR="00F4583B" w:rsidRDefault="008E3836">
            <w:pPr>
              <w:widowControl w:val="0"/>
              <w:tabs>
                <w:tab w:val="num" w:pos="709"/>
              </w:tabs>
              <w:overflowPunct w:val="0"/>
              <w:autoSpaceDE w:val="0"/>
              <w:autoSpaceDN w:val="0"/>
              <w:adjustRightInd w:val="0"/>
              <w:spacing w:before="120" w:after="120" w:line="240" w:lineRule="auto"/>
              <w:ind w:firstLine="709"/>
              <w:jc w:val="both"/>
              <w:textAlignment w:val="baseline"/>
              <w:rPr>
                <w:rFonts w:ascii="Garamond" w:hAnsi="Garamond"/>
              </w:rPr>
            </w:pPr>
            <w:r>
              <w:rPr>
                <w:rFonts w:ascii="Garamond" w:hAnsi="Garamond"/>
                <w:highlight w:val="yellow"/>
              </w:rPr>
              <w:t>– акт приема-передачи векселей, подписанный поставщиком и покупателем.</w:t>
            </w:r>
          </w:p>
        </w:tc>
        <w:tc>
          <w:tcPr>
            <w:tcW w:w="2460" w:type="pct"/>
            <w:tcBorders>
              <w:top w:val="single" w:sz="4" w:space="0" w:color="auto"/>
              <w:left w:val="single" w:sz="4" w:space="0" w:color="auto"/>
              <w:bottom w:val="single" w:sz="4" w:space="0" w:color="auto"/>
              <w:right w:val="single" w:sz="4" w:space="0" w:color="auto"/>
            </w:tcBorders>
          </w:tcPr>
          <w:p w:rsidR="00F4583B" w:rsidRDefault="008E3836">
            <w:pPr>
              <w:pStyle w:val="3"/>
              <w:spacing w:after="120"/>
              <w:rPr>
                <w:sz w:val="22"/>
              </w:rPr>
            </w:pPr>
            <w:bookmarkStart w:id="4" w:name="_Toc515979720"/>
            <w:r>
              <w:rPr>
                <w:sz w:val="22"/>
              </w:rPr>
              <w:lastRenderedPageBreak/>
              <w:t xml:space="preserve">       Порядок взаимодействия ЦФР и участника оптового рынка по подтверждению проведенного платежа по дополнительным соглашениям к РД</w:t>
            </w:r>
            <w:bookmarkEnd w:id="4"/>
          </w:p>
          <w:p w:rsidR="00F4583B" w:rsidRDefault="008E3836">
            <w:pPr>
              <w:pStyle w:val="a9"/>
              <w:ind w:firstLine="709"/>
              <w:rPr>
                <w:rFonts w:ascii="Garamond" w:eastAsia="Calibri" w:hAnsi="Garamond" w:cs="Garamond"/>
                <w:b/>
                <w:szCs w:val="22"/>
                <w:highlight w:val="yellow"/>
                <w:lang w:val="ru-RU"/>
              </w:rPr>
            </w:pPr>
            <w:r>
              <w:rPr>
                <w:rFonts w:ascii="Garamond" w:hAnsi="Garamond"/>
                <w:color w:val="000000"/>
                <w:szCs w:val="22"/>
                <w:lang w:val="ru-RU"/>
              </w:rPr>
              <w:t>Платежи, проведенные на основании дополнительных соглашений к РД о порядке расчетов потребителями с низкой платежной дисциплиной, перечень которых определяется Наблюдательным советом Совета рынка на соответствующий год, должны быть подтверждены заключившими указанные дополнительные соглашения участниками оптового рынка – поставщиком и (или) покупателем, путем предоставления в ЦФР надлежащим образом заверенных документов, подтверждающих исполнение обязательств по оплате</w:t>
            </w:r>
            <w:r>
              <w:rPr>
                <w:rFonts w:ascii="Garamond" w:hAnsi="Garamond"/>
                <w:color w:val="000000"/>
                <w:szCs w:val="22"/>
                <w:highlight w:val="yellow"/>
                <w:lang w:val="ru-RU"/>
              </w:rPr>
              <w:t xml:space="preserve">, в порядке и сроки, указанные в </w:t>
            </w:r>
            <w:proofErr w:type="spellStart"/>
            <w:r>
              <w:rPr>
                <w:rFonts w:ascii="Garamond" w:hAnsi="Garamond"/>
                <w:color w:val="000000"/>
                <w:szCs w:val="22"/>
                <w:highlight w:val="yellow"/>
                <w:lang w:val="ru-RU"/>
              </w:rPr>
              <w:t>пп</w:t>
            </w:r>
            <w:proofErr w:type="spellEnd"/>
            <w:r>
              <w:rPr>
                <w:rFonts w:ascii="Garamond" w:hAnsi="Garamond"/>
                <w:color w:val="000000"/>
                <w:szCs w:val="22"/>
                <w:highlight w:val="yellow"/>
                <w:lang w:val="ru-RU"/>
              </w:rPr>
              <w:t>. 19.2, 19.3 настоящего Регламента.</w:t>
            </w:r>
            <w:r>
              <w:rPr>
                <w:rFonts w:ascii="Garamond" w:hAnsi="Garamond"/>
                <w:strike/>
                <w:color w:val="000000"/>
                <w:szCs w:val="22"/>
                <w:lang w:val="ru-RU"/>
              </w:rPr>
              <w:t xml:space="preserve"> </w:t>
            </w:r>
          </w:p>
        </w:tc>
      </w:tr>
      <w:tr w:rsidR="00F4583B">
        <w:trPr>
          <w:trHeight w:val="435"/>
        </w:trPr>
        <w:tc>
          <w:tcPr>
            <w:tcW w:w="2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4583B" w:rsidRDefault="008E3836">
            <w:pPr>
              <w:spacing w:before="120" w:after="120" w:line="240" w:lineRule="auto"/>
              <w:jc w:val="center"/>
              <w:rPr>
                <w:rFonts w:ascii="Garamond" w:hAnsi="Garamond" w:cs="Garamond"/>
                <w:b/>
                <w:bCs/>
              </w:rPr>
            </w:pPr>
            <w:r>
              <w:rPr>
                <w:rFonts w:ascii="Garamond" w:hAnsi="Garamond" w:cs="Garamond"/>
                <w:b/>
                <w:bCs/>
              </w:rPr>
              <w:lastRenderedPageBreak/>
              <w:t>22.5</w:t>
            </w:r>
          </w:p>
        </w:tc>
        <w:tc>
          <w:tcPr>
            <w:tcW w:w="2254" w:type="pct"/>
            <w:tcBorders>
              <w:top w:val="single" w:sz="4" w:space="0" w:color="auto"/>
              <w:left w:val="single" w:sz="4" w:space="0" w:color="auto"/>
              <w:bottom w:val="single" w:sz="4" w:space="0" w:color="auto"/>
              <w:right w:val="single" w:sz="4" w:space="0" w:color="auto"/>
            </w:tcBorders>
          </w:tcPr>
          <w:p w:rsidR="00F4583B" w:rsidRDefault="008E3836">
            <w:pPr>
              <w:spacing w:before="120" w:after="120" w:line="240" w:lineRule="auto"/>
              <w:ind w:firstLine="567"/>
              <w:jc w:val="both"/>
              <w:rPr>
                <w:rFonts w:ascii="Garamond" w:hAnsi="Garamond"/>
                <w:color w:val="000000"/>
              </w:rPr>
            </w:pPr>
            <w:r>
              <w:rPr>
                <w:rFonts w:ascii="Garamond" w:hAnsi="Garamond"/>
                <w:color w:val="000000"/>
              </w:rPr>
              <w:t xml:space="preserve">В случаях, когда в соответствии с </w:t>
            </w:r>
            <w:proofErr w:type="spellStart"/>
            <w:r>
              <w:rPr>
                <w:rFonts w:ascii="Garamond" w:hAnsi="Garamond"/>
                <w:color w:val="000000"/>
              </w:rPr>
              <w:t>пп</w:t>
            </w:r>
            <w:proofErr w:type="spellEnd"/>
            <w:r>
              <w:rPr>
                <w:rFonts w:ascii="Garamond" w:hAnsi="Garamond"/>
                <w:color w:val="000000"/>
              </w:rPr>
              <w:t>. 22.2, 22.3 или п. 22.4 настоящего Регламента обязательства/требования участника оптового рынка не исполняются путем оплаты (зачисления) денежных средств с (на) торгового (-</w:t>
            </w:r>
            <w:proofErr w:type="spellStart"/>
            <w:r>
              <w:rPr>
                <w:rFonts w:ascii="Garamond" w:hAnsi="Garamond"/>
                <w:color w:val="000000"/>
              </w:rPr>
              <w:t>ый</w:t>
            </w:r>
            <w:proofErr w:type="spellEnd"/>
            <w:r>
              <w:rPr>
                <w:rFonts w:ascii="Garamond" w:hAnsi="Garamond"/>
                <w:color w:val="000000"/>
              </w:rPr>
              <w:t xml:space="preserve">) счета (счет), проведение расчетов с данным участником оптового рынка в двустороннем порядке либо прекращение указанных обязательств/требований иным способом, предусмотренным законодательством Российской Федерации, должны быть подтверждены вышеуказанным участником оптового рынка и (или) его контрагентом </w:t>
            </w:r>
            <w:r>
              <w:rPr>
                <w:rFonts w:ascii="Garamond" w:hAnsi="Garamond"/>
                <w:color w:val="000000"/>
                <w:highlight w:val="yellow"/>
              </w:rPr>
              <w:t>в течение 5 (пяти) рабочих дней после даты проведения расчетов путем предоставления в ЦФР соответствующих документов.</w:t>
            </w:r>
          </w:p>
          <w:p w:rsidR="00F4583B" w:rsidRDefault="008E3836">
            <w:pPr>
              <w:spacing w:before="120" w:after="120" w:line="240" w:lineRule="auto"/>
              <w:ind w:firstLine="567"/>
              <w:jc w:val="both"/>
              <w:rPr>
                <w:rFonts w:ascii="Garamond" w:hAnsi="Garamond"/>
                <w:color w:val="000000"/>
              </w:rPr>
            </w:pPr>
            <w:r>
              <w:rPr>
                <w:rFonts w:ascii="Garamond" w:hAnsi="Garamond"/>
                <w:color w:val="000000"/>
              </w:rPr>
              <w:t xml:space="preserve">В случае если после лишения участника оптового рынка права участия в торговле электрической энергией (мощностью) на оптовом рынке по всем зарегистрированным за ним ГТП в отношении такого участника был прекращен (расторгнут) Договор о присоединении к торговой системе оптового рынка, ранее заключенный с данным участником, то такой участник оптового рынка должен предоставить в ЦФР документы, подтверждающие осуществление расчетов по обязательствам/требованиям на оптовом рынке в двустороннем порядке или прекращение указанных обязательств/требований иным способом, предусмотренным законодательством Российской Федерации, в период после прекращения (расторжения) указанного Договора о присоединении к торговой системе оптового рынка, не </w:t>
            </w:r>
            <w:r>
              <w:rPr>
                <w:rFonts w:ascii="Garamond" w:hAnsi="Garamond"/>
                <w:color w:val="000000"/>
              </w:rPr>
              <w:lastRenderedPageBreak/>
              <w:t>позднее 5 (пяти) рабочих дней до начала месяца, в котором участником оптового рынка повторно получено право участия в торговле электрической энергией (мощностью) на оптовом рынке.</w:t>
            </w:r>
          </w:p>
          <w:p w:rsidR="00F4583B" w:rsidRDefault="008E3836">
            <w:pPr>
              <w:spacing w:before="120" w:after="120" w:line="240" w:lineRule="auto"/>
              <w:ind w:firstLine="567"/>
              <w:jc w:val="both"/>
              <w:rPr>
                <w:rFonts w:ascii="Garamond" w:hAnsi="Garamond"/>
                <w:color w:val="000000"/>
              </w:rPr>
            </w:pPr>
            <w:r>
              <w:rPr>
                <w:rFonts w:ascii="Garamond" w:hAnsi="Garamond"/>
                <w:color w:val="000000"/>
              </w:rPr>
              <w:t>До предоставления в установленном в настоящем пункте порядке информации, подтверждающей проведенные расчеты, соответствующие обязательства/требования участника оптового рынка учитываются ЦФР как неисполненные.</w:t>
            </w:r>
          </w:p>
          <w:p w:rsidR="00F4583B" w:rsidRDefault="008E3836">
            <w:pPr>
              <w:pStyle w:val="a9"/>
              <w:ind w:firstLine="567"/>
              <w:rPr>
                <w:rFonts w:ascii="Garamond" w:hAnsi="Garamond"/>
                <w:color w:val="000000"/>
                <w:szCs w:val="22"/>
                <w:lang w:val="ru-RU"/>
              </w:rPr>
            </w:pPr>
            <w:r>
              <w:rPr>
                <w:rFonts w:ascii="Garamond" w:hAnsi="Garamond"/>
                <w:color w:val="000000"/>
                <w:szCs w:val="22"/>
                <w:lang w:val="ru-RU"/>
              </w:rPr>
              <w:t>ЦФР на основании письменного запроса участника оптового рынка, лишенного статуса субъекта оптового рынка и исключенного из Реестра субъектов оптового рынка и (или) лишенного права участия в торговле электрической энергией (мощностью) на оптовом рынке по всем зарегистрированным за ним ГТП, предоставляет такому участнику не позднее 3 (трех) рабочих дней после получения соответствующего запроса информацию о размере обязательств/требований такого участника по оплате электрической энергии и (или) мощности, услуг инфраструктурных организаций, а также неустойки (пени, штрафов), которые учтены ЦФР как неисполненные.</w:t>
            </w:r>
          </w:p>
        </w:tc>
        <w:tc>
          <w:tcPr>
            <w:tcW w:w="2460" w:type="pct"/>
            <w:tcBorders>
              <w:top w:val="single" w:sz="4" w:space="0" w:color="auto"/>
              <w:left w:val="single" w:sz="4" w:space="0" w:color="auto"/>
              <w:bottom w:val="single" w:sz="4" w:space="0" w:color="auto"/>
              <w:right w:val="single" w:sz="4" w:space="0" w:color="auto"/>
            </w:tcBorders>
            <w:vAlign w:val="center"/>
          </w:tcPr>
          <w:p w:rsidR="00F4583B" w:rsidRDefault="008E3836">
            <w:pPr>
              <w:spacing w:before="120" w:after="120" w:line="240" w:lineRule="auto"/>
              <w:ind w:firstLine="567"/>
              <w:jc w:val="both"/>
              <w:rPr>
                <w:rFonts w:ascii="Garamond" w:hAnsi="Garamond"/>
                <w:color w:val="000000"/>
              </w:rPr>
            </w:pPr>
            <w:r>
              <w:rPr>
                <w:rFonts w:ascii="Garamond" w:hAnsi="Garamond"/>
                <w:color w:val="000000"/>
              </w:rPr>
              <w:lastRenderedPageBreak/>
              <w:t xml:space="preserve">В случаях, когда в соответствии с </w:t>
            </w:r>
            <w:proofErr w:type="spellStart"/>
            <w:r>
              <w:rPr>
                <w:rFonts w:ascii="Garamond" w:hAnsi="Garamond"/>
                <w:color w:val="000000"/>
              </w:rPr>
              <w:t>пп</w:t>
            </w:r>
            <w:proofErr w:type="spellEnd"/>
            <w:r>
              <w:rPr>
                <w:rFonts w:ascii="Garamond" w:hAnsi="Garamond"/>
                <w:color w:val="000000"/>
              </w:rPr>
              <w:t>. 22.2, 22.3 или п. 22.4 настоящего Регламента обязательства/требования участника оптового рынка не исполняются путем оплаты (зачисления) денежных средств с (на) торгового (-</w:t>
            </w:r>
            <w:proofErr w:type="spellStart"/>
            <w:r>
              <w:rPr>
                <w:rFonts w:ascii="Garamond" w:hAnsi="Garamond"/>
                <w:color w:val="000000"/>
              </w:rPr>
              <w:t>ый</w:t>
            </w:r>
            <w:proofErr w:type="spellEnd"/>
            <w:r>
              <w:rPr>
                <w:rFonts w:ascii="Garamond" w:hAnsi="Garamond"/>
                <w:color w:val="000000"/>
              </w:rPr>
              <w:t xml:space="preserve">) счета (счет), проведение расчетов с данным участником оптового рынка в двустороннем порядке либо прекращение указанных обязательств/требований иным способом, предусмотренным законодательством Российской Федерации, должны быть подтверждены вышеуказанным участником оптового рынка и (или) его контрагентом </w:t>
            </w:r>
            <w:r>
              <w:rPr>
                <w:rFonts w:ascii="Garamond" w:hAnsi="Garamond"/>
                <w:color w:val="000000"/>
                <w:highlight w:val="yellow"/>
              </w:rPr>
              <w:t xml:space="preserve">в порядке и сроки, указанные в </w:t>
            </w:r>
            <w:proofErr w:type="spellStart"/>
            <w:r>
              <w:rPr>
                <w:rFonts w:ascii="Garamond" w:hAnsi="Garamond"/>
                <w:color w:val="000000"/>
                <w:highlight w:val="yellow"/>
              </w:rPr>
              <w:t>пп</w:t>
            </w:r>
            <w:proofErr w:type="spellEnd"/>
            <w:r>
              <w:rPr>
                <w:rFonts w:ascii="Garamond" w:hAnsi="Garamond"/>
                <w:color w:val="000000"/>
                <w:highlight w:val="yellow"/>
              </w:rPr>
              <w:t>. 19.2, 19.3 настоящего Регламента.</w:t>
            </w:r>
            <w:r>
              <w:rPr>
                <w:rFonts w:ascii="Garamond" w:hAnsi="Garamond"/>
                <w:color w:val="000000"/>
              </w:rPr>
              <w:t xml:space="preserve"> </w:t>
            </w:r>
          </w:p>
          <w:p w:rsidR="00F4583B" w:rsidRDefault="008E3836">
            <w:pPr>
              <w:spacing w:before="120" w:after="120" w:line="240" w:lineRule="auto"/>
              <w:ind w:firstLine="567"/>
              <w:jc w:val="both"/>
              <w:rPr>
                <w:rFonts w:ascii="Garamond" w:hAnsi="Garamond"/>
                <w:color w:val="000000"/>
              </w:rPr>
            </w:pPr>
            <w:r>
              <w:rPr>
                <w:rFonts w:ascii="Garamond" w:hAnsi="Garamond"/>
                <w:color w:val="000000"/>
              </w:rPr>
              <w:t>В случае если после лишения участника оптового рынка права участия в торговле электрической энергией (мощностью) на оптовом рынке по всем зарегистрированным за ним ГТП в отношении такого участника был прекращен (расторгнут) Договор о присоединении к торговой системе оптового рынка, ранее заключенный с данным участником, то такой участник оптового рынка должен предоставить в ЦФР документы, подтверждающие осуществление расчетов по обязательствам/требованиям на оптовом рынке в двустороннем порядке или прекращение указанных обязательств/требований иным способом, предусмотренным законодательством Российской Федерации, в период после прекращения (расторжения) указанного Договора о присоединении к торговой системе оптового рынка, не позднее 5 (пяти) рабочих дней до начала месяца, в котором участником оптового рынка повторно получено право участия в торговле электрической энергией (мощностью) на оптовом рынке.</w:t>
            </w:r>
          </w:p>
          <w:p w:rsidR="00F4583B" w:rsidRDefault="008E3836">
            <w:pPr>
              <w:spacing w:before="120" w:after="120" w:line="240" w:lineRule="auto"/>
              <w:ind w:firstLine="567"/>
              <w:jc w:val="both"/>
              <w:rPr>
                <w:rFonts w:ascii="Garamond" w:hAnsi="Garamond"/>
                <w:color w:val="000000"/>
              </w:rPr>
            </w:pPr>
            <w:r>
              <w:rPr>
                <w:rFonts w:ascii="Garamond" w:hAnsi="Garamond"/>
                <w:color w:val="000000"/>
              </w:rPr>
              <w:lastRenderedPageBreak/>
              <w:t>До предоставления в установленном в настоящем пункте порядке информации, подтверждающей проведенные расчеты, соответствующие обязательства/требования участника оптового рынка учитываются ЦФР как неисполненные.</w:t>
            </w:r>
          </w:p>
          <w:p w:rsidR="00F4583B" w:rsidRPr="008E3836" w:rsidRDefault="008E3836" w:rsidP="008E3836">
            <w:pPr>
              <w:pStyle w:val="a9"/>
              <w:ind w:firstLine="567"/>
              <w:rPr>
                <w:rFonts w:ascii="Garamond" w:hAnsi="Garamond"/>
                <w:color w:val="000000"/>
                <w:szCs w:val="22"/>
                <w:lang w:val="ru-RU"/>
              </w:rPr>
            </w:pPr>
            <w:r>
              <w:rPr>
                <w:rFonts w:ascii="Garamond" w:hAnsi="Garamond"/>
                <w:color w:val="000000"/>
                <w:szCs w:val="22"/>
                <w:lang w:val="ru-RU"/>
              </w:rPr>
              <w:t>ЦФР на основании письменного запроса участника оптового рынка, лишенного статуса субъекта оптового рынка и исключенного из Реестра субъектов оптового рынка и (или) лишенного права участия в торговле электрической энергией (мощностью) на оптовом рынке по всем зарегистрированным за ним ГТП, предоставляет такому участнику не позднее 3 (трех) рабочих дней после получения соответствующего запроса информацию о размере обязательств/требований такого участника по оплате электрической энергии и (или) мощности, услуг инфраструктурных организаций, а также неустойки (пени, штрафов), которые учтены ЦФР как неисполненные.</w:t>
            </w:r>
          </w:p>
        </w:tc>
      </w:tr>
      <w:tr w:rsidR="00F4583B">
        <w:trPr>
          <w:trHeight w:val="435"/>
        </w:trPr>
        <w:tc>
          <w:tcPr>
            <w:tcW w:w="2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4583B" w:rsidRDefault="008E3836">
            <w:pPr>
              <w:spacing w:before="120" w:after="120" w:line="240" w:lineRule="auto"/>
              <w:jc w:val="center"/>
              <w:rPr>
                <w:rFonts w:ascii="Garamond" w:hAnsi="Garamond" w:cs="Garamond"/>
                <w:b/>
                <w:bCs/>
              </w:rPr>
            </w:pPr>
            <w:r>
              <w:rPr>
                <w:rFonts w:ascii="Garamond" w:hAnsi="Garamond" w:cs="Garamond"/>
                <w:b/>
                <w:bCs/>
              </w:rPr>
              <w:lastRenderedPageBreak/>
              <w:t>14.5</w:t>
            </w:r>
          </w:p>
        </w:tc>
        <w:tc>
          <w:tcPr>
            <w:tcW w:w="2254" w:type="pct"/>
            <w:tcBorders>
              <w:top w:val="single" w:sz="4" w:space="0" w:color="auto"/>
              <w:left w:val="single" w:sz="4" w:space="0" w:color="auto"/>
              <w:bottom w:val="single" w:sz="4" w:space="0" w:color="auto"/>
              <w:right w:val="single" w:sz="4" w:space="0" w:color="auto"/>
            </w:tcBorders>
          </w:tcPr>
          <w:p w:rsidR="00F4583B" w:rsidRDefault="008E3836">
            <w:pPr>
              <w:pStyle w:val="a9"/>
              <w:ind w:firstLine="708"/>
              <w:rPr>
                <w:rFonts w:ascii="Garamond" w:eastAsia="Calibri" w:hAnsi="Garamond"/>
                <w:szCs w:val="22"/>
                <w:highlight w:val="yellow"/>
                <w:lang w:val="ru-RU"/>
              </w:rPr>
            </w:pPr>
            <w:r>
              <w:rPr>
                <w:rFonts w:ascii="Garamond" w:eastAsia="Calibri" w:hAnsi="Garamond"/>
                <w:szCs w:val="22"/>
                <w:lang w:val="ru-RU"/>
              </w:rPr>
              <w:t xml:space="preserve">Проведение расчетов по обязательствам, переданным по договорам цессии, либо прекращение указанных обязательств иным способом, предусмотренным законодательством Российской Федерации, </w:t>
            </w:r>
            <w:r>
              <w:rPr>
                <w:rFonts w:ascii="Garamond" w:eastAsia="Calibri" w:hAnsi="Garamond"/>
                <w:szCs w:val="22"/>
                <w:highlight w:val="yellow"/>
                <w:lang w:val="ru-RU"/>
              </w:rPr>
              <w:t>должны быть подтверждены участниками оптового рынка (комитентом или покупателем) в течение 5 (пяти) рабочих дней после даты проведения расчетов путем предоставления в ЦФР соответствующих документов.</w:t>
            </w:r>
          </w:p>
          <w:p w:rsidR="00F4583B" w:rsidRDefault="008E3836">
            <w:pPr>
              <w:pStyle w:val="a9"/>
              <w:ind w:firstLine="567"/>
              <w:rPr>
                <w:rFonts w:ascii="Garamond" w:eastAsia="Calibri" w:hAnsi="Garamond"/>
                <w:szCs w:val="22"/>
                <w:highlight w:val="yellow"/>
                <w:lang w:val="ru-RU"/>
              </w:rPr>
            </w:pPr>
            <w:r>
              <w:rPr>
                <w:rFonts w:ascii="Garamond" w:eastAsia="Calibri" w:hAnsi="Garamond"/>
                <w:szCs w:val="22"/>
                <w:highlight w:val="yellow"/>
                <w:lang w:val="ru-RU"/>
              </w:rPr>
              <w:t>Информация о проведенных платежах должна быть представлена с разбивкой по договорам и по расчетным периодам формирования обязательств.</w:t>
            </w:r>
          </w:p>
          <w:p w:rsidR="00F4583B" w:rsidRDefault="008E3836">
            <w:pPr>
              <w:pStyle w:val="a9"/>
              <w:ind w:firstLine="567"/>
              <w:rPr>
                <w:rFonts w:ascii="Garamond" w:eastAsia="Calibri" w:hAnsi="Garamond"/>
                <w:szCs w:val="22"/>
                <w:highlight w:val="yellow"/>
                <w:lang w:val="ru-RU"/>
              </w:rPr>
            </w:pPr>
            <w:r>
              <w:rPr>
                <w:rFonts w:ascii="Garamond" w:eastAsia="Calibri" w:hAnsi="Garamond"/>
                <w:szCs w:val="22"/>
                <w:highlight w:val="yellow"/>
                <w:lang w:val="ru-RU"/>
              </w:rPr>
              <w:t>ЦФР учитывает прекращение обязательств, переданных по договорам цессии, при предоставлении участником оптового рынка копии одного из следующих документов:</w:t>
            </w:r>
          </w:p>
          <w:p w:rsidR="00F4583B" w:rsidRDefault="008E3836">
            <w:pPr>
              <w:pStyle w:val="a9"/>
              <w:widowControl w:val="0"/>
              <w:ind w:firstLine="567"/>
              <w:rPr>
                <w:rFonts w:ascii="Garamond" w:eastAsia="Calibri" w:hAnsi="Garamond"/>
                <w:szCs w:val="22"/>
                <w:highlight w:val="yellow"/>
                <w:lang w:val="ru-RU"/>
              </w:rPr>
            </w:pPr>
            <w:r>
              <w:rPr>
                <w:rFonts w:ascii="Garamond" w:eastAsia="Calibri" w:hAnsi="Garamond"/>
                <w:szCs w:val="22"/>
                <w:highlight w:val="yellow"/>
                <w:lang w:val="ru-RU"/>
              </w:rPr>
              <w:t>– платежного поручения с отметкой банка и назначением платежа во исполнение обязательств, переданных по договорам цессии;</w:t>
            </w:r>
          </w:p>
          <w:p w:rsidR="00F4583B" w:rsidRDefault="008E3836">
            <w:pPr>
              <w:pStyle w:val="a9"/>
              <w:widowControl w:val="0"/>
              <w:ind w:firstLine="567"/>
              <w:rPr>
                <w:rFonts w:ascii="Garamond" w:eastAsia="Calibri" w:hAnsi="Garamond"/>
                <w:szCs w:val="22"/>
                <w:highlight w:val="yellow"/>
                <w:lang w:val="ru-RU"/>
              </w:rPr>
            </w:pPr>
            <w:r>
              <w:rPr>
                <w:rFonts w:ascii="Garamond" w:eastAsia="Calibri" w:hAnsi="Garamond"/>
                <w:szCs w:val="22"/>
                <w:highlight w:val="yellow"/>
                <w:lang w:val="ru-RU"/>
              </w:rPr>
              <w:t xml:space="preserve">– акта приема-передачи векселей, подписанного комитентом и </w:t>
            </w:r>
            <w:r>
              <w:rPr>
                <w:rFonts w:ascii="Garamond" w:eastAsia="Calibri" w:hAnsi="Garamond"/>
                <w:szCs w:val="22"/>
                <w:highlight w:val="yellow"/>
                <w:lang w:val="ru-RU"/>
              </w:rPr>
              <w:lastRenderedPageBreak/>
              <w:t>покупателем;</w:t>
            </w:r>
          </w:p>
          <w:p w:rsidR="00F4583B" w:rsidRDefault="008E3836">
            <w:pPr>
              <w:pStyle w:val="a9"/>
              <w:widowControl w:val="0"/>
              <w:ind w:firstLine="567"/>
              <w:rPr>
                <w:rFonts w:ascii="Garamond" w:eastAsia="Calibri" w:hAnsi="Garamond"/>
                <w:szCs w:val="22"/>
                <w:highlight w:val="yellow"/>
                <w:lang w:val="ru-RU"/>
              </w:rPr>
            </w:pPr>
            <w:r>
              <w:rPr>
                <w:rFonts w:ascii="Garamond" w:eastAsia="Calibri" w:hAnsi="Garamond"/>
                <w:szCs w:val="22"/>
                <w:highlight w:val="yellow"/>
                <w:lang w:val="ru-RU"/>
              </w:rPr>
              <w:t>– уведомления о проведении полного или частичного зачета однородных встречных требований с отметкой уполномоченного лица контрагента участника оптового рынка (комитента или покупателя) об осуществлении (проведении) полного или частичного зачета однородных встречных требований;</w:t>
            </w:r>
          </w:p>
          <w:p w:rsidR="00F4583B" w:rsidRDefault="008E3836">
            <w:pPr>
              <w:pStyle w:val="a9"/>
              <w:ind w:firstLine="567"/>
              <w:rPr>
                <w:rFonts w:ascii="Garamond" w:eastAsia="Calibri" w:hAnsi="Garamond"/>
                <w:szCs w:val="22"/>
                <w:highlight w:val="yellow"/>
                <w:lang w:val="ru-RU"/>
              </w:rPr>
            </w:pPr>
            <w:r>
              <w:rPr>
                <w:rFonts w:ascii="Garamond" w:eastAsia="Calibri" w:hAnsi="Garamond"/>
                <w:szCs w:val="22"/>
                <w:highlight w:val="yellow"/>
                <w:lang w:val="ru-RU"/>
              </w:rPr>
              <w:t>– иных документов, подтверждающих факт проведения платежа.</w:t>
            </w:r>
          </w:p>
          <w:p w:rsidR="00F4583B" w:rsidRDefault="008E3836">
            <w:pPr>
              <w:spacing w:before="120" w:after="120" w:line="240" w:lineRule="auto"/>
              <w:ind w:firstLine="567"/>
              <w:jc w:val="both"/>
              <w:rPr>
                <w:rFonts w:ascii="Garamond" w:hAnsi="Garamond"/>
                <w:highlight w:val="yellow"/>
              </w:rPr>
            </w:pPr>
            <w:r>
              <w:rPr>
                <w:rFonts w:ascii="Garamond" w:hAnsi="Garamond"/>
                <w:highlight w:val="yellow"/>
              </w:rPr>
              <w:t xml:space="preserve">ЦФР прекращает учет обязательств, переданных по договорам цессии, в случаях: </w:t>
            </w:r>
          </w:p>
          <w:p w:rsidR="00F4583B" w:rsidRDefault="008E3836">
            <w:pPr>
              <w:spacing w:before="120" w:after="120" w:line="240" w:lineRule="auto"/>
              <w:ind w:firstLine="567"/>
              <w:jc w:val="both"/>
              <w:rPr>
                <w:rFonts w:ascii="Garamond" w:hAnsi="Garamond"/>
                <w:highlight w:val="yellow"/>
              </w:rPr>
            </w:pPr>
            <w:r>
              <w:rPr>
                <w:rFonts w:ascii="Garamond" w:hAnsi="Garamond"/>
                <w:highlight w:val="yellow"/>
              </w:rPr>
              <w:t xml:space="preserve">– перехода прав требования участника оптового рынка – кредитора по указанным обязательствам к третьему лицу;  </w:t>
            </w:r>
          </w:p>
          <w:p w:rsidR="00F4583B" w:rsidRDefault="008E3836">
            <w:pPr>
              <w:spacing w:before="120" w:after="120" w:line="240" w:lineRule="auto"/>
              <w:ind w:firstLine="567"/>
              <w:jc w:val="both"/>
              <w:rPr>
                <w:rFonts w:ascii="Garamond" w:hAnsi="Garamond"/>
                <w:highlight w:val="yellow"/>
              </w:rPr>
            </w:pPr>
            <w:r>
              <w:rPr>
                <w:rFonts w:ascii="Garamond" w:hAnsi="Garamond"/>
                <w:highlight w:val="yellow"/>
              </w:rPr>
              <w:t>– перевода долга по указанным обязательствам участника оптового рынка – должника на третье лицо –</w:t>
            </w:r>
          </w:p>
          <w:p w:rsidR="00F4583B" w:rsidRDefault="008E3836">
            <w:pPr>
              <w:spacing w:before="120" w:after="120" w:line="240" w:lineRule="auto"/>
              <w:ind w:firstLine="4"/>
              <w:jc w:val="both"/>
              <w:rPr>
                <w:rFonts w:ascii="Garamond" w:hAnsi="Garamond"/>
                <w:highlight w:val="yellow"/>
              </w:rPr>
            </w:pPr>
            <w:r>
              <w:rPr>
                <w:rFonts w:ascii="Garamond" w:hAnsi="Garamond"/>
                <w:highlight w:val="yellow"/>
              </w:rPr>
              <w:t xml:space="preserve">при условии предоставления в ЦФР участником оптового рынка – кредитором или должником по соответствующему обязательству одного из следующих документов:  </w:t>
            </w:r>
          </w:p>
          <w:p w:rsidR="00F4583B" w:rsidRDefault="008E3836">
            <w:pPr>
              <w:spacing w:before="120" w:after="120" w:line="240" w:lineRule="auto"/>
              <w:ind w:firstLine="544"/>
              <w:jc w:val="both"/>
              <w:rPr>
                <w:rFonts w:ascii="Garamond" w:hAnsi="Garamond"/>
                <w:highlight w:val="yellow"/>
              </w:rPr>
            </w:pPr>
            <w:r>
              <w:rPr>
                <w:rFonts w:ascii="Garamond" w:hAnsi="Garamond"/>
                <w:highlight w:val="yellow"/>
              </w:rPr>
              <w:t>– надлежащим образом заверенной копии договора уступки права требования (цессии) к должнику, заключенного между кредитором и третьим лицом;</w:t>
            </w:r>
          </w:p>
          <w:p w:rsidR="00F4583B" w:rsidRDefault="008E3836">
            <w:pPr>
              <w:spacing w:before="120" w:after="120" w:line="240" w:lineRule="auto"/>
              <w:ind w:firstLine="544"/>
              <w:jc w:val="both"/>
              <w:rPr>
                <w:rFonts w:ascii="Garamond" w:hAnsi="Garamond"/>
                <w:highlight w:val="yellow"/>
              </w:rPr>
            </w:pPr>
            <w:r>
              <w:rPr>
                <w:rFonts w:ascii="Garamond" w:hAnsi="Garamond"/>
                <w:highlight w:val="yellow"/>
              </w:rPr>
              <w:t xml:space="preserve">– уведомления участника оптового рынка – кредитора об уступке прав требования третьему лицу; </w:t>
            </w:r>
          </w:p>
          <w:p w:rsidR="00F4583B" w:rsidRDefault="008E3836">
            <w:pPr>
              <w:pStyle w:val="a9"/>
              <w:ind w:firstLine="567"/>
              <w:rPr>
                <w:rFonts w:ascii="Garamond" w:eastAsia="Calibri" w:hAnsi="Garamond"/>
                <w:szCs w:val="22"/>
                <w:highlight w:val="yellow"/>
                <w:lang w:val="ru-RU"/>
              </w:rPr>
            </w:pPr>
            <w:r>
              <w:rPr>
                <w:rFonts w:ascii="Garamond" w:eastAsia="Calibri" w:hAnsi="Garamond"/>
                <w:szCs w:val="22"/>
                <w:highlight w:val="yellow"/>
                <w:lang w:val="ru-RU"/>
              </w:rPr>
              <w:t>– надлежащим образом заверенной копии договора (соглашения) перевода долга, заключенного между должником и третьим лицом, содержащего письменное согласие кредитора на перевод долга от должника к третьему лицу.</w:t>
            </w:r>
          </w:p>
          <w:p w:rsidR="00F4583B" w:rsidRDefault="008E3836">
            <w:pPr>
              <w:pStyle w:val="a9"/>
              <w:ind w:firstLine="567"/>
              <w:rPr>
                <w:rFonts w:ascii="Garamond" w:eastAsia="Calibri" w:hAnsi="Garamond"/>
                <w:szCs w:val="22"/>
                <w:lang w:val="ru-RU"/>
              </w:rPr>
            </w:pPr>
            <w:r>
              <w:rPr>
                <w:rFonts w:ascii="Garamond" w:eastAsia="Calibri" w:hAnsi="Garamond"/>
                <w:szCs w:val="22"/>
                <w:highlight w:val="yellow"/>
                <w:lang w:val="ru-RU"/>
              </w:rPr>
              <w:t>Информация о проведенных платежах должна быть представлена с разбивкой по договорам и по расчетным периодам формирования обязательств.</w:t>
            </w:r>
          </w:p>
          <w:p w:rsidR="00F4583B" w:rsidRDefault="008E3836">
            <w:pPr>
              <w:pStyle w:val="a9"/>
              <w:ind w:firstLine="567"/>
              <w:rPr>
                <w:rFonts w:ascii="Garamond" w:eastAsia="Calibri" w:hAnsi="Garamond"/>
                <w:szCs w:val="22"/>
                <w:lang w:val="ru-RU"/>
              </w:rPr>
            </w:pPr>
            <w:r>
              <w:rPr>
                <w:rFonts w:ascii="Garamond" w:eastAsia="Calibri" w:hAnsi="Garamond"/>
                <w:szCs w:val="22"/>
                <w:lang w:val="ru-RU"/>
              </w:rPr>
              <w:t xml:space="preserve">На основании полученной в соответствии с настоящим пунктом информации ЦФР </w:t>
            </w:r>
            <w:r>
              <w:rPr>
                <w:rFonts w:ascii="Garamond" w:eastAsia="Calibri" w:hAnsi="Garamond"/>
                <w:szCs w:val="22"/>
                <w:highlight w:val="yellow"/>
                <w:lang w:val="ru-RU"/>
              </w:rPr>
              <w:t>два раза в месяц: не позднее 15-го числа календарного месяца и не позднее последнего рабочего дня месяца</w:t>
            </w:r>
            <w:r>
              <w:rPr>
                <w:rFonts w:ascii="Garamond" w:eastAsia="Calibri" w:hAnsi="Garamond"/>
                <w:szCs w:val="22"/>
                <w:lang w:val="ru-RU"/>
              </w:rPr>
              <w:t xml:space="preserve"> – публикует отчет об учтенных платежах и о состоянии задолженности по договорам уступки прав (цессии) для участника оптового рынка, </w:t>
            </w:r>
            <w:r>
              <w:rPr>
                <w:rFonts w:ascii="Garamond" w:eastAsia="Calibri" w:hAnsi="Garamond"/>
                <w:szCs w:val="22"/>
                <w:lang w:val="ru-RU"/>
              </w:rPr>
              <w:lastRenderedPageBreak/>
              <w:t>заключившего договор уступки прав (цессии), на сайте КО, в разделе с ограниченным в соответствии с Правилами ЭДО СЭД КО доступом, с применением ЭП по форме, установленной приложением 13 к настоящему Регламенту.</w:t>
            </w:r>
          </w:p>
          <w:p w:rsidR="00F4583B" w:rsidRDefault="008E3836">
            <w:pPr>
              <w:pStyle w:val="a9"/>
              <w:ind w:firstLine="567"/>
              <w:rPr>
                <w:rFonts w:ascii="Garamond" w:eastAsia="Calibri" w:hAnsi="Garamond"/>
                <w:szCs w:val="22"/>
                <w:lang w:val="ru-RU"/>
              </w:rPr>
            </w:pPr>
            <w:r>
              <w:rPr>
                <w:rFonts w:ascii="Garamond" w:eastAsia="Calibri" w:hAnsi="Garamond"/>
                <w:szCs w:val="22"/>
                <w:lang w:val="ru-RU"/>
              </w:rPr>
              <w:t>Отчет об учтенных платежах и о состоянии задолженности по договорам уступки прав (цессии) не включает</w:t>
            </w:r>
            <w:r>
              <w:rPr>
                <w:rFonts w:ascii="Garamond" w:eastAsia="Calibri" w:hAnsi="Garamond"/>
                <w:szCs w:val="22"/>
                <w:highlight w:val="yellow"/>
                <w:lang w:val="ru-RU"/>
              </w:rPr>
              <w:t>:</w:t>
            </w:r>
            <w:r>
              <w:rPr>
                <w:rFonts w:ascii="Garamond" w:eastAsia="Calibri" w:hAnsi="Garamond"/>
                <w:szCs w:val="22"/>
                <w:lang w:val="ru-RU"/>
              </w:rPr>
              <w:t xml:space="preserve"> </w:t>
            </w:r>
          </w:p>
          <w:p w:rsidR="00F4583B" w:rsidRDefault="008E3836">
            <w:pPr>
              <w:pStyle w:val="a9"/>
              <w:ind w:firstLine="567"/>
              <w:rPr>
                <w:rFonts w:ascii="Garamond" w:eastAsia="Calibri" w:hAnsi="Garamond"/>
                <w:szCs w:val="22"/>
                <w:lang w:val="ru-RU"/>
              </w:rPr>
            </w:pPr>
            <w:r>
              <w:rPr>
                <w:rFonts w:ascii="Garamond" w:eastAsia="Calibri" w:hAnsi="Garamond"/>
                <w:szCs w:val="22"/>
                <w:highlight w:val="yellow"/>
                <w:lang w:val="ru-RU"/>
              </w:rPr>
              <w:t>– данные о платежах и задолженности по договорам уступки прав (цессии), заключенным в месяце формирования отчета;</w:t>
            </w:r>
          </w:p>
          <w:p w:rsidR="00F4583B" w:rsidRDefault="008E3836">
            <w:pPr>
              <w:pStyle w:val="a9"/>
              <w:widowControl w:val="0"/>
              <w:ind w:firstLine="567"/>
              <w:rPr>
                <w:rFonts w:ascii="Garamond" w:hAnsi="Garamond"/>
                <w:spacing w:val="1"/>
                <w:szCs w:val="22"/>
                <w:lang w:val="ru-RU"/>
              </w:rPr>
            </w:pPr>
            <w:r>
              <w:rPr>
                <w:rFonts w:ascii="Garamond" w:eastAsia="Calibri" w:hAnsi="Garamond"/>
                <w:szCs w:val="22"/>
                <w:highlight w:val="yellow"/>
                <w:lang w:val="ru-RU"/>
              </w:rPr>
              <w:t>–</w:t>
            </w:r>
            <w:r>
              <w:rPr>
                <w:rFonts w:ascii="Garamond" w:eastAsia="Calibri" w:hAnsi="Garamond"/>
                <w:szCs w:val="22"/>
                <w:lang w:val="ru-RU"/>
              </w:rPr>
              <w:t xml:space="preserve"> данные о платежах и задолженности по договорам уступки прав (цессии), по которым информация о полном погашении задолженности была получена ЦФР три и более месяца назад.</w:t>
            </w:r>
          </w:p>
        </w:tc>
        <w:tc>
          <w:tcPr>
            <w:tcW w:w="2460" w:type="pct"/>
            <w:tcBorders>
              <w:top w:val="single" w:sz="4" w:space="0" w:color="auto"/>
              <w:left w:val="single" w:sz="4" w:space="0" w:color="auto"/>
              <w:bottom w:val="single" w:sz="4" w:space="0" w:color="auto"/>
              <w:right w:val="single" w:sz="4" w:space="0" w:color="auto"/>
            </w:tcBorders>
          </w:tcPr>
          <w:p w:rsidR="00F4583B" w:rsidRDefault="008E3836">
            <w:pPr>
              <w:pStyle w:val="a9"/>
              <w:widowControl w:val="0"/>
              <w:ind w:firstLine="567"/>
              <w:rPr>
                <w:rFonts w:ascii="Garamond" w:eastAsia="Calibri" w:hAnsi="Garamond"/>
                <w:szCs w:val="22"/>
                <w:lang w:val="ru-RU"/>
              </w:rPr>
            </w:pPr>
            <w:r>
              <w:rPr>
                <w:rFonts w:ascii="Garamond" w:eastAsia="Calibri" w:hAnsi="Garamond"/>
                <w:szCs w:val="22"/>
                <w:lang w:val="ru-RU"/>
              </w:rPr>
              <w:lastRenderedPageBreak/>
              <w:t xml:space="preserve">Проведение расчетов по обязательствам, переданным по договорам цессии, либо прекращение указанных обязательств иным способом, предусмотренным законодательством Российской Федерации, </w:t>
            </w:r>
            <w:r>
              <w:rPr>
                <w:rFonts w:ascii="Garamond" w:eastAsia="Calibri" w:hAnsi="Garamond"/>
                <w:szCs w:val="22"/>
                <w:highlight w:val="yellow"/>
                <w:lang w:val="ru-RU"/>
              </w:rPr>
              <w:t xml:space="preserve">осуществляется </w:t>
            </w:r>
            <w:r>
              <w:rPr>
                <w:rFonts w:ascii="Garamond" w:hAnsi="Garamond"/>
                <w:color w:val="000000"/>
                <w:szCs w:val="22"/>
                <w:highlight w:val="yellow"/>
                <w:lang w:val="ru-RU"/>
              </w:rPr>
              <w:t xml:space="preserve">в порядке и сроки, указанные в </w:t>
            </w:r>
            <w:proofErr w:type="spellStart"/>
            <w:r>
              <w:rPr>
                <w:rFonts w:ascii="Garamond" w:hAnsi="Garamond"/>
                <w:color w:val="000000"/>
                <w:szCs w:val="22"/>
                <w:highlight w:val="yellow"/>
                <w:lang w:val="ru-RU"/>
              </w:rPr>
              <w:t>пп</w:t>
            </w:r>
            <w:proofErr w:type="spellEnd"/>
            <w:r>
              <w:rPr>
                <w:rFonts w:ascii="Garamond" w:hAnsi="Garamond"/>
                <w:color w:val="000000"/>
                <w:szCs w:val="22"/>
                <w:highlight w:val="yellow"/>
                <w:lang w:val="ru-RU"/>
              </w:rPr>
              <w:t>. 19.2, 19.3 настоящего Регламента.</w:t>
            </w:r>
            <w:r>
              <w:rPr>
                <w:rFonts w:ascii="Garamond" w:eastAsia="Calibri" w:hAnsi="Garamond"/>
                <w:szCs w:val="22"/>
                <w:lang w:val="ru-RU"/>
              </w:rPr>
              <w:t xml:space="preserve"> </w:t>
            </w:r>
          </w:p>
          <w:p w:rsidR="00F4583B" w:rsidRDefault="008E3836">
            <w:pPr>
              <w:pStyle w:val="a9"/>
              <w:ind w:firstLine="567"/>
              <w:rPr>
                <w:rFonts w:ascii="Garamond" w:eastAsia="Calibri" w:hAnsi="Garamond"/>
                <w:szCs w:val="22"/>
                <w:lang w:val="ru-RU"/>
              </w:rPr>
            </w:pPr>
            <w:r>
              <w:rPr>
                <w:rFonts w:ascii="Garamond" w:eastAsia="Calibri" w:hAnsi="Garamond"/>
                <w:szCs w:val="22"/>
                <w:lang w:val="ru-RU"/>
              </w:rPr>
              <w:t xml:space="preserve">На основании полученной в соответствии с настоящим пунктом информации ЦФР </w:t>
            </w:r>
            <w:r>
              <w:rPr>
                <w:rFonts w:ascii="Garamond" w:eastAsia="Calibri" w:hAnsi="Garamond"/>
                <w:szCs w:val="22"/>
                <w:highlight w:val="yellow"/>
                <w:lang w:val="ru-RU"/>
              </w:rPr>
              <w:t>четыре раза в месяц: не позднее 7, 14, 21-го числа календарного месяца и не позднее последнего рабочего дня месяца</w:t>
            </w:r>
            <w:r>
              <w:rPr>
                <w:rFonts w:ascii="Garamond" w:eastAsia="Calibri" w:hAnsi="Garamond"/>
                <w:szCs w:val="22"/>
                <w:lang w:val="ru-RU"/>
              </w:rPr>
              <w:t xml:space="preserve"> – публикует отчет об учтенных платежах и о состоянии задолженности по договорам уступки прав (цессии) для участника оптового рынка, заключившего договор уступки прав (цессии), на сайте КО, в разделе с ограниченным в соответствии с Правилами ЭДО СЭД КО доступом, с применением ЭП по форме, установленной приложением 13 к настоящему Регламенту.</w:t>
            </w:r>
          </w:p>
          <w:p w:rsidR="00F4583B" w:rsidRDefault="008E3836">
            <w:pPr>
              <w:pStyle w:val="a9"/>
              <w:ind w:firstLine="567"/>
              <w:rPr>
                <w:rFonts w:ascii="Garamond" w:hAnsi="Garamond"/>
                <w:spacing w:val="1"/>
                <w:szCs w:val="22"/>
                <w:lang w:val="ru-RU"/>
              </w:rPr>
            </w:pPr>
            <w:r>
              <w:rPr>
                <w:rFonts w:ascii="Garamond" w:eastAsia="Calibri" w:hAnsi="Garamond"/>
                <w:szCs w:val="22"/>
                <w:lang w:val="ru-RU"/>
              </w:rPr>
              <w:t xml:space="preserve">Отчет об учтенных платежах и о состоянии задолженности по договорам уступки прав (цессии) не включает данные о платежах и задолженности по договорам уступки прав (цессии), по которым информация </w:t>
            </w:r>
            <w:r>
              <w:rPr>
                <w:rFonts w:ascii="Garamond" w:eastAsia="Calibri" w:hAnsi="Garamond"/>
                <w:szCs w:val="22"/>
                <w:lang w:val="ru-RU"/>
              </w:rPr>
              <w:lastRenderedPageBreak/>
              <w:t>о полном погашении задолженности была получена ЦФР три и более месяца назад.</w:t>
            </w:r>
          </w:p>
        </w:tc>
      </w:tr>
      <w:tr w:rsidR="00F4583B">
        <w:trPr>
          <w:trHeight w:val="435"/>
        </w:trPr>
        <w:tc>
          <w:tcPr>
            <w:tcW w:w="2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4583B" w:rsidRDefault="008E3836">
            <w:pPr>
              <w:spacing w:before="120" w:after="120" w:line="240" w:lineRule="auto"/>
              <w:jc w:val="center"/>
              <w:rPr>
                <w:rFonts w:ascii="Garamond" w:hAnsi="Garamond" w:cs="Garamond"/>
                <w:b/>
                <w:bCs/>
              </w:rPr>
            </w:pPr>
            <w:r>
              <w:rPr>
                <w:rFonts w:ascii="Garamond" w:hAnsi="Garamond" w:cs="Garamond"/>
                <w:b/>
                <w:bCs/>
              </w:rPr>
              <w:lastRenderedPageBreak/>
              <w:t>21.4.4</w:t>
            </w:r>
          </w:p>
        </w:tc>
        <w:tc>
          <w:tcPr>
            <w:tcW w:w="2254" w:type="pct"/>
            <w:tcBorders>
              <w:top w:val="single" w:sz="4" w:space="0" w:color="auto"/>
              <w:left w:val="single" w:sz="4" w:space="0" w:color="auto"/>
              <w:bottom w:val="single" w:sz="4" w:space="0" w:color="auto"/>
              <w:right w:val="single" w:sz="4" w:space="0" w:color="auto"/>
            </w:tcBorders>
          </w:tcPr>
          <w:p w:rsidR="00F4583B" w:rsidRDefault="008E3836">
            <w:pPr>
              <w:pStyle w:val="a9"/>
              <w:widowControl w:val="0"/>
              <w:ind w:firstLine="567"/>
              <w:rPr>
                <w:rFonts w:ascii="Garamond" w:hAnsi="Garamond"/>
                <w:spacing w:val="1"/>
                <w:szCs w:val="22"/>
                <w:lang w:val="ru-RU"/>
              </w:rPr>
            </w:pPr>
            <w:r>
              <w:rPr>
                <w:rFonts w:ascii="Garamond" w:hAnsi="Garamond"/>
                <w:spacing w:val="1"/>
                <w:szCs w:val="22"/>
                <w:lang w:val="ru-RU"/>
              </w:rPr>
              <w:t>Исполнение обязательств</w:t>
            </w:r>
            <w:r>
              <w:rPr>
                <w:rFonts w:ascii="Garamond" w:hAnsi="Garamond"/>
                <w:color w:val="000000"/>
                <w:spacing w:val="1"/>
                <w:szCs w:val="22"/>
                <w:lang w:val="ru-RU"/>
              </w:rPr>
              <w:t>/требований</w:t>
            </w:r>
            <w:r>
              <w:rPr>
                <w:rFonts w:ascii="Garamond" w:hAnsi="Garamond"/>
                <w:spacing w:val="1"/>
                <w:szCs w:val="22"/>
                <w:lang w:val="ru-RU"/>
              </w:rPr>
              <w:t xml:space="preserve"> по договорам, заключенным с участником-банкротом, должно быть подтверждено путем предоставления в ЦФР участником-банкротом и участниками оптового рынка, а также </w:t>
            </w:r>
            <w:r>
              <w:rPr>
                <w:rFonts w:ascii="Garamond" w:hAnsi="Garamond"/>
                <w:spacing w:val="1"/>
                <w:szCs w:val="22"/>
                <w:highlight w:val="yellow"/>
                <w:lang w:val="ru-RU"/>
              </w:rPr>
              <w:t>СР, АТС, СО</w:t>
            </w:r>
            <w:r>
              <w:rPr>
                <w:rFonts w:ascii="Garamond" w:hAnsi="Garamond"/>
                <w:spacing w:val="1"/>
                <w:szCs w:val="22"/>
                <w:lang w:val="ru-RU"/>
              </w:rPr>
              <w:t xml:space="preserve"> информации и документов, подтверждающих исполнение обязательств.</w:t>
            </w:r>
          </w:p>
          <w:p w:rsidR="00F4583B" w:rsidRDefault="008E3836">
            <w:pPr>
              <w:pStyle w:val="a9"/>
              <w:widowControl w:val="0"/>
              <w:ind w:firstLine="567"/>
              <w:rPr>
                <w:rFonts w:ascii="Garamond" w:hAnsi="Garamond"/>
                <w:color w:val="000000"/>
                <w:spacing w:val="1"/>
                <w:szCs w:val="22"/>
                <w:highlight w:val="yellow"/>
                <w:lang w:val="ru-RU"/>
              </w:rPr>
            </w:pPr>
            <w:r>
              <w:rPr>
                <w:rFonts w:ascii="Garamond" w:hAnsi="Garamond"/>
                <w:color w:val="000000"/>
                <w:spacing w:val="1"/>
                <w:szCs w:val="22"/>
                <w:highlight w:val="yellow"/>
                <w:lang w:val="ru-RU"/>
              </w:rPr>
              <w:t>В качестве подтверждения исполнения обязательств/требований принимаются надлежащим образом заверенные копии следующих документов:</w:t>
            </w:r>
          </w:p>
          <w:p w:rsidR="00F4583B" w:rsidRDefault="008E3836">
            <w:pPr>
              <w:pStyle w:val="a9"/>
              <w:widowControl w:val="0"/>
              <w:ind w:firstLine="567"/>
              <w:rPr>
                <w:rFonts w:ascii="Garamond" w:hAnsi="Garamond"/>
                <w:color w:val="000000"/>
                <w:spacing w:val="1"/>
                <w:szCs w:val="22"/>
                <w:highlight w:val="yellow"/>
                <w:lang w:val="ru-RU"/>
              </w:rPr>
            </w:pPr>
            <w:r>
              <w:rPr>
                <w:rFonts w:ascii="Garamond" w:hAnsi="Garamond"/>
                <w:color w:val="000000"/>
                <w:spacing w:val="1"/>
                <w:szCs w:val="22"/>
                <w:highlight w:val="yellow"/>
                <w:lang w:val="ru-RU"/>
              </w:rPr>
              <w:t>– платежное поручение с отметкой банка и назначением платежа во исполнение обязательств/требований по договорам, заключенным с участником-банкротом;</w:t>
            </w:r>
          </w:p>
          <w:p w:rsidR="00F4583B" w:rsidRDefault="008E3836">
            <w:pPr>
              <w:pStyle w:val="a9"/>
              <w:widowControl w:val="0"/>
              <w:ind w:firstLine="567"/>
              <w:rPr>
                <w:rFonts w:ascii="Garamond" w:hAnsi="Garamond"/>
                <w:color w:val="000000"/>
                <w:spacing w:val="1"/>
                <w:szCs w:val="22"/>
                <w:highlight w:val="yellow"/>
                <w:lang w:val="ru-RU"/>
              </w:rPr>
            </w:pPr>
            <w:r>
              <w:rPr>
                <w:rFonts w:ascii="Garamond" w:hAnsi="Garamond"/>
                <w:color w:val="000000"/>
                <w:spacing w:val="1"/>
                <w:szCs w:val="22"/>
                <w:highlight w:val="yellow"/>
                <w:lang w:val="ru-RU"/>
              </w:rPr>
              <w:t>– иные документы, подтверждающие исполнение обязательств/требований по договорам, заключенным с участником-банкротом.</w:t>
            </w:r>
          </w:p>
          <w:p w:rsidR="00F4583B" w:rsidRDefault="008E3836">
            <w:pPr>
              <w:pStyle w:val="a9"/>
              <w:widowControl w:val="0"/>
              <w:ind w:firstLine="567"/>
              <w:rPr>
                <w:rFonts w:ascii="Garamond" w:hAnsi="Garamond"/>
                <w:spacing w:val="1"/>
                <w:szCs w:val="22"/>
                <w:lang w:val="ru-RU"/>
              </w:rPr>
            </w:pPr>
            <w:r>
              <w:rPr>
                <w:rFonts w:ascii="Garamond" w:hAnsi="Garamond"/>
                <w:color w:val="000000"/>
                <w:spacing w:val="1"/>
                <w:szCs w:val="22"/>
                <w:highlight w:val="yellow"/>
                <w:lang w:val="ru-RU"/>
              </w:rPr>
              <w:t>ЦФР не позднее следующего рабочего дня после получения документов, указанных в настоящем пункте, учитывает исполнение обязательств/требований в размере и за периоды, указанные в представленных документах.</w:t>
            </w:r>
          </w:p>
        </w:tc>
        <w:tc>
          <w:tcPr>
            <w:tcW w:w="2460" w:type="pct"/>
            <w:tcBorders>
              <w:top w:val="single" w:sz="4" w:space="0" w:color="auto"/>
              <w:left w:val="single" w:sz="4" w:space="0" w:color="auto"/>
              <w:bottom w:val="single" w:sz="4" w:space="0" w:color="auto"/>
              <w:right w:val="single" w:sz="4" w:space="0" w:color="auto"/>
            </w:tcBorders>
          </w:tcPr>
          <w:p w:rsidR="00F4583B" w:rsidRDefault="008E3836">
            <w:pPr>
              <w:pStyle w:val="a9"/>
              <w:widowControl w:val="0"/>
              <w:ind w:firstLine="567"/>
              <w:rPr>
                <w:rFonts w:ascii="Garamond" w:hAnsi="Garamond"/>
                <w:spacing w:val="1"/>
                <w:szCs w:val="22"/>
                <w:lang w:val="ru-RU"/>
              </w:rPr>
            </w:pPr>
            <w:r>
              <w:rPr>
                <w:rFonts w:ascii="Garamond" w:hAnsi="Garamond"/>
                <w:spacing w:val="1"/>
                <w:szCs w:val="22"/>
                <w:lang w:val="ru-RU"/>
              </w:rPr>
              <w:t xml:space="preserve">Исполнение обязательств/требований по договорам, заключенным с участником-банкротом, должно быть подтверждено путем предоставления в ЦФР участником-банкротом и участниками оптового рынка, а также </w:t>
            </w:r>
            <w:r>
              <w:rPr>
                <w:rFonts w:ascii="Garamond" w:hAnsi="Garamond"/>
                <w:spacing w:val="1"/>
                <w:szCs w:val="22"/>
                <w:highlight w:val="yellow"/>
                <w:lang w:val="ru-RU"/>
              </w:rPr>
              <w:t>ФСК, КО, СО и СР</w:t>
            </w:r>
            <w:r>
              <w:rPr>
                <w:rFonts w:ascii="Garamond" w:hAnsi="Garamond"/>
                <w:spacing w:val="1"/>
                <w:szCs w:val="22"/>
                <w:lang w:val="ru-RU"/>
              </w:rPr>
              <w:t xml:space="preserve"> информации и документов, подтверждающих исполнение обязательств, </w:t>
            </w:r>
            <w:r>
              <w:rPr>
                <w:rFonts w:ascii="Garamond" w:hAnsi="Garamond"/>
                <w:color w:val="000000"/>
                <w:szCs w:val="22"/>
                <w:highlight w:val="yellow"/>
                <w:lang w:val="ru-RU"/>
              </w:rPr>
              <w:t xml:space="preserve">в порядке и сроки, указанные в </w:t>
            </w:r>
            <w:proofErr w:type="spellStart"/>
            <w:r>
              <w:rPr>
                <w:rFonts w:ascii="Garamond" w:hAnsi="Garamond"/>
                <w:color w:val="000000"/>
                <w:szCs w:val="22"/>
                <w:highlight w:val="yellow"/>
                <w:lang w:val="ru-RU"/>
              </w:rPr>
              <w:t>пп</w:t>
            </w:r>
            <w:proofErr w:type="spellEnd"/>
            <w:r>
              <w:rPr>
                <w:rFonts w:ascii="Garamond" w:hAnsi="Garamond"/>
                <w:color w:val="000000"/>
                <w:szCs w:val="22"/>
                <w:highlight w:val="yellow"/>
                <w:lang w:val="ru-RU"/>
              </w:rPr>
              <w:t>. 19.2, 19.3 настоящего Регламента</w:t>
            </w:r>
            <w:r>
              <w:rPr>
                <w:rFonts w:ascii="Garamond" w:hAnsi="Garamond"/>
                <w:spacing w:val="1"/>
                <w:szCs w:val="22"/>
                <w:highlight w:val="yellow"/>
                <w:lang w:val="ru-RU"/>
              </w:rPr>
              <w:t>.</w:t>
            </w:r>
          </w:p>
          <w:p w:rsidR="00F4583B" w:rsidRDefault="00F4583B">
            <w:pPr>
              <w:spacing w:before="120" w:after="120" w:line="240" w:lineRule="auto"/>
              <w:ind w:firstLine="567"/>
              <w:jc w:val="both"/>
              <w:rPr>
                <w:rFonts w:ascii="Garamond" w:hAnsi="Garamond"/>
              </w:rPr>
            </w:pPr>
          </w:p>
        </w:tc>
      </w:tr>
      <w:tr w:rsidR="00F4583B">
        <w:trPr>
          <w:trHeight w:val="435"/>
        </w:trPr>
        <w:tc>
          <w:tcPr>
            <w:tcW w:w="2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4583B" w:rsidRDefault="008E3836">
            <w:pPr>
              <w:spacing w:before="120" w:after="120" w:line="240" w:lineRule="auto"/>
              <w:jc w:val="center"/>
              <w:rPr>
                <w:rFonts w:ascii="Garamond" w:hAnsi="Garamond" w:cs="Garamond"/>
                <w:b/>
                <w:bCs/>
              </w:rPr>
            </w:pPr>
            <w:r>
              <w:rPr>
                <w:rFonts w:ascii="Garamond" w:hAnsi="Garamond" w:cs="Garamond"/>
                <w:b/>
                <w:bCs/>
              </w:rPr>
              <w:t>12.5</w:t>
            </w:r>
          </w:p>
        </w:tc>
        <w:tc>
          <w:tcPr>
            <w:tcW w:w="2254" w:type="pct"/>
            <w:tcBorders>
              <w:top w:val="single" w:sz="4" w:space="0" w:color="auto"/>
              <w:left w:val="single" w:sz="4" w:space="0" w:color="auto"/>
              <w:bottom w:val="single" w:sz="4" w:space="0" w:color="auto"/>
              <w:right w:val="single" w:sz="4" w:space="0" w:color="auto"/>
            </w:tcBorders>
          </w:tcPr>
          <w:p w:rsidR="00F4583B" w:rsidRDefault="008E3836">
            <w:pPr>
              <w:pStyle w:val="3"/>
              <w:spacing w:after="120"/>
              <w:rPr>
                <w:sz w:val="22"/>
              </w:rPr>
            </w:pPr>
            <w:r>
              <w:rPr>
                <w:sz w:val="22"/>
              </w:rPr>
              <w:t>…</w:t>
            </w:r>
          </w:p>
          <w:p w:rsidR="00F4583B" w:rsidRDefault="008E3836">
            <w:pPr>
              <w:pStyle w:val="a9"/>
              <w:ind w:firstLine="540"/>
              <w:rPr>
                <w:rFonts w:ascii="Garamond" w:eastAsia="Calibri" w:hAnsi="Garamond"/>
                <w:szCs w:val="22"/>
                <w:lang w:val="ru-RU"/>
              </w:rPr>
            </w:pPr>
            <w:r>
              <w:rPr>
                <w:rFonts w:ascii="Garamond" w:eastAsia="Calibri" w:hAnsi="Garamond"/>
                <w:szCs w:val="22"/>
                <w:lang w:val="ru-RU"/>
              </w:rPr>
              <w:t xml:space="preserve">7) </w:t>
            </w:r>
            <w:r>
              <w:rPr>
                <w:rFonts w:ascii="Garamond" w:hAnsi="Garamond"/>
                <w:szCs w:val="22"/>
                <w:lang w:val="ru-RU"/>
              </w:rPr>
              <w:t xml:space="preserve">ЦФР прекращает расчет неустойки (пени) за нарушение сроков исполнения обязательств по оплате, </w:t>
            </w:r>
            <w:r>
              <w:rPr>
                <w:rFonts w:ascii="Garamond" w:hAnsi="Garamond"/>
                <w:szCs w:val="22"/>
                <w:highlight w:val="yellow"/>
                <w:lang w:val="ru-RU"/>
              </w:rPr>
              <w:t xml:space="preserve">подтвержденных судебным </w:t>
            </w:r>
            <w:r>
              <w:rPr>
                <w:rFonts w:ascii="Garamond" w:hAnsi="Garamond"/>
                <w:szCs w:val="22"/>
                <w:highlight w:val="yellow"/>
                <w:lang w:val="ru-RU"/>
              </w:rPr>
              <w:lastRenderedPageBreak/>
              <w:t>актом,</w:t>
            </w:r>
            <w:r>
              <w:rPr>
                <w:rFonts w:ascii="Garamond" w:hAnsi="Garamond"/>
                <w:szCs w:val="22"/>
                <w:lang w:val="ru-RU"/>
              </w:rPr>
              <w:t xml:space="preserve"> в соответствии с предоставленными в ЦФР участником оптового рынка документами,</w:t>
            </w:r>
            <w:r>
              <w:rPr>
                <w:rFonts w:ascii="Garamond" w:eastAsia="Calibri" w:hAnsi="Garamond"/>
                <w:szCs w:val="22"/>
                <w:lang w:val="ru-RU"/>
              </w:rPr>
              <w:t xml:space="preserve"> указанными в </w:t>
            </w:r>
            <w:proofErr w:type="spellStart"/>
            <w:r>
              <w:rPr>
                <w:rFonts w:ascii="Garamond" w:eastAsia="Calibri" w:hAnsi="Garamond"/>
                <w:szCs w:val="22"/>
                <w:lang w:val="ru-RU"/>
              </w:rPr>
              <w:t>пп</w:t>
            </w:r>
            <w:proofErr w:type="spellEnd"/>
            <w:r>
              <w:rPr>
                <w:rFonts w:ascii="Garamond" w:eastAsia="Calibri" w:hAnsi="Garamond"/>
                <w:szCs w:val="22"/>
                <w:lang w:val="ru-RU"/>
              </w:rPr>
              <w:t xml:space="preserve">. </w:t>
            </w:r>
            <w:r>
              <w:rPr>
                <w:rFonts w:ascii="Garamond" w:eastAsia="Calibri" w:hAnsi="Garamond"/>
                <w:szCs w:val="22"/>
                <w:highlight w:val="yellow"/>
                <w:lang w:val="ru-RU"/>
              </w:rPr>
              <w:t>19.1,</w:t>
            </w:r>
            <w:r>
              <w:rPr>
                <w:rFonts w:ascii="Garamond" w:eastAsia="Calibri" w:hAnsi="Garamond"/>
                <w:szCs w:val="22"/>
                <w:lang w:val="ru-RU"/>
              </w:rPr>
              <w:t xml:space="preserve"> 19.2, </w:t>
            </w:r>
            <w:r>
              <w:rPr>
                <w:rFonts w:ascii="Garamond" w:eastAsia="Calibri" w:hAnsi="Garamond"/>
                <w:szCs w:val="22"/>
                <w:highlight w:val="yellow"/>
                <w:lang w:val="ru-RU"/>
              </w:rPr>
              <w:t>19.7</w:t>
            </w:r>
            <w:r>
              <w:rPr>
                <w:rFonts w:ascii="Garamond" w:eastAsia="Calibri" w:hAnsi="Garamond"/>
                <w:szCs w:val="22"/>
                <w:lang w:val="ru-RU"/>
              </w:rPr>
              <w:t xml:space="preserve"> настоящего Регламента.</w:t>
            </w:r>
          </w:p>
          <w:p w:rsidR="00F4583B" w:rsidRDefault="008E3836">
            <w:pPr>
              <w:pStyle w:val="a9"/>
              <w:ind w:firstLine="540"/>
              <w:rPr>
                <w:rFonts w:ascii="Garamond" w:hAnsi="Garamond"/>
                <w:szCs w:val="22"/>
                <w:lang w:val="ru-RU"/>
              </w:rPr>
            </w:pPr>
            <w:r>
              <w:rPr>
                <w:rFonts w:ascii="Garamond" w:eastAsia="Calibri" w:hAnsi="Garamond"/>
                <w:szCs w:val="22"/>
                <w:lang w:val="ru-RU"/>
              </w:rPr>
              <w:t>В случае подтверждения</w:t>
            </w:r>
            <w:r>
              <w:rPr>
                <w:rFonts w:ascii="Garamond" w:hAnsi="Garamond"/>
                <w:szCs w:val="22"/>
                <w:lang w:val="ru-RU"/>
              </w:rPr>
              <w:t xml:space="preserve"> факта недостоверности предоставленных должником документов и (или) информации в соответствии с п. 19.3 </w:t>
            </w:r>
            <w:r>
              <w:rPr>
                <w:rFonts w:ascii="Garamond" w:eastAsia="Calibri" w:hAnsi="Garamond"/>
                <w:szCs w:val="22"/>
                <w:lang w:val="ru-RU"/>
              </w:rPr>
              <w:t>настоящего Регламента</w:t>
            </w:r>
            <w:r>
              <w:rPr>
                <w:rFonts w:ascii="Garamond" w:hAnsi="Garamond"/>
                <w:szCs w:val="22"/>
                <w:lang w:val="ru-RU"/>
              </w:rPr>
              <w:t>, ЦФР не осуществляет расчет неустойки за нарушение сроков исполнения обязательств по оплате, подтвержденных судебным актом, с даты прекращения расчета неустойки (пени) в соответствии с настоящим пунктом до даты восстановления соответствующих обязательств по оплате.</w:t>
            </w:r>
          </w:p>
        </w:tc>
        <w:tc>
          <w:tcPr>
            <w:tcW w:w="2460" w:type="pct"/>
            <w:tcBorders>
              <w:top w:val="single" w:sz="4" w:space="0" w:color="auto"/>
              <w:left w:val="single" w:sz="4" w:space="0" w:color="auto"/>
              <w:bottom w:val="single" w:sz="4" w:space="0" w:color="auto"/>
              <w:right w:val="single" w:sz="4" w:space="0" w:color="auto"/>
            </w:tcBorders>
          </w:tcPr>
          <w:p w:rsidR="00F4583B" w:rsidRDefault="008E3836">
            <w:pPr>
              <w:pStyle w:val="3"/>
              <w:spacing w:after="120"/>
              <w:rPr>
                <w:sz w:val="22"/>
              </w:rPr>
            </w:pPr>
            <w:r>
              <w:rPr>
                <w:sz w:val="22"/>
              </w:rPr>
              <w:lastRenderedPageBreak/>
              <w:t>…</w:t>
            </w:r>
          </w:p>
          <w:p w:rsidR="00F4583B" w:rsidRDefault="008E3836">
            <w:pPr>
              <w:pStyle w:val="a9"/>
              <w:ind w:firstLine="540"/>
              <w:rPr>
                <w:rFonts w:ascii="Garamond" w:eastAsia="Calibri" w:hAnsi="Garamond"/>
                <w:szCs w:val="22"/>
                <w:lang w:val="ru-RU"/>
              </w:rPr>
            </w:pPr>
            <w:r>
              <w:rPr>
                <w:rFonts w:ascii="Garamond" w:eastAsia="Calibri" w:hAnsi="Garamond"/>
                <w:szCs w:val="22"/>
                <w:lang w:val="ru-RU"/>
              </w:rPr>
              <w:lastRenderedPageBreak/>
              <w:t xml:space="preserve">7) </w:t>
            </w:r>
            <w:r>
              <w:rPr>
                <w:rFonts w:ascii="Garamond" w:hAnsi="Garamond"/>
                <w:szCs w:val="22"/>
                <w:lang w:val="ru-RU"/>
              </w:rPr>
              <w:t>ЦФР прекращает расчет неустойки (пени) за нарушение сроков исполнения обязательств по оплате, в соответствии с предоставленными в ЦФР документами,</w:t>
            </w:r>
            <w:r>
              <w:rPr>
                <w:rFonts w:ascii="Garamond" w:eastAsia="Calibri" w:hAnsi="Garamond"/>
                <w:szCs w:val="22"/>
                <w:lang w:val="ru-RU"/>
              </w:rPr>
              <w:t xml:space="preserve"> указанными в </w:t>
            </w:r>
            <w:proofErr w:type="spellStart"/>
            <w:r>
              <w:rPr>
                <w:rFonts w:ascii="Garamond" w:eastAsia="Calibri" w:hAnsi="Garamond"/>
                <w:szCs w:val="22"/>
                <w:lang w:val="ru-RU"/>
              </w:rPr>
              <w:t>пп</w:t>
            </w:r>
            <w:proofErr w:type="spellEnd"/>
            <w:r>
              <w:rPr>
                <w:rFonts w:ascii="Garamond" w:eastAsia="Calibri" w:hAnsi="Garamond"/>
                <w:szCs w:val="22"/>
                <w:lang w:val="ru-RU"/>
              </w:rPr>
              <w:t xml:space="preserve">. 19.2, </w:t>
            </w:r>
            <w:r>
              <w:rPr>
                <w:rFonts w:ascii="Garamond" w:eastAsia="Calibri" w:hAnsi="Garamond"/>
                <w:szCs w:val="22"/>
                <w:highlight w:val="yellow"/>
                <w:lang w:val="ru-RU"/>
              </w:rPr>
              <w:t>19.3</w:t>
            </w:r>
            <w:r>
              <w:rPr>
                <w:rFonts w:ascii="Garamond" w:eastAsia="Calibri" w:hAnsi="Garamond"/>
                <w:szCs w:val="22"/>
                <w:lang w:val="ru-RU"/>
              </w:rPr>
              <w:t xml:space="preserve"> настоящего Регламента.</w:t>
            </w:r>
          </w:p>
          <w:p w:rsidR="00F4583B" w:rsidRDefault="008E3836">
            <w:pPr>
              <w:pStyle w:val="a9"/>
              <w:ind w:firstLine="540"/>
              <w:rPr>
                <w:rFonts w:ascii="Garamond" w:hAnsi="Garamond"/>
                <w:szCs w:val="22"/>
                <w:lang w:val="ru-RU"/>
              </w:rPr>
            </w:pPr>
            <w:r>
              <w:rPr>
                <w:rFonts w:ascii="Garamond" w:eastAsia="Calibri" w:hAnsi="Garamond"/>
                <w:szCs w:val="22"/>
                <w:lang w:val="ru-RU"/>
              </w:rPr>
              <w:t>В случае подтверждения</w:t>
            </w:r>
            <w:r>
              <w:rPr>
                <w:rFonts w:ascii="Garamond" w:hAnsi="Garamond"/>
                <w:szCs w:val="22"/>
                <w:lang w:val="ru-RU"/>
              </w:rPr>
              <w:t xml:space="preserve"> факта недостоверности предоставленных документов и (или) информации в соответствии с п. 19.3 </w:t>
            </w:r>
            <w:r>
              <w:rPr>
                <w:rFonts w:ascii="Garamond" w:eastAsia="Calibri" w:hAnsi="Garamond"/>
                <w:szCs w:val="22"/>
                <w:lang w:val="ru-RU"/>
              </w:rPr>
              <w:t>настоящего Регламента</w:t>
            </w:r>
            <w:r>
              <w:rPr>
                <w:rFonts w:ascii="Garamond" w:hAnsi="Garamond"/>
                <w:szCs w:val="22"/>
                <w:lang w:val="ru-RU"/>
              </w:rPr>
              <w:t>, ЦФР не осуществляет расчет неустойки за нарушение сроков исполнения обязательств по оплате, с даты прекращения расчета неустойки (пени) в соответствии с настоящим пунктом до даты восстановления соответствующих обязательств по оплате.</w:t>
            </w:r>
          </w:p>
        </w:tc>
      </w:tr>
      <w:tr w:rsidR="00F4583B">
        <w:trPr>
          <w:trHeight w:val="435"/>
        </w:trPr>
        <w:tc>
          <w:tcPr>
            <w:tcW w:w="2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4583B" w:rsidRDefault="008E3836">
            <w:pPr>
              <w:spacing w:before="120" w:after="120" w:line="240" w:lineRule="auto"/>
              <w:jc w:val="center"/>
              <w:rPr>
                <w:rFonts w:ascii="Garamond" w:hAnsi="Garamond" w:cs="Garamond"/>
                <w:b/>
                <w:bCs/>
              </w:rPr>
            </w:pPr>
            <w:r>
              <w:rPr>
                <w:rFonts w:ascii="Garamond" w:hAnsi="Garamond" w:cs="Garamond"/>
                <w:b/>
                <w:bCs/>
              </w:rPr>
              <w:lastRenderedPageBreak/>
              <w:t>12.6.5</w:t>
            </w:r>
          </w:p>
        </w:tc>
        <w:tc>
          <w:tcPr>
            <w:tcW w:w="2254" w:type="pct"/>
            <w:tcBorders>
              <w:top w:val="single" w:sz="4" w:space="0" w:color="auto"/>
              <w:left w:val="single" w:sz="4" w:space="0" w:color="auto"/>
              <w:bottom w:val="single" w:sz="4" w:space="0" w:color="auto"/>
              <w:right w:val="single" w:sz="4" w:space="0" w:color="auto"/>
            </w:tcBorders>
          </w:tcPr>
          <w:p w:rsidR="00F4583B" w:rsidRDefault="008E3836">
            <w:pPr>
              <w:pStyle w:val="a9"/>
              <w:ind w:firstLine="571"/>
              <w:rPr>
                <w:rFonts w:ascii="Garamond" w:eastAsia="Calibri" w:hAnsi="Garamond"/>
                <w:szCs w:val="22"/>
                <w:lang w:val="ru-RU"/>
              </w:rPr>
            </w:pPr>
            <w:r>
              <w:rPr>
                <w:rFonts w:ascii="Garamond" w:eastAsia="Calibri" w:hAnsi="Garamond"/>
                <w:szCs w:val="22"/>
                <w:lang w:val="ru-RU"/>
              </w:rPr>
              <w:t xml:space="preserve">Не позднее 5 (пятого) рабочего дня, следующего за днем предоставления в ЦФР участником оптового рынка, ФСК и СО документов, указанных в </w:t>
            </w:r>
            <w:proofErr w:type="spellStart"/>
            <w:r>
              <w:rPr>
                <w:rFonts w:ascii="Garamond" w:eastAsia="Calibri" w:hAnsi="Garamond"/>
                <w:szCs w:val="22"/>
                <w:lang w:val="ru-RU"/>
              </w:rPr>
              <w:t>пп</w:t>
            </w:r>
            <w:proofErr w:type="spellEnd"/>
            <w:r>
              <w:rPr>
                <w:rFonts w:ascii="Garamond" w:eastAsia="Calibri" w:hAnsi="Garamond"/>
                <w:szCs w:val="22"/>
                <w:lang w:val="ru-RU"/>
              </w:rPr>
              <w:t xml:space="preserve">. </w:t>
            </w:r>
            <w:r>
              <w:rPr>
                <w:rFonts w:ascii="Garamond" w:eastAsia="Calibri" w:hAnsi="Garamond"/>
                <w:szCs w:val="22"/>
                <w:highlight w:val="yellow"/>
                <w:lang w:val="ru-RU"/>
              </w:rPr>
              <w:t>19.1,</w:t>
            </w:r>
            <w:r>
              <w:rPr>
                <w:rFonts w:ascii="Garamond" w:eastAsia="Calibri" w:hAnsi="Garamond"/>
                <w:szCs w:val="22"/>
                <w:lang w:val="ru-RU"/>
              </w:rPr>
              <w:t xml:space="preserve"> 19.2, </w:t>
            </w:r>
            <w:r>
              <w:rPr>
                <w:rFonts w:ascii="Garamond" w:eastAsia="Calibri" w:hAnsi="Garamond"/>
                <w:szCs w:val="22"/>
                <w:highlight w:val="yellow"/>
                <w:lang w:val="ru-RU"/>
              </w:rPr>
              <w:t>19.7</w:t>
            </w:r>
            <w:r>
              <w:rPr>
                <w:rFonts w:ascii="Garamond" w:eastAsia="Calibri" w:hAnsi="Garamond"/>
                <w:szCs w:val="22"/>
                <w:lang w:val="ru-RU"/>
              </w:rPr>
              <w:t xml:space="preserve"> настоящего Регламента, ЦФР исключает из отчетов, предусмотренных разделом 9 настоящего Регламента, а также из иных документов, содержащих информацию о сумме задолженности по оплате неустойки (пени), рассчитанной за нарушение сроков исполнения обязательств по оплате электрической энергии и мощности, оплате услуг, сведения о неисполненных обязательствах по оплате неустойки (пени), рассчитанной за нарушение сроков исполнения обязательств по оплате, подтвержденных судебным актом.</w:t>
            </w:r>
          </w:p>
          <w:p w:rsidR="00F4583B" w:rsidRDefault="008E3836">
            <w:pPr>
              <w:pStyle w:val="a9"/>
              <w:ind w:firstLine="571"/>
              <w:rPr>
                <w:rFonts w:ascii="Garamond" w:hAnsi="Garamond"/>
                <w:spacing w:val="1"/>
                <w:szCs w:val="22"/>
                <w:lang w:val="ru-RU"/>
              </w:rPr>
            </w:pPr>
            <w:r>
              <w:rPr>
                <w:rFonts w:ascii="Garamond" w:eastAsia="Calibri" w:hAnsi="Garamond"/>
                <w:szCs w:val="22"/>
                <w:lang w:val="ru-RU"/>
              </w:rPr>
              <w:t>В случае подтверждения</w:t>
            </w:r>
            <w:r>
              <w:rPr>
                <w:rFonts w:ascii="Garamond" w:hAnsi="Garamond"/>
                <w:szCs w:val="22"/>
                <w:lang w:val="ru-RU"/>
              </w:rPr>
              <w:t xml:space="preserve"> факта недостоверности предоставленных должником документов и (или) информации в соответствии с п. </w:t>
            </w:r>
            <w:r>
              <w:rPr>
                <w:rFonts w:ascii="Garamond" w:hAnsi="Garamond"/>
                <w:szCs w:val="22"/>
                <w:highlight w:val="yellow"/>
                <w:lang w:val="ru-RU"/>
              </w:rPr>
              <w:t>19.3</w:t>
            </w:r>
            <w:r>
              <w:rPr>
                <w:rFonts w:ascii="Garamond" w:hAnsi="Garamond"/>
                <w:szCs w:val="22"/>
                <w:lang w:val="ru-RU"/>
              </w:rPr>
              <w:t xml:space="preserve"> </w:t>
            </w:r>
            <w:r>
              <w:rPr>
                <w:rFonts w:ascii="Garamond" w:eastAsia="Calibri" w:hAnsi="Garamond"/>
                <w:szCs w:val="22"/>
                <w:lang w:val="ru-RU"/>
              </w:rPr>
              <w:t>настоящего Регламента, ЦФР включает в отчеты, предусмотренные разделом 9 настоящего Регламента, информацию, исключенную в соответствии с настоящим пунктом.</w:t>
            </w:r>
          </w:p>
        </w:tc>
        <w:tc>
          <w:tcPr>
            <w:tcW w:w="2460" w:type="pct"/>
            <w:tcBorders>
              <w:top w:val="single" w:sz="4" w:space="0" w:color="auto"/>
              <w:left w:val="single" w:sz="4" w:space="0" w:color="auto"/>
              <w:bottom w:val="single" w:sz="4" w:space="0" w:color="auto"/>
              <w:right w:val="single" w:sz="4" w:space="0" w:color="auto"/>
            </w:tcBorders>
            <w:vAlign w:val="center"/>
          </w:tcPr>
          <w:p w:rsidR="00F4583B" w:rsidRDefault="008E3836">
            <w:pPr>
              <w:pStyle w:val="a9"/>
              <w:ind w:firstLine="571"/>
              <w:rPr>
                <w:rFonts w:ascii="Garamond" w:eastAsia="Calibri" w:hAnsi="Garamond"/>
                <w:szCs w:val="22"/>
                <w:lang w:val="ru-RU"/>
              </w:rPr>
            </w:pPr>
            <w:r>
              <w:rPr>
                <w:rFonts w:ascii="Garamond" w:eastAsia="Calibri" w:hAnsi="Garamond"/>
                <w:szCs w:val="22"/>
                <w:lang w:val="ru-RU"/>
              </w:rPr>
              <w:t xml:space="preserve">Не позднее 5 (пятого) рабочего дня, следующего за днем предоставления в ЦФР участником оптового рынка, ФСК, КО, СО и СР документов, указанных в </w:t>
            </w:r>
            <w:proofErr w:type="spellStart"/>
            <w:r>
              <w:rPr>
                <w:rFonts w:ascii="Garamond" w:eastAsia="Calibri" w:hAnsi="Garamond"/>
                <w:szCs w:val="22"/>
                <w:lang w:val="ru-RU"/>
              </w:rPr>
              <w:t>пп</w:t>
            </w:r>
            <w:proofErr w:type="spellEnd"/>
            <w:r>
              <w:rPr>
                <w:rFonts w:ascii="Garamond" w:eastAsia="Calibri" w:hAnsi="Garamond"/>
                <w:szCs w:val="22"/>
                <w:lang w:val="ru-RU"/>
              </w:rPr>
              <w:t xml:space="preserve">. 19.2, </w:t>
            </w:r>
            <w:r>
              <w:rPr>
                <w:rFonts w:ascii="Garamond" w:eastAsia="Calibri" w:hAnsi="Garamond"/>
                <w:szCs w:val="22"/>
                <w:highlight w:val="yellow"/>
                <w:lang w:val="ru-RU"/>
              </w:rPr>
              <w:t>19.3</w:t>
            </w:r>
            <w:r>
              <w:rPr>
                <w:rFonts w:ascii="Garamond" w:eastAsia="Calibri" w:hAnsi="Garamond"/>
                <w:szCs w:val="22"/>
                <w:lang w:val="ru-RU"/>
              </w:rPr>
              <w:t xml:space="preserve"> настоящего Регламента, ЦФР исключает из отчетов, предусмотренных разделом 9 настоящего Регламента, а также из иных документов, содержащих информацию о сумме задолженности по оплате неустойки (пени), рассчитанной за нарушение сроков исполнения обязательств по оплате электрической энергии и мощности, оплате услуг, сведения о неисполненных обязательствах по оплате неустойки (пени), рассчитанной за нарушение сроков исполнения обязательств по оплате, подтвержденных судебным актом.</w:t>
            </w:r>
          </w:p>
          <w:p w:rsidR="00F4583B" w:rsidRDefault="008E3836">
            <w:pPr>
              <w:pStyle w:val="a9"/>
              <w:ind w:firstLine="571"/>
              <w:rPr>
                <w:rFonts w:ascii="Garamond" w:hAnsi="Garamond"/>
                <w:szCs w:val="22"/>
                <w:lang w:val="ru-RU"/>
              </w:rPr>
            </w:pPr>
            <w:r>
              <w:rPr>
                <w:rFonts w:ascii="Garamond" w:eastAsia="Calibri" w:hAnsi="Garamond"/>
                <w:szCs w:val="22"/>
                <w:lang w:val="ru-RU"/>
              </w:rPr>
              <w:t>В случае подтверждения</w:t>
            </w:r>
            <w:r>
              <w:rPr>
                <w:rFonts w:ascii="Garamond" w:hAnsi="Garamond"/>
                <w:szCs w:val="22"/>
                <w:lang w:val="ru-RU"/>
              </w:rPr>
              <w:t xml:space="preserve"> факта недостоверности предоставленных документов и (или) информации в соответствии с п. </w:t>
            </w:r>
            <w:r>
              <w:rPr>
                <w:rFonts w:ascii="Garamond" w:hAnsi="Garamond"/>
                <w:szCs w:val="22"/>
                <w:highlight w:val="yellow"/>
                <w:lang w:val="ru-RU"/>
              </w:rPr>
              <w:t>19.3.2.3</w:t>
            </w:r>
            <w:r>
              <w:rPr>
                <w:rFonts w:ascii="Garamond" w:hAnsi="Garamond"/>
                <w:szCs w:val="22"/>
                <w:lang w:val="ru-RU"/>
              </w:rPr>
              <w:t xml:space="preserve"> </w:t>
            </w:r>
            <w:r>
              <w:rPr>
                <w:rFonts w:ascii="Garamond" w:eastAsia="Calibri" w:hAnsi="Garamond"/>
                <w:szCs w:val="22"/>
                <w:lang w:val="ru-RU"/>
              </w:rPr>
              <w:t>настоящего Регламента, ЦФР включает в отчеты, предусмотренные разделом 9 настоящего Регламента, информацию, исключенную в соответствии с настоящим пунктом.</w:t>
            </w:r>
          </w:p>
        </w:tc>
      </w:tr>
    </w:tbl>
    <w:p w:rsidR="00F4583B" w:rsidRDefault="00F4583B">
      <w:pPr>
        <w:widowControl w:val="0"/>
        <w:rPr>
          <w:rFonts w:ascii="Garamond" w:hAnsi="Garamond"/>
          <w:b/>
          <w:sz w:val="24"/>
        </w:rPr>
      </w:pPr>
    </w:p>
    <w:p w:rsidR="00F4583B" w:rsidRDefault="00F4583B">
      <w:pPr>
        <w:widowControl w:val="0"/>
        <w:rPr>
          <w:rFonts w:ascii="Garamond" w:hAnsi="Garamond"/>
          <w:b/>
          <w:sz w:val="24"/>
        </w:rPr>
      </w:pPr>
    </w:p>
    <w:p w:rsidR="00F4583B" w:rsidRDefault="00F4583B">
      <w:pPr>
        <w:widowControl w:val="0"/>
        <w:rPr>
          <w:rFonts w:ascii="Garamond" w:hAnsi="Garamond"/>
          <w:b/>
          <w:sz w:val="24"/>
        </w:rPr>
      </w:pPr>
    </w:p>
    <w:p w:rsidR="008E3836" w:rsidRDefault="008E3836">
      <w:pPr>
        <w:widowControl w:val="0"/>
        <w:rPr>
          <w:rFonts w:ascii="Garamond" w:hAnsi="Garamond"/>
          <w:b/>
          <w:sz w:val="24"/>
        </w:rPr>
      </w:pPr>
    </w:p>
    <w:p w:rsidR="00AF39CA" w:rsidRDefault="00AF39CA">
      <w:pPr>
        <w:spacing w:after="0" w:line="240" w:lineRule="auto"/>
        <w:rPr>
          <w:rFonts w:ascii="Garamond" w:hAnsi="Garamond"/>
          <w:b/>
          <w:sz w:val="24"/>
        </w:rPr>
      </w:pPr>
      <w:r>
        <w:rPr>
          <w:rFonts w:ascii="Garamond" w:hAnsi="Garamond"/>
          <w:b/>
          <w:sz w:val="24"/>
        </w:rPr>
        <w:br w:type="page"/>
      </w:r>
    </w:p>
    <w:p w:rsidR="00F4583B" w:rsidRDefault="008E3836">
      <w:pPr>
        <w:widowControl w:val="0"/>
        <w:rPr>
          <w:rFonts w:ascii="Garamond" w:hAnsi="Garamond"/>
          <w:b/>
          <w:sz w:val="24"/>
        </w:rPr>
      </w:pPr>
      <w:r>
        <w:rPr>
          <w:rFonts w:ascii="Garamond" w:hAnsi="Garamond"/>
          <w:b/>
          <w:sz w:val="24"/>
        </w:rPr>
        <w:lastRenderedPageBreak/>
        <w:t>Добавить приложения</w:t>
      </w:r>
    </w:p>
    <w:p w:rsidR="00F4583B" w:rsidRDefault="008E3836">
      <w:pPr>
        <w:widowControl w:val="0"/>
        <w:jc w:val="right"/>
        <w:rPr>
          <w:rFonts w:ascii="Garamond" w:hAnsi="Garamond"/>
          <w:b/>
        </w:rPr>
      </w:pPr>
      <w:r>
        <w:rPr>
          <w:rFonts w:ascii="Garamond" w:hAnsi="Garamond"/>
          <w:b/>
        </w:rPr>
        <w:t>Приложение 19.1</w:t>
      </w:r>
    </w:p>
    <w:p w:rsidR="00F4583B" w:rsidRDefault="00F4583B">
      <w:pPr>
        <w:widowControl w:val="0"/>
        <w:jc w:val="center"/>
        <w:rPr>
          <w:rFonts w:ascii="Garamond" w:hAnsi="Garamond"/>
          <w:b/>
        </w:rPr>
      </w:pPr>
    </w:p>
    <w:p w:rsidR="00F4583B" w:rsidRDefault="008E3836">
      <w:pPr>
        <w:widowControl w:val="0"/>
        <w:jc w:val="center"/>
        <w:rPr>
          <w:rFonts w:ascii="Garamond" w:hAnsi="Garamond"/>
          <w:b/>
        </w:rPr>
      </w:pPr>
      <w:r>
        <w:rPr>
          <w:rFonts w:ascii="Garamond" w:hAnsi="Garamond"/>
          <w:b/>
        </w:rPr>
        <w:t>Отчет об исполнении обязательств по оплате в соответствии с разделом 19 Регламента финансовых расчетов на оптовом рынке электроэнергии</w:t>
      </w:r>
    </w:p>
    <w:p w:rsidR="00F4583B" w:rsidRDefault="008E3836">
      <w:pPr>
        <w:widowControl w:val="0"/>
        <w:ind w:firstLine="1134"/>
        <w:jc w:val="both"/>
        <w:rPr>
          <w:rFonts w:ascii="Garamond" w:hAnsi="Garamond"/>
        </w:rPr>
      </w:pPr>
      <w:r>
        <w:rPr>
          <w:rFonts w:ascii="Garamond" w:hAnsi="Garamond"/>
          <w:b/>
        </w:rPr>
        <w:t>Наименование участника</w:t>
      </w:r>
      <w:r>
        <w:rPr>
          <w:rFonts w:ascii="Garamond" w:hAnsi="Garamond"/>
        </w:rPr>
        <w:t>: _________________________</w:t>
      </w:r>
    </w:p>
    <w:p w:rsidR="00F4583B" w:rsidRDefault="008E3836">
      <w:pPr>
        <w:widowControl w:val="0"/>
        <w:ind w:firstLine="1134"/>
        <w:jc w:val="both"/>
        <w:rPr>
          <w:rFonts w:ascii="Garamond" w:hAnsi="Garamond"/>
          <w:b/>
          <w:u w:val="single"/>
        </w:rPr>
      </w:pPr>
      <w:r>
        <w:rPr>
          <w:rFonts w:ascii="Garamond" w:hAnsi="Garamond"/>
          <w:b/>
        </w:rPr>
        <w:t xml:space="preserve">Отчетный </w:t>
      </w:r>
      <w:proofErr w:type="gramStart"/>
      <w:r>
        <w:rPr>
          <w:rFonts w:ascii="Garamond" w:hAnsi="Garamond"/>
          <w:b/>
        </w:rPr>
        <w:t>период </w:t>
      </w:r>
      <w:r>
        <w:rPr>
          <w:rStyle w:val="af2"/>
          <w:rFonts w:ascii="Garamond" w:hAnsi="Garamond"/>
          <w:b/>
        </w:rPr>
        <w:footnoteReference w:id="1"/>
      </w:r>
      <w:r>
        <w:rPr>
          <w:rFonts w:ascii="Garamond" w:hAnsi="Garamond"/>
          <w:b/>
        </w:rPr>
        <w:t>:</w:t>
      </w:r>
      <w:proofErr w:type="gramEnd"/>
      <w:r>
        <w:rPr>
          <w:rFonts w:ascii="Garamond" w:hAnsi="Garamond"/>
          <w:b/>
        </w:rPr>
        <w:t xml:space="preserve"> </w:t>
      </w:r>
      <w:r>
        <w:rPr>
          <w:rFonts w:ascii="Garamond" w:hAnsi="Garamond"/>
          <w:b/>
          <w:u w:val="single"/>
        </w:rPr>
        <w:t>с  ДД.ММ.ГГ. по  ДД.ММ.ГГ.</w:t>
      </w:r>
    </w:p>
    <w:p w:rsidR="00F4583B" w:rsidRDefault="00F4583B">
      <w:pPr>
        <w:widowControl w:val="0"/>
        <w:ind w:firstLine="1134"/>
        <w:jc w:val="both"/>
        <w:rPr>
          <w:rFonts w:ascii="Garamond" w:hAnsi="Garamond"/>
          <w:b/>
        </w:rPr>
      </w:pPr>
    </w:p>
    <w:tbl>
      <w:tblPr>
        <w:tblpPr w:leftFromText="180" w:rightFromText="180" w:vertAnchor="text" w:tblpXSpec="center" w:tblpY="1"/>
        <w:tblOverlap w:val="never"/>
        <w:tblW w:w="12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74"/>
        <w:gridCol w:w="1142"/>
        <w:gridCol w:w="1268"/>
        <w:gridCol w:w="1475"/>
        <w:gridCol w:w="1535"/>
        <w:gridCol w:w="1613"/>
        <w:gridCol w:w="1380"/>
        <w:gridCol w:w="1368"/>
      </w:tblGrid>
      <w:tr w:rsidR="00F4583B">
        <w:trPr>
          <w:trHeight w:val="1374"/>
        </w:trPr>
        <w:tc>
          <w:tcPr>
            <w:tcW w:w="1271" w:type="dxa"/>
            <w:vAlign w:val="center"/>
          </w:tcPr>
          <w:p w:rsidR="00F4583B" w:rsidRDefault="008E3836">
            <w:pPr>
              <w:jc w:val="center"/>
              <w:rPr>
                <w:rFonts w:ascii="Garamond" w:hAnsi="Garamond" w:cs="Arial"/>
                <w:sz w:val="20"/>
                <w:szCs w:val="20"/>
              </w:rPr>
            </w:pPr>
            <w:r>
              <w:rPr>
                <w:rFonts w:ascii="Garamond" w:hAnsi="Garamond" w:cs="Arial"/>
                <w:sz w:val="20"/>
                <w:szCs w:val="20"/>
              </w:rPr>
              <w:t>Номер п/п</w:t>
            </w:r>
          </w:p>
        </w:tc>
        <w:tc>
          <w:tcPr>
            <w:tcW w:w="1574" w:type="dxa"/>
            <w:shd w:val="clear" w:color="auto" w:fill="auto"/>
            <w:vAlign w:val="center"/>
            <w:hideMark/>
          </w:tcPr>
          <w:p w:rsidR="00F4583B" w:rsidRPr="00AF39CA" w:rsidRDefault="00F4583B">
            <w:pPr>
              <w:spacing w:after="0"/>
              <w:jc w:val="center"/>
              <w:rPr>
                <w:rFonts w:ascii="Garamond" w:hAnsi="Garamond" w:cs="Arial"/>
                <w:sz w:val="20"/>
                <w:szCs w:val="20"/>
              </w:rPr>
            </w:pPr>
          </w:p>
          <w:p w:rsidR="00F4583B" w:rsidRPr="00AF39CA" w:rsidRDefault="00F4583B">
            <w:pPr>
              <w:spacing w:after="0"/>
              <w:jc w:val="center"/>
              <w:rPr>
                <w:rFonts w:ascii="Garamond" w:hAnsi="Garamond" w:cs="Arial"/>
                <w:sz w:val="20"/>
                <w:szCs w:val="20"/>
              </w:rPr>
            </w:pPr>
          </w:p>
          <w:p w:rsidR="00F4583B" w:rsidRPr="00AF39CA" w:rsidRDefault="008E3836">
            <w:pPr>
              <w:spacing w:after="0"/>
              <w:jc w:val="center"/>
              <w:rPr>
                <w:rFonts w:ascii="Garamond" w:hAnsi="Garamond" w:cs="Arial"/>
                <w:sz w:val="20"/>
                <w:szCs w:val="20"/>
              </w:rPr>
            </w:pPr>
            <w:r w:rsidRPr="00AF39CA">
              <w:rPr>
                <w:rFonts w:ascii="Garamond" w:hAnsi="Garamond" w:cs="Arial"/>
                <w:sz w:val="20"/>
                <w:szCs w:val="20"/>
              </w:rPr>
              <w:t>Наименование</w:t>
            </w:r>
          </w:p>
          <w:p w:rsidR="00F4583B" w:rsidRPr="00AF39CA" w:rsidRDefault="008E3836">
            <w:pPr>
              <w:jc w:val="center"/>
              <w:rPr>
                <w:rFonts w:ascii="Garamond" w:hAnsi="Garamond" w:cs="Arial"/>
                <w:sz w:val="20"/>
                <w:szCs w:val="20"/>
              </w:rPr>
            </w:pPr>
            <w:r w:rsidRPr="00AF39CA">
              <w:rPr>
                <w:rFonts w:ascii="Garamond" w:hAnsi="Garamond" w:cs="Arial"/>
                <w:sz w:val="20"/>
                <w:szCs w:val="20"/>
              </w:rPr>
              <w:t xml:space="preserve">участника </w:t>
            </w:r>
          </w:p>
          <w:p w:rsidR="00F4583B" w:rsidRPr="00AF39CA" w:rsidRDefault="00F4583B">
            <w:pPr>
              <w:jc w:val="center"/>
              <w:rPr>
                <w:rFonts w:ascii="Garamond" w:hAnsi="Garamond" w:cs="Arial"/>
                <w:sz w:val="20"/>
                <w:szCs w:val="20"/>
              </w:rPr>
            </w:pPr>
          </w:p>
        </w:tc>
        <w:tc>
          <w:tcPr>
            <w:tcW w:w="1142" w:type="dxa"/>
            <w:shd w:val="clear" w:color="auto" w:fill="auto"/>
            <w:vAlign w:val="center"/>
          </w:tcPr>
          <w:p w:rsidR="00F4583B" w:rsidRPr="00AF39CA" w:rsidRDefault="008E3836">
            <w:pPr>
              <w:jc w:val="center"/>
              <w:rPr>
                <w:rFonts w:ascii="Garamond" w:hAnsi="Garamond" w:cs="Arial"/>
                <w:sz w:val="20"/>
                <w:szCs w:val="20"/>
              </w:rPr>
            </w:pPr>
            <w:r w:rsidRPr="00AF39CA">
              <w:rPr>
                <w:rFonts w:ascii="Garamond" w:hAnsi="Garamond" w:cs="Arial"/>
                <w:sz w:val="20"/>
                <w:szCs w:val="20"/>
              </w:rPr>
              <w:t>Код участника</w:t>
            </w:r>
          </w:p>
        </w:tc>
        <w:tc>
          <w:tcPr>
            <w:tcW w:w="1268" w:type="dxa"/>
            <w:shd w:val="clear" w:color="auto" w:fill="auto"/>
            <w:vAlign w:val="center"/>
            <w:hideMark/>
          </w:tcPr>
          <w:p w:rsidR="00F4583B" w:rsidRDefault="008E3836">
            <w:pPr>
              <w:jc w:val="center"/>
              <w:rPr>
                <w:rFonts w:ascii="Garamond" w:hAnsi="Garamond" w:cs="Arial"/>
                <w:sz w:val="20"/>
                <w:szCs w:val="20"/>
              </w:rPr>
            </w:pPr>
            <w:r>
              <w:rPr>
                <w:rFonts w:ascii="Garamond" w:hAnsi="Garamond" w:cs="Arial"/>
                <w:sz w:val="20"/>
                <w:szCs w:val="20"/>
              </w:rPr>
              <w:t>Номер договора</w:t>
            </w:r>
          </w:p>
        </w:tc>
        <w:tc>
          <w:tcPr>
            <w:tcW w:w="1475" w:type="dxa"/>
            <w:shd w:val="clear" w:color="auto" w:fill="auto"/>
            <w:vAlign w:val="center"/>
            <w:hideMark/>
          </w:tcPr>
          <w:p w:rsidR="00F4583B" w:rsidRDefault="008E3836">
            <w:pPr>
              <w:jc w:val="center"/>
              <w:rPr>
                <w:rFonts w:ascii="Garamond" w:hAnsi="Garamond" w:cs="Arial"/>
                <w:sz w:val="20"/>
                <w:szCs w:val="20"/>
              </w:rPr>
            </w:pPr>
            <w:r>
              <w:rPr>
                <w:rFonts w:ascii="Garamond" w:hAnsi="Garamond" w:cs="Arial"/>
                <w:sz w:val="20"/>
                <w:szCs w:val="20"/>
              </w:rPr>
              <w:t>Период обязательств</w:t>
            </w:r>
          </w:p>
        </w:tc>
        <w:tc>
          <w:tcPr>
            <w:tcW w:w="1535" w:type="dxa"/>
            <w:shd w:val="clear" w:color="auto" w:fill="auto"/>
            <w:vAlign w:val="center"/>
            <w:hideMark/>
          </w:tcPr>
          <w:p w:rsidR="00F4583B" w:rsidRDefault="008E3836">
            <w:pPr>
              <w:jc w:val="center"/>
              <w:rPr>
                <w:rFonts w:ascii="Garamond" w:hAnsi="Garamond" w:cs="Arial"/>
                <w:sz w:val="20"/>
                <w:szCs w:val="20"/>
              </w:rPr>
            </w:pPr>
            <w:r>
              <w:rPr>
                <w:rFonts w:ascii="Garamond" w:hAnsi="Garamond" w:cs="Arial"/>
                <w:sz w:val="20"/>
                <w:szCs w:val="20"/>
              </w:rPr>
              <w:t>Вид задолженности</w:t>
            </w:r>
          </w:p>
        </w:tc>
        <w:tc>
          <w:tcPr>
            <w:tcW w:w="1613" w:type="dxa"/>
            <w:shd w:val="clear" w:color="auto" w:fill="auto"/>
            <w:vAlign w:val="center"/>
            <w:hideMark/>
          </w:tcPr>
          <w:p w:rsidR="00F4583B" w:rsidRDefault="008E3836">
            <w:pPr>
              <w:jc w:val="center"/>
              <w:rPr>
                <w:rFonts w:ascii="Garamond" w:hAnsi="Garamond" w:cs="Arial"/>
                <w:sz w:val="20"/>
                <w:szCs w:val="20"/>
              </w:rPr>
            </w:pPr>
            <w:r>
              <w:rPr>
                <w:rFonts w:ascii="Garamond" w:hAnsi="Garamond" w:cs="Arial"/>
                <w:sz w:val="20"/>
                <w:szCs w:val="20"/>
              </w:rPr>
              <w:t xml:space="preserve">Задолженность до исполнения обязательств по оплате </w:t>
            </w:r>
          </w:p>
        </w:tc>
        <w:tc>
          <w:tcPr>
            <w:tcW w:w="1380" w:type="dxa"/>
            <w:shd w:val="clear" w:color="auto" w:fill="auto"/>
            <w:vAlign w:val="center"/>
            <w:hideMark/>
          </w:tcPr>
          <w:p w:rsidR="00F4583B" w:rsidRDefault="008E3836">
            <w:pPr>
              <w:jc w:val="center"/>
              <w:rPr>
                <w:rFonts w:ascii="Garamond" w:hAnsi="Garamond" w:cs="Arial"/>
                <w:sz w:val="20"/>
                <w:szCs w:val="20"/>
              </w:rPr>
            </w:pPr>
            <w:r>
              <w:rPr>
                <w:rFonts w:ascii="Garamond" w:hAnsi="Garamond" w:cs="Arial"/>
                <w:sz w:val="20"/>
                <w:szCs w:val="20"/>
              </w:rPr>
              <w:t xml:space="preserve">Сумма исполненных платежей </w:t>
            </w:r>
          </w:p>
        </w:tc>
        <w:tc>
          <w:tcPr>
            <w:tcW w:w="1368" w:type="dxa"/>
          </w:tcPr>
          <w:p w:rsidR="00F4583B" w:rsidRDefault="00F4583B">
            <w:pPr>
              <w:jc w:val="center"/>
              <w:rPr>
                <w:rFonts w:ascii="Garamond" w:hAnsi="Garamond" w:cs="Arial"/>
                <w:sz w:val="20"/>
                <w:szCs w:val="20"/>
              </w:rPr>
            </w:pPr>
          </w:p>
          <w:p w:rsidR="00F4583B" w:rsidRDefault="008E3836">
            <w:pPr>
              <w:jc w:val="center"/>
              <w:rPr>
                <w:rFonts w:ascii="Garamond" w:hAnsi="Garamond" w:cs="Arial"/>
                <w:sz w:val="20"/>
                <w:szCs w:val="20"/>
              </w:rPr>
            </w:pPr>
            <w:r>
              <w:rPr>
                <w:rFonts w:ascii="Garamond" w:hAnsi="Garamond" w:cs="Arial"/>
                <w:sz w:val="20"/>
                <w:szCs w:val="20"/>
              </w:rPr>
              <w:t>Номер судебного дела</w:t>
            </w:r>
          </w:p>
        </w:tc>
      </w:tr>
      <w:tr w:rsidR="00F4583B">
        <w:trPr>
          <w:trHeight w:val="287"/>
        </w:trPr>
        <w:tc>
          <w:tcPr>
            <w:tcW w:w="1271" w:type="dxa"/>
            <w:vAlign w:val="center"/>
          </w:tcPr>
          <w:p w:rsidR="00F4583B" w:rsidRDefault="008E3836">
            <w:pPr>
              <w:jc w:val="center"/>
              <w:rPr>
                <w:rFonts w:ascii="Garamond" w:hAnsi="Garamond" w:cs="Arial"/>
                <w:sz w:val="20"/>
                <w:szCs w:val="20"/>
              </w:rPr>
            </w:pPr>
            <w:r>
              <w:rPr>
                <w:rFonts w:ascii="Garamond" w:hAnsi="Garamond" w:cs="Arial"/>
                <w:sz w:val="20"/>
                <w:szCs w:val="20"/>
              </w:rPr>
              <w:t>1</w:t>
            </w:r>
          </w:p>
        </w:tc>
        <w:tc>
          <w:tcPr>
            <w:tcW w:w="1574" w:type="dxa"/>
            <w:shd w:val="clear" w:color="auto" w:fill="auto"/>
            <w:vAlign w:val="center"/>
            <w:hideMark/>
          </w:tcPr>
          <w:p w:rsidR="00F4583B" w:rsidRPr="00AF39CA" w:rsidRDefault="008E3836">
            <w:pPr>
              <w:jc w:val="center"/>
              <w:rPr>
                <w:rFonts w:ascii="Garamond" w:hAnsi="Garamond" w:cs="Arial"/>
                <w:sz w:val="20"/>
                <w:szCs w:val="20"/>
              </w:rPr>
            </w:pPr>
            <w:r w:rsidRPr="00AF39CA">
              <w:rPr>
                <w:rFonts w:ascii="Garamond" w:hAnsi="Garamond" w:cs="Arial"/>
                <w:sz w:val="20"/>
                <w:szCs w:val="20"/>
              </w:rPr>
              <w:t>2</w:t>
            </w:r>
          </w:p>
        </w:tc>
        <w:tc>
          <w:tcPr>
            <w:tcW w:w="1142" w:type="dxa"/>
            <w:shd w:val="clear" w:color="auto" w:fill="auto"/>
            <w:vAlign w:val="center"/>
          </w:tcPr>
          <w:p w:rsidR="00F4583B" w:rsidRPr="00AF39CA" w:rsidRDefault="008E3836">
            <w:pPr>
              <w:jc w:val="center"/>
              <w:rPr>
                <w:rFonts w:ascii="Garamond" w:hAnsi="Garamond" w:cs="Arial"/>
                <w:sz w:val="20"/>
                <w:szCs w:val="20"/>
              </w:rPr>
            </w:pPr>
            <w:r w:rsidRPr="00AF39CA">
              <w:rPr>
                <w:rFonts w:ascii="Garamond" w:hAnsi="Garamond" w:cs="Arial"/>
                <w:sz w:val="20"/>
                <w:szCs w:val="20"/>
              </w:rPr>
              <w:t>3</w:t>
            </w:r>
          </w:p>
        </w:tc>
        <w:tc>
          <w:tcPr>
            <w:tcW w:w="1268" w:type="dxa"/>
            <w:shd w:val="clear" w:color="auto" w:fill="auto"/>
            <w:vAlign w:val="center"/>
            <w:hideMark/>
          </w:tcPr>
          <w:p w:rsidR="00F4583B" w:rsidRDefault="008E3836">
            <w:pPr>
              <w:jc w:val="center"/>
              <w:rPr>
                <w:rFonts w:ascii="Garamond" w:hAnsi="Garamond" w:cs="Arial"/>
                <w:sz w:val="20"/>
                <w:szCs w:val="20"/>
              </w:rPr>
            </w:pPr>
            <w:r>
              <w:rPr>
                <w:rFonts w:ascii="Garamond" w:hAnsi="Garamond" w:cs="Arial"/>
                <w:sz w:val="20"/>
                <w:szCs w:val="20"/>
              </w:rPr>
              <w:t>4</w:t>
            </w:r>
          </w:p>
        </w:tc>
        <w:tc>
          <w:tcPr>
            <w:tcW w:w="1475" w:type="dxa"/>
            <w:shd w:val="clear" w:color="auto" w:fill="auto"/>
            <w:vAlign w:val="center"/>
            <w:hideMark/>
          </w:tcPr>
          <w:p w:rsidR="00F4583B" w:rsidRDefault="008E3836">
            <w:pPr>
              <w:jc w:val="center"/>
              <w:rPr>
                <w:rFonts w:ascii="Garamond" w:hAnsi="Garamond" w:cs="Arial"/>
                <w:sz w:val="20"/>
                <w:szCs w:val="20"/>
              </w:rPr>
            </w:pPr>
            <w:r>
              <w:rPr>
                <w:rFonts w:ascii="Garamond" w:hAnsi="Garamond" w:cs="Arial"/>
                <w:sz w:val="20"/>
                <w:szCs w:val="20"/>
              </w:rPr>
              <w:t>5</w:t>
            </w:r>
          </w:p>
        </w:tc>
        <w:tc>
          <w:tcPr>
            <w:tcW w:w="1535" w:type="dxa"/>
            <w:shd w:val="clear" w:color="auto" w:fill="auto"/>
            <w:vAlign w:val="center"/>
            <w:hideMark/>
          </w:tcPr>
          <w:p w:rsidR="00F4583B" w:rsidRDefault="008E3836">
            <w:pPr>
              <w:jc w:val="center"/>
              <w:rPr>
                <w:rFonts w:ascii="Garamond" w:hAnsi="Garamond" w:cs="Arial"/>
                <w:sz w:val="20"/>
                <w:szCs w:val="20"/>
              </w:rPr>
            </w:pPr>
            <w:r>
              <w:rPr>
                <w:rFonts w:ascii="Garamond" w:hAnsi="Garamond" w:cs="Arial"/>
                <w:sz w:val="20"/>
                <w:szCs w:val="20"/>
              </w:rPr>
              <w:t>6</w:t>
            </w:r>
          </w:p>
        </w:tc>
        <w:tc>
          <w:tcPr>
            <w:tcW w:w="1613" w:type="dxa"/>
            <w:shd w:val="clear" w:color="auto" w:fill="auto"/>
            <w:vAlign w:val="center"/>
            <w:hideMark/>
          </w:tcPr>
          <w:p w:rsidR="00F4583B" w:rsidRDefault="008E3836">
            <w:pPr>
              <w:jc w:val="center"/>
              <w:rPr>
                <w:rFonts w:ascii="Garamond" w:hAnsi="Garamond" w:cs="Arial"/>
                <w:sz w:val="20"/>
                <w:szCs w:val="20"/>
              </w:rPr>
            </w:pPr>
            <w:r>
              <w:rPr>
                <w:rFonts w:ascii="Garamond" w:hAnsi="Garamond" w:cs="Arial"/>
                <w:sz w:val="20"/>
                <w:szCs w:val="20"/>
              </w:rPr>
              <w:t>7</w:t>
            </w:r>
          </w:p>
        </w:tc>
        <w:tc>
          <w:tcPr>
            <w:tcW w:w="1380" w:type="dxa"/>
            <w:shd w:val="clear" w:color="auto" w:fill="auto"/>
            <w:vAlign w:val="center"/>
            <w:hideMark/>
          </w:tcPr>
          <w:p w:rsidR="00F4583B" w:rsidRDefault="008E3836">
            <w:pPr>
              <w:jc w:val="center"/>
              <w:rPr>
                <w:rFonts w:ascii="Garamond" w:hAnsi="Garamond" w:cs="Arial"/>
                <w:sz w:val="20"/>
                <w:szCs w:val="20"/>
              </w:rPr>
            </w:pPr>
            <w:r>
              <w:rPr>
                <w:rFonts w:ascii="Garamond" w:hAnsi="Garamond" w:cs="Arial"/>
                <w:sz w:val="20"/>
                <w:szCs w:val="20"/>
              </w:rPr>
              <w:t>8</w:t>
            </w:r>
          </w:p>
        </w:tc>
        <w:tc>
          <w:tcPr>
            <w:tcW w:w="1368" w:type="dxa"/>
          </w:tcPr>
          <w:p w:rsidR="00F4583B" w:rsidRDefault="008E3836">
            <w:pPr>
              <w:jc w:val="center"/>
              <w:rPr>
                <w:rFonts w:ascii="Garamond" w:hAnsi="Garamond" w:cs="Arial"/>
                <w:sz w:val="20"/>
                <w:szCs w:val="20"/>
              </w:rPr>
            </w:pPr>
            <w:r>
              <w:rPr>
                <w:rFonts w:ascii="Garamond" w:hAnsi="Garamond" w:cs="Arial"/>
                <w:sz w:val="20"/>
                <w:szCs w:val="20"/>
              </w:rPr>
              <w:t>9</w:t>
            </w:r>
          </w:p>
        </w:tc>
      </w:tr>
      <w:tr w:rsidR="00F4583B">
        <w:trPr>
          <w:trHeight w:val="418"/>
        </w:trPr>
        <w:tc>
          <w:tcPr>
            <w:tcW w:w="1271" w:type="dxa"/>
            <w:vMerge w:val="restart"/>
            <w:vAlign w:val="center"/>
          </w:tcPr>
          <w:p w:rsidR="00F4583B" w:rsidRDefault="008E3836">
            <w:pPr>
              <w:jc w:val="center"/>
              <w:rPr>
                <w:rFonts w:ascii="Garamond" w:hAnsi="Garamond" w:cs="Arial"/>
                <w:sz w:val="20"/>
                <w:szCs w:val="20"/>
              </w:rPr>
            </w:pPr>
            <w:r>
              <w:rPr>
                <w:rFonts w:ascii="Garamond" w:hAnsi="Garamond" w:cs="Arial"/>
                <w:sz w:val="20"/>
                <w:szCs w:val="20"/>
              </w:rPr>
              <w:t>1</w:t>
            </w:r>
          </w:p>
        </w:tc>
        <w:tc>
          <w:tcPr>
            <w:tcW w:w="1574" w:type="dxa"/>
            <w:vMerge w:val="restart"/>
            <w:shd w:val="clear" w:color="auto" w:fill="auto"/>
            <w:noWrap/>
            <w:vAlign w:val="center"/>
            <w:hideMark/>
          </w:tcPr>
          <w:p w:rsidR="00F4583B" w:rsidRDefault="008E3836">
            <w:pPr>
              <w:jc w:val="center"/>
              <w:rPr>
                <w:rFonts w:ascii="Garamond" w:hAnsi="Garamond" w:cs="Arial"/>
                <w:sz w:val="20"/>
                <w:szCs w:val="20"/>
              </w:rPr>
            </w:pPr>
            <w:r>
              <w:rPr>
                <w:rFonts w:ascii="Garamond" w:hAnsi="Garamond" w:cs="Arial"/>
                <w:sz w:val="20"/>
                <w:szCs w:val="20"/>
              </w:rPr>
              <w:t>Контрагент 1</w:t>
            </w:r>
          </w:p>
        </w:tc>
        <w:tc>
          <w:tcPr>
            <w:tcW w:w="1142" w:type="dxa"/>
          </w:tcPr>
          <w:p w:rsidR="00F4583B" w:rsidRDefault="00F4583B">
            <w:pPr>
              <w:rPr>
                <w:rFonts w:ascii="Garamond" w:hAnsi="Garamond" w:cs="Arial"/>
                <w:sz w:val="20"/>
                <w:szCs w:val="20"/>
              </w:rPr>
            </w:pPr>
          </w:p>
        </w:tc>
        <w:tc>
          <w:tcPr>
            <w:tcW w:w="1268" w:type="dxa"/>
            <w:shd w:val="clear" w:color="auto" w:fill="auto"/>
            <w:noWrap/>
            <w:vAlign w:val="center"/>
            <w:hideMark/>
          </w:tcPr>
          <w:p w:rsidR="00F4583B" w:rsidRDefault="008E3836">
            <w:pPr>
              <w:rPr>
                <w:rFonts w:ascii="Garamond" w:hAnsi="Garamond" w:cs="Arial"/>
                <w:sz w:val="20"/>
                <w:szCs w:val="20"/>
              </w:rPr>
            </w:pPr>
            <w:r>
              <w:rPr>
                <w:rFonts w:ascii="Garamond" w:hAnsi="Garamond" w:cs="Arial"/>
                <w:sz w:val="20"/>
                <w:szCs w:val="20"/>
              </w:rPr>
              <w:t> </w:t>
            </w:r>
          </w:p>
        </w:tc>
        <w:tc>
          <w:tcPr>
            <w:tcW w:w="1475" w:type="dxa"/>
            <w:shd w:val="clear" w:color="auto" w:fill="auto"/>
            <w:noWrap/>
            <w:vAlign w:val="center"/>
            <w:hideMark/>
          </w:tcPr>
          <w:p w:rsidR="00F4583B" w:rsidRDefault="008E3836">
            <w:pPr>
              <w:jc w:val="center"/>
              <w:rPr>
                <w:rFonts w:ascii="Garamond" w:hAnsi="Garamond" w:cs="Arial"/>
                <w:sz w:val="20"/>
                <w:szCs w:val="20"/>
              </w:rPr>
            </w:pPr>
            <w:r>
              <w:rPr>
                <w:rFonts w:ascii="Garamond" w:hAnsi="Garamond" w:cs="Arial"/>
                <w:sz w:val="20"/>
                <w:szCs w:val="20"/>
              </w:rPr>
              <w:t> </w:t>
            </w:r>
          </w:p>
        </w:tc>
        <w:tc>
          <w:tcPr>
            <w:tcW w:w="1535" w:type="dxa"/>
            <w:shd w:val="clear" w:color="auto" w:fill="auto"/>
            <w:noWrap/>
            <w:vAlign w:val="center"/>
            <w:hideMark/>
          </w:tcPr>
          <w:p w:rsidR="00F4583B" w:rsidRDefault="008E3836">
            <w:pPr>
              <w:jc w:val="center"/>
              <w:rPr>
                <w:rFonts w:ascii="Garamond" w:hAnsi="Garamond" w:cs="Arial"/>
                <w:sz w:val="20"/>
                <w:szCs w:val="20"/>
              </w:rPr>
            </w:pPr>
            <w:r>
              <w:rPr>
                <w:rFonts w:ascii="Garamond" w:hAnsi="Garamond" w:cs="Arial"/>
                <w:sz w:val="20"/>
                <w:szCs w:val="20"/>
              </w:rPr>
              <w:t>Электроэнергия</w:t>
            </w:r>
          </w:p>
        </w:tc>
        <w:tc>
          <w:tcPr>
            <w:tcW w:w="1613" w:type="dxa"/>
            <w:shd w:val="clear" w:color="auto" w:fill="auto"/>
            <w:noWrap/>
            <w:vAlign w:val="center"/>
            <w:hideMark/>
          </w:tcPr>
          <w:p w:rsidR="00F4583B" w:rsidRDefault="008E3836">
            <w:pPr>
              <w:rPr>
                <w:rFonts w:ascii="Garamond" w:hAnsi="Garamond" w:cs="Arial"/>
                <w:sz w:val="20"/>
                <w:szCs w:val="20"/>
              </w:rPr>
            </w:pPr>
            <w:r>
              <w:rPr>
                <w:rFonts w:ascii="Garamond" w:hAnsi="Garamond" w:cs="Arial"/>
                <w:sz w:val="20"/>
                <w:szCs w:val="20"/>
              </w:rPr>
              <w:t> </w:t>
            </w:r>
          </w:p>
        </w:tc>
        <w:tc>
          <w:tcPr>
            <w:tcW w:w="1380" w:type="dxa"/>
            <w:shd w:val="clear" w:color="auto" w:fill="auto"/>
            <w:noWrap/>
            <w:vAlign w:val="center"/>
            <w:hideMark/>
          </w:tcPr>
          <w:p w:rsidR="00F4583B" w:rsidRDefault="008E3836">
            <w:pPr>
              <w:rPr>
                <w:rFonts w:ascii="Garamond" w:hAnsi="Garamond" w:cs="Arial"/>
                <w:sz w:val="20"/>
                <w:szCs w:val="20"/>
              </w:rPr>
            </w:pPr>
            <w:r>
              <w:rPr>
                <w:rFonts w:ascii="Garamond" w:hAnsi="Garamond" w:cs="Arial"/>
                <w:sz w:val="20"/>
                <w:szCs w:val="20"/>
              </w:rPr>
              <w:t> </w:t>
            </w:r>
          </w:p>
        </w:tc>
        <w:tc>
          <w:tcPr>
            <w:tcW w:w="1368" w:type="dxa"/>
          </w:tcPr>
          <w:p w:rsidR="00F4583B" w:rsidRDefault="00F4583B">
            <w:pPr>
              <w:rPr>
                <w:rFonts w:ascii="Garamond" w:hAnsi="Garamond" w:cs="Arial"/>
                <w:sz w:val="20"/>
                <w:szCs w:val="20"/>
              </w:rPr>
            </w:pPr>
          </w:p>
        </w:tc>
      </w:tr>
      <w:tr w:rsidR="00F4583B">
        <w:trPr>
          <w:trHeight w:val="362"/>
        </w:trPr>
        <w:tc>
          <w:tcPr>
            <w:tcW w:w="1271" w:type="dxa"/>
            <w:vMerge/>
            <w:vAlign w:val="center"/>
          </w:tcPr>
          <w:p w:rsidR="00F4583B" w:rsidRDefault="00F4583B">
            <w:pPr>
              <w:jc w:val="center"/>
              <w:rPr>
                <w:rFonts w:ascii="Garamond" w:hAnsi="Garamond" w:cs="Arial"/>
                <w:sz w:val="20"/>
                <w:szCs w:val="20"/>
              </w:rPr>
            </w:pPr>
          </w:p>
        </w:tc>
        <w:tc>
          <w:tcPr>
            <w:tcW w:w="1574" w:type="dxa"/>
            <w:vMerge/>
            <w:shd w:val="clear" w:color="auto" w:fill="auto"/>
            <w:noWrap/>
            <w:vAlign w:val="center"/>
          </w:tcPr>
          <w:p w:rsidR="00F4583B" w:rsidRDefault="00F4583B">
            <w:pPr>
              <w:jc w:val="center"/>
              <w:rPr>
                <w:rFonts w:ascii="Garamond" w:hAnsi="Garamond" w:cs="Arial"/>
                <w:sz w:val="20"/>
                <w:szCs w:val="20"/>
              </w:rPr>
            </w:pPr>
          </w:p>
        </w:tc>
        <w:tc>
          <w:tcPr>
            <w:tcW w:w="1142" w:type="dxa"/>
          </w:tcPr>
          <w:p w:rsidR="00F4583B" w:rsidRDefault="00F4583B">
            <w:pPr>
              <w:rPr>
                <w:rFonts w:ascii="Garamond" w:hAnsi="Garamond" w:cs="Arial"/>
                <w:sz w:val="20"/>
                <w:szCs w:val="20"/>
              </w:rPr>
            </w:pPr>
          </w:p>
        </w:tc>
        <w:tc>
          <w:tcPr>
            <w:tcW w:w="1268" w:type="dxa"/>
            <w:shd w:val="clear" w:color="auto" w:fill="auto"/>
            <w:noWrap/>
            <w:vAlign w:val="center"/>
          </w:tcPr>
          <w:p w:rsidR="00F4583B" w:rsidRDefault="00F4583B">
            <w:pPr>
              <w:rPr>
                <w:rFonts w:ascii="Garamond" w:hAnsi="Garamond" w:cs="Arial"/>
                <w:sz w:val="20"/>
                <w:szCs w:val="20"/>
              </w:rPr>
            </w:pPr>
          </w:p>
        </w:tc>
        <w:tc>
          <w:tcPr>
            <w:tcW w:w="1475" w:type="dxa"/>
            <w:shd w:val="clear" w:color="auto" w:fill="auto"/>
            <w:noWrap/>
            <w:vAlign w:val="center"/>
          </w:tcPr>
          <w:p w:rsidR="00F4583B" w:rsidRDefault="00F4583B">
            <w:pPr>
              <w:jc w:val="center"/>
              <w:rPr>
                <w:rFonts w:ascii="Garamond" w:hAnsi="Garamond" w:cs="Arial"/>
                <w:sz w:val="20"/>
                <w:szCs w:val="20"/>
              </w:rPr>
            </w:pPr>
          </w:p>
        </w:tc>
        <w:tc>
          <w:tcPr>
            <w:tcW w:w="1535" w:type="dxa"/>
            <w:shd w:val="clear" w:color="auto" w:fill="auto"/>
            <w:noWrap/>
            <w:vAlign w:val="center"/>
          </w:tcPr>
          <w:p w:rsidR="00F4583B" w:rsidRDefault="008E3836">
            <w:pPr>
              <w:jc w:val="center"/>
              <w:rPr>
                <w:rFonts w:ascii="Garamond" w:hAnsi="Garamond" w:cs="Arial"/>
                <w:sz w:val="20"/>
                <w:szCs w:val="20"/>
              </w:rPr>
            </w:pPr>
            <w:r>
              <w:rPr>
                <w:rFonts w:ascii="Garamond" w:hAnsi="Garamond" w:cs="Arial"/>
                <w:sz w:val="20"/>
                <w:szCs w:val="20"/>
              </w:rPr>
              <w:t>Мощность</w:t>
            </w:r>
          </w:p>
        </w:tc>
        <w:tc>
          <w:tcPr>
            <w:tcW w:w="1613" w:type="dxa"/>
            <w:shd w:val="clear" w:color="auto" w:fill="auto"/>
            <w:noWrap/>
            <w:vAlign w:val="center"/>
          </w:tcPr>
          <w:p w:rsidR="00F4583B" w:rsidRDefault="00F4583B">
            <w:pPr>
              <w:rPr>
                <w:rFonts w:ascii="Garamond" w:hAnsi="Garamond" w:cs="Arial"/>
                <w:sz w:val="20"/>
                <w:szCs w:val="20"/>
              </w:rPr>
            </w:pPr>
          </w:p>
        </w:tc>
        <w:tc>
          <w:tcPr>
            <w:tcW w:w="1380" w:type="dxa"/>
            <w:shd w:val="clear" w:color="auto" w:fill="auto"/>
            <w:noWrap/>
            <w:vAlign w:val="center"/>
          </w:tcPr>
          <w:p w:rsidR="00F4583B" w:rsidRDefault="00F4583B">
            <w:pPr>
              <w:rPr>
                <w:rFonts w:ascii="Garamond" w:hAnsi="Garamond" w:cs="Arial"/>
                <w:sz w:val="20"/>
                <w:szCs w:val="20"/>
              </w:rPr>
            </w:pPr>
          </w:p>
        </w:tc>
        <w:tc>
          <w:tcPr>
            <w:tcW w:w="1368" w:type="dxa"/>
          </w:tcPr>
          <w:p w:rsidR="00F4583B" w:rsidRDefault="00F4583B">
            <w:pPr>
              <w:rPr>
                <w:rFonts w:ascii="Garamond" w:hAnsi="Garamond" w:cs="Arial"/>
                <w:sz w:val="20"/>
                <w:szCs w:val="20"/>
              </w:rPr>
            </w:pPr>
          </w:p>
        </w:tc>
      </w:tr>
      <w:tr w:rsidR="00F4583B">
        <w:trPr>
          <w:trHeight w:val="578"/>
        </w:trPr>
        <w:tc>
          <w:tcPr>
            <w:tcW w:w="8265" w:type="dxa"/>
            <w:gridSpan w:val="6"/>
            <w:vAlign w:val="center"/>
          </w:tcPr>
          <w:p w:rsidR="00F4583B" w:rsidRDefault="008E3836">
            <w:pPr>
              <w:jc w:val="right"/>
              <w:rPr>
                <w:rFonts w:ascii="Garamond" w:hAnsi="Garamond" w:cs="Arial"/>
                <w:sz w:val="20"/>
                <w:szCs w:val="20"/>
              </w:rPr>
            </w:pPr>
            <w:r>
              <w:rPr>
                <w:rFonts w:ascii="Garamond" w:hAnsi="Garamond" w:cs="Arial"/>
                <w:sz w:val="20"/>
                <w:szCs w:val="20"/>
              </w:rPr>
              <w:t>Итого по контрагенту 1:</w:t>
            </w:r>
          </w:p>
        </w:tc>
        <w:tc>
          <w:tcPr>
            <w:tcW w:w="1613" w:type="dxa"/>
            <w:vAlign w:val="center"/>
          </w:tcPr>
          <w:p w:rsidR="00F4583B" w:rsidRDefault="00F4583B">
            <w:pPr>
              <w:jc w:val="right"/>
              <w:rPr>
                <w:rFonts w:ascii="Garamond" w:hAnsi="Garamond" w:cs="Arial"/>
                <w:sz w:val="20"/>
                <w:szCs w:val="20"/>
              </w:rPr>
            </w:pPr>
          </w:p>
        </w:tc>
        <w:tc>
          <w:tcPr>
            <w:tcW w:w="1380" w:type="dxa"/>
            <w:shd w:val="clear" w:color="auto" w:fill="auto"/>
            <w:noWrap/>
            <w:vAlign w:val="center"/>
          </w:tcPr>
          <w:p w:rsidR="00F4583B" w:rsidRDefault="00F4583B">
            <w:pPr>
              <w:rPr>
                <w:rFonts w:ascii="Garamond" w:hAnsi="Garamond" w:cs="Arial"/>
                <w:sz w:val="20"/>
                <w:szCs w:val="20"/>
              </w:rPr>
            </w:pPr>
          </w:p>
        </w:tc>
        <w:tc>
          <w:tcPr>
            <w:tcW w:w="1368" w:type="dxa"/>
          </w:tcPr>
          <w:p w:rsidR="00F4583B" w:rsidRDefault="00F4583B">
            <w:pPr>
              <w:rPr>
                <w:rFonts w:ascii="Garamond" w:hAnsi="Garamond" w:cs="Arial"/>
                <w:sz w:val="20"/>
                <w:szCs w:val="20"/>
              </w:rPr>
            </w:pPr>
          </w:p>
        </w:tc>
      </w:tr>
      <w:tr w:rsidR="00F4583B">
        <w:trPr>
          <w:trHeight w:val="424"/>
        </w:trPr>
        <w:tc>
          <w:tcPr>
            <w:tcW w:w="1271" w:type="dxa"/>
            <w:vMerge w:val="restart"/>
            <w:vAlign w:val="center"/>
          </w:tcPr>
          <w:p w:rsidR="00F4583B" w:rsidRDefault="008E3836">
            <w:pPr>
              <w:jc w:val="center"/>
              <w:rPr>
                <w:rFonts w:ascii="Garamond" w:hAnsi="Garamond" w:cs="Arial"/>
                <w:sz w:val="20"/>
                <w:szCs w:val="20"/>
              </w:rPr>
            </w:pPr>
            <w:r>
              <w:rPr>
                <w:rFonts w:ascii="Garamond" w:hAnsi="Garamond" w:cs="Arial"/>
                <w:sz w:val="20"/>
                <w:szCs w:val="20"/>
              </w:rPr>
              <w:t>2</w:t>
            </w:r>
          </w:p>
        </w:tc>
        <w:tc>
          <w:tcPr>
            <w:tcW w:w="1574" w:type="dxa"/>
            <w:vMerge w:val="restart"/>
            <w:shd w:val="clear" w:color="auto" w:fill="auto"/>
            <w:noWrap/>
            <w:vAlign w:val="center"/>
          </w:tcPr>
          <w:p w:rsidR="00F4583B" w:rsidRDefault="008E3836">
            <w:pPr>
              <w:jc w:val="center"/>
              <w:rPr>
                <w:rFonts w:ascii="Garamond" w:hAnsi="Garamond" w:cs="Arial"/>
                <w:sz w:val="20"/>
                <w:szCs w:val="20"/>
              </w:rPr>
            </w:pPr>
            <w:r>
              <w:rPr>
                <w:rFonts w:ascii="Garamond" w:hAnsi="Garamond" w:cs="Arial"/>
                <w:sz w:val="20"/>
                <w:szCs w:val="20"/>
              </w:rPr>
              <w:t>Контрагент 2</w:t>
            </w:r>
          </w:p>
        </w:tc>
        <w:tc>
          <w:tcPr>
            <w:tcW w:w="1142" w:type="dxa"/>
          </w:tcPr>
          <w:p w:rsidR="00F4583B" w:rsidRDefault="00F4583B">
            <w:pPr>
              <w:rPr>
                <w:rFonts w:ascii="Garamond" w:hAnsi="Garamond" w:cs="Arial"/>
                <w:sz w:val="20"/>
                <w:szCs w:val="20"/>
              </w:rPr>
            </w:pPr>
          </w:p>
        </w:tc>
        <w:tc>
          <w:tcPr>
            <w:tcW w:w="1268" w:type="dxa"/>
            <w:shd w:val="clear" w:color="auto" w:fill="auto"/>
            <w:noWrap/>
            <w:vAlign w:val="center"/>
          </w:tcPr>
          <w:p w:rsidR="00F4583B" w:rsidRDefault="00F4583B">
            <w:pPr>
              <w:rPr>
                <w:rFonts w:ascii="Garamond" w:hAnsi="Garamond" w:cs="Arial"/>
                <w:sz w:val="20"/>
                <w:szCs w:val="20"/>
              </w:rPr>
            </w:pPr>
          </w:p>
        </w:tc>
        <w:tc>
          <w:tcPr>
            <w:tcW w:w="1475" w:type="dxa"/>
            <w:shd w:val="clear" w:color="auto" w:fill="auto"/>
            <w:noWrap/>
            <w:vAlign w:val="center"/>
          </w:tcPr>
          <w:p w:rsidR="00F4583B" w:rsidRDefault="00F4583B">
            <w:pPr>
              <w:jc w:val="center"/>
              <w:rPr>
                <w:rFonts w:ascii="Garamond" w:hAnsi="Garamond" w:cs="Arial"/>
                <w:sz w:val="20"/>
                <w:szCs w:val="20"/>
              </w:rPr>
            </w:pPr>
          </w:p>
        </w:tc>
        <w:tc>
          <w:tcPr>
            <w:tcW w:w="1535" w:type="dxa"/>
            <w:shd w:val="clear" w:color="auto" w:fill="auto"/>
            <w:noWrap/>
            <w:vAlign w:val="center"/>
          </w:tcPr>
          <w:p w:rsidR="00F4583B" w:rsidRDefault="008E3836">
            <w:pPr>
              <w:jc w:val="center"/>
              <w:rPr>
                <w:rFonts w:ascii="Garamond" w:hAnsi="Garamond" w:cs="Arial"/>
                <w:sz w:val="20"/>
                <w:szCs w:val="20"/>
              </w:rPr>
            </w:pPr>
            <w:r>
              <w:rPr>
                <w:rFonts w:ascii="Garamond" w:hAnsi="Garamond" w:cs="Arial"/>
                <w:sz w:val="20"/>
                <w:szCs w:val="20"/>
              </w:rPr>
              <w:t>Электроэнергия</w:t>
            </w:r>
          </w:p>
        </w:tc>
        <w:tc>
          <w:tcPr>
            <w:tcW w:w="1613" w:type="dxa"/>
            <w:shd w:val="clear" w:color="auto" w:fill="auto"/>
            <w:noWrap/>
            <w:vAlign w:val="center"/>
          </w:tcPr>
          <w:p w:rsidR="00F4583B" w:rsidRDefault="00F4583B">
            <w:pPr>
              <w:rPr>
                <w:rFonts w:ascii="Garamond" w:hAnsi="Garamond" w:cs="Arial"/>
                <w:sz w:val="20"/>
                <w:szCs w:val="20"/>
              </w:rPr>
            </w:pPr>
          </w:p>
        </w:tc>
        <w:tc>
          <w:tcPr>
            <w:tcW w:w="1380" w:type="dxa"/>
            <w:shd w:val="clear" w:color="auto" w:fill="auto"/>
            <w:noWrap/>
            <w:vAlign w:val="center"/>
          </w:tcPr>
          <w:p w:rsidR="00F4583B" w:rsidRDefault="00F4583B">
            <w:pPr>
              <w:rPr>
                <w:rFonts w:ascii="Garamond" w:hAnsi="Garamond" w:cs="Arial"/>
                <w:sz w:val="20"/>
                <w:szCs w:val="20"/>
              </w:rPr>
            </w:pPr>
          </w:p>
        </w:tc>
        <w:tc>
          <w:tcPr>
            <w:tcW w:w="1368" w:type="dxa"/>
            <w:vAlign w:val="center"/>
          </w:tcPr>
          <w:p w:rsidR="00F4583B" w:rsidRDefault="00F4583B">
            <w:pPr>
              <w:rPr>
                <w:rFonts w:ascii="Garamond" w:hAnsi="Garamond" w:cs="Arial"/>
                <w:sz w:val="20"/>
                <w:szCs w:val="20"/>
              </w:rPr>
            </w:pPr>
          </w:p>
        </w:tc>
      </w:tr>
      <w:tr w:rsidR="00F4583B">
        <w:trPr>
          <w:trHeight w:val="326"/>
        </w:trPr>
        <w:tc>
          <w:tcPr>
            <w:tcW w:w="1271" w:type="dxa"/>
            <w:vMerge/>
            <w:vAlign w:val="center"/>
          </w:tcPr>
          <w:p w:rsidR="00F4583B" w:rsidRDefault="00F4583B">
            <w:pPr>
              <w:jc w:val="center"/>
              <w:rPr>
                <w:rFonts w:ascii="Garamond" w:hAnsi="Garamond" w:cs="Arial"/>
                <w:sz w:val="20"/>
                <w:szCs w:val="20"/>
              </w:rPr>
            </w:pPr>
          </w:p>
        </w:tc>
        <w:tc>
          <w:tcPr>
            <w:tcW w:w="1574" w:type="dxa"/>
            <w:vMerge/>
            <w:shd w:val="clear" w:color="auto" w:fill="auto"/>
            <w:noWrap/>
            <w:vAlign w:val="center"/>
          </w:tcPr>
          <w:p w:rsidR="00F4583B" w:rsidRDefault="00F4583B">
            <w:pPr>
              <w:jc w:val="center"/>
              <w:rPr>
                <w:rFonts w:ascii="Garamond" w:hAnsi="Garamond" w:cs="Arial"/>
                <w:sz w:val="20"/>
                <w:szCs w:val="20"/>
              </w:rPr>
            </w:pPr>
          </w:p>
        </w:tc>
        <w:tc>
          <w:tcPr>
            <w:tcW w:w="1142" w:type="dxa"/>
          </w:tcPr>
          <w:p w:rsidR="00F4583B" w:rsidRDefault="00F4583B">
            <w:pPr>
              <w:rPr>
                <w:rFonts w:ascii="Garamond" w:hAnsi="Garamond" w:cs="Arial"/>
                <w:sz w:val="20"/>
                <w:szCs w:val="20"/>
              </w:rPr>
            </w:pPr>
          </w:p>
        </w:tc>
        <w:tc>
          <w:tcPr>
            <w:tcW w:w="1268" w:type="dxa"/>
            <w:shd w:val="clear" w:color="auto" w:fill="auto"/>
            <w:noWrap/>
            <w:vAlign w:val="center"/>
          </w:tcPr>
          <w:p w:rsidR="00F4583B" w:rsidRDefault="00F4583B">
            <w:pPr>
              <w:rPr>
                <w:rFonts w:ascii="Garamond" w:hAnsi="Garamond" w:cs="Arial"/>
                <w:sz w:val="20"/>
                <w:szCs w:val="20"/>
              </w:rPr>
            </w:pPr>
          </w:p>
        </w:tc>
        <w:tc>
          <w:tcPr>
            <w:tcW w:w="1475" w:type="dxa"/>
            <w:shd w:val="clear" w:color="auto" w:fill="auto"/>
            <w:noWrap/>
            <w:vAlign w:val="center"/>
          </w:tcPr>
          <w:p w:rsidR="00F4583B" w:rsidRDefault="00F4583B">
            <w:pPr>
              <w:jc w:val="center"/>
              <w:rPr>
                <w:rFonts w:ascii="Garamond" w:hAnsi="Garamond" w:cs="Arial"/>
                <w:sz w:val="20"/>
                <w:szCs w:val="20"/>
              </w:rPr>
            </w:pPr>
          </w:p>
        </w:tc>
        <w:tc>
          <w:tcPr>
            <w:tcW w:w="1535" w:type="dxa"/>
            <w:shd w:val="clear" w:color="auto" w:fill="auto"/>
            <w:noWrap/>
            <w:vAlign w:val="center"/>
          </w:tcPr>
          <w:p w:rsidR="00F4583B" w:rsidRDefault="008E3836">
            <w:pPr>
              <w:jc w:val="center"/>
              <w:rPr>
                <w:rFonts w:ascii="Garamond" w:hAnsi="Garamond" w:cs="Arial"/>
                <w:sz w:val="20"/>
                <w:szCs w:val="20"/>
              </w:rPr>
            </w:pPr>
            <w:r>
              <w:rPr>
                <w:rFonts w:ascii="Garamond" w:hAnsi="Garamond" w:cs="Arial"/>
                <w:sz w:val="20"/>
                <w:szCs w:val="20"/>
              </w:rPr>
              <w:t>Мощность</w:t>
            </w:r>
          </w:p>
        </w:tc>
        <w:tc>
          <w:tcPr>
            <w:tcW w:w="1613" w:type="dxa"/>
            <w:shd w:val="clear" w:color="auto" w:fill="auto"/>
            <w:noWrap/>
            <w:vAlign w:val="center"/>
          </w:tcPr>
          <w:p w:rsidR="00F4583B" w:rsidRDefault="00F4583B">
            <w:pPr>
              <w:rPr>
                <w:rFonts w:ascii="Garamond" w:hAnsi="Garamond" w:cs="Arial"/>
                <w:sz w:val="20"/>
                <w:szCs w:val="20"/>
              </w:rPr>
            </w:pPr>
          </w:p>
        </w:tc>
        <w:tc>
          <w:tcPr>
            <w:tcW w:w="1380" w:type="dxa"/>
            <w:shd w:val="clear" w:color="auto" w:fill="auto"/>
            <w:noWrap/>
            <w:vAlign w:val="center"/>
          </w:tcPr>
          <w:p w:rsidR="00F4583B" w:rsidRDefault="00F4583B">
            <w:pPr>
              <w:rPr>
                <w:rFonts w:ascii="Garamond" w:hAnsi="Garamond" w:cs="Arial"/>
                <w:sz w:val="20"/>
                <w:szCs w:val="20"/>
              </w:rPr>
            </w:pPr>
          </w:p>
        </w:tc>
        <w:tc>
          <w:tcPr>
            <w:tcW w:w="1368" w:type="dxa"/>
            <w:vAlign w:val="center"/>
          </w:tcPr>
          <w:p w:rsidR="00F4583B" w:rsidRDefault="00F4583B">
            <w:pPr>
              <w:rPr>
                <w:rFonts w:ascii="Garamond" w:hAnsi="Garamond" w:cs="Arial"/>
                <w:sz w:val="20"/>
                <w:szCs w:val="20"/>
              </w:rPr>
            </w:pPr>
          </w:p>
        </w:tc>
      </w:tr>
      <w:tr w:rsidR="00F4583B">
        <w:trPr>
          <w:trHeight w:val="599"/>
        </w:trPr>
        <w:tc>
          <w:tcPr>
            <w:tcW w:w="8265" w:type="dxa"/>
            <w:gridSpan w:val="6"/>
            <w:vAlign w:val="center"/>
          </w:tcPr>
          <w:p w:rsidR="00F4583B" w:rsidRDefault="008E3836">
            <w:pPr>
              <w:jc w:val="right"/>
              <w:rPr>
                <w:rFonts w:ascii="Garamond" w:hAnsi="Garamond" w:cs="Arial"/>
                <w:sz w:val="20"/>
                <w:szCs w:val="20"/>
              </w:rPr>
            </w:pPr>
            <w:r>
              <w:rPr>
                <w:rFonts w:ascii="Garamond" w:hAnsi="Garamond" w:cs="Arial"/>
                <w:sz w:val="20"/>
                <w:szCs w:val="20"/>
              </w:rPr>
              <w:t>Итого по контрагенту 2:</w:t>
            </w:r>
          </w:p>
          <w:p w:rsidR="00F4583B" w:rsidRDefault="008E3836">
            <w:pPr>
              <w:jc w:val="right"/>
              <w:rPr>
                <w:rFonts w:ascii="Garamond" w:hAnsi="Garamond" w:cs="Arial"/>
                <w:sz w:val="20"/>
                <w:szCs w:val="20"/>
              </w:rPr>
            </w:pPr>
            <w:r>
              <w:rPr>
                <w:rFonts w:ascii="Garamond" w:hAnsi="Garamond" w:cs="Arial"/>
                <w:sz w:val="20"/>
                <w:szCs w:val="20"/>
              </w:rPr>
              <w:t>…..</w:t>
            </w:r>
          </w:p>
        </w:tc>
        <w:tc>
          <w:tcPr>
            <w:tcW w:w="1613" w:type="dxa"/>
            <w:vAlign w:val="center"/>
          </w:tcPr>
          <w:p w:rsidR="00F4583B" w:rsidRDefault="00F4583B">
            <w:pPr>
              <w:jc w:val="right"/>
              <w:rPr>
                <w:rFonts w:ascii="Garamond" w:hAnsi="Garamond" w:cs="Arial"/>
                <w:sz w:val="20"/>
                <w:szCs w:val="20"/>
              </w:rPr>
            </w:pPr>
          </w:p>
        </w:tc>
        <w:tc>
          <w:tcPr>
            <w:tcW w:w="1380" w:type="dxa"/>
            <w:shd w:val="clear" w:color="auto" w:fill="auto"/>
            <w:noWrap/>
            <w:vAlign w:val="center"/>
          </w:tcPr>
          <w:p w:rsidR="00F4583B" w:rsidRDefault="00F4583B">
            <w:pPr>
              <w:rPr>
                <w:rFonts w:ascii="Garamond" w:hAnsi="Garamond" w:cs="Arial"/>
                <w:sz w:val="20"/>
                <w:szCs w:val="20"/>
              </w:rPr>
            </w:pPr>
          </w:p>
        </w:tc>
        <w:tc>
          <w:tcPr>
            <w:tcW w:w="1368" w:type="dxa"/>
            <w:vAlign w:val="center"/>
          </w:tcPr>
          <w:p w:rsidR="00F4583B" w:rsidRDefault="00F4583B">
            <w:pPr>
              <w:rPr>
                <w:rFonts w:ascii="Garamond" w:hAnsi="Garamond" w:cs="Arial"/>
                <w:sz w:val="20"/>
                <w:szCs w:val="20"/>
              </w:rPr>
            </w:pPr>
          </w:p>
        </w:tc>
      </w:tr>
      <w:tr w:rsidR="00F4583B">
        <w:trPr>
          <w:trHeight w:val="250"/>
        </w:trPr>
        <w:tc>
          <w:tcPr>
            <w:tcW w:w="1271" w:type="dxa"/>
            <w:vAlign w:val="center"/>
          </w:tcPr>
          <w:p w:rsidR="00F4583B" w:rsidRDefault="00F4583B">
            <w:pPr>
              <w:jc w:val="center"/>
              <w:rPr>
                <w:rFonts w:ascii="Garamond" w:hAnsi="Garamond" w:cs="Arial"/>
                <w:sz w:val="20"/>
                <w:szCs w:val="20"/>
              </w:rPr>
            </w:pPr>
          </w:p>
        </w:tc>
        <w:tc>
          <w:tcPr>
            <w:tcW w:w="1574" w:type="dxa"/>
            <w:shd w:val="clear" w:color="auto" w:fill="auto"/>
            <w:noWrap/>
            <w:vAlign w:val="center"/>
          </w:tcPr>
          <w:p w:rsidR="00F4583B" w:rsidRDefault="008E3836">
            <w:pPr>
              <w:jc w:val="center"/>
              <w:rPr>
                <w:rFonts w:ascii="Garamond" w:hAnsi="Garamond" w:cs="Arial"/>
                <w:sz w:val="20"/>
                <w:szCs w:val="20"/>
              </w:rPr>
            </w:pPr>
            <w:r>
              <w:rPr>
                <w:rFonts w:ascii="Garamond" w:hAnsi="Garamond" w:cs="Arial"/>
                <w:sz w:val="20"/>
                <w:szCs w:val="20"/>
              </w:rPr>
              <w:t>ВСЕГО:</w:t>
            </w:r>
          </w:p>
        </w:tc>
        <w:tc>
          <w:tcPr>
            <w:tcW w:w="1142" w:type="dxa"/>
          </w:tcPr>
          <w:p w:rsidR="00F4583B" w:rsidRDefault="00F4583B">
            <w:pPr>
              <w:rPr>
                <w:rFonts w:ascii="Garamond" w:hAnsi="Garamond" w:cs="Arial"/>
                <w:sz w:val="20"/>
                <w:szCs w:val="20"/>
              </w:rPr>
            </w:pPr>
          </w:p>
        </w:tc>
        <w:tc>
          <w:tcPr>
            <w:tcW w:w="1268" w:type="dxa"/>
            <w:shd w:val="clear" w:color="auto" w:fill="auto"/>
            <w:noWrap/>
            <w:vAlign w:val="center"/>
          </w:tcPr>
          <w:p w:rsidR="00F4583B" w:rsidRDefault="00F4583B">
            <w:pPr>
              <w:rPr>
                <w:rFonts w:ascii="Garamond" w:hAnsi="Garamond" w:cs="Arial"/>
                <w:sz w:val="20"/>
                <w:szCs w:val="20"/>
              </w:rPr>
            </w:pPr>
          </w:p>
        </w:tc>
        <w:tc>
          <w:tcPr>
            <w:tcW w:w="1475" w:type="dxa"/>
            <w:shd w:val="clear" w:color="auto" w:fill="auto"/>
            <w:noWrap/>
            <w:vAlign w:val="center"/>
          </w:tcPr>
          <w:p w:rsidR="00F4583B" w:rsidRDefault="00F4583B">
            <w:pPr>
              <w:jc w:val="center"/>
              <w:rPr>
                <w:rFonts w:ascii="Garamond" w:hAnsi="Garamond" w:cs="Arial"/>
                <w:sz w:val="20"/>
                <w:szCs w:val="20"/>
              </w:rPr>
            </w:pPr>
          </w:p>
        </w:tc>
        <w:tc>
          <w:tcPr>
            <w:tcW w:w="1535" w:type="dxa"/>
            <w:shd w:val="clear" w:color="auto" w:fill="auto"/>
            <w:noWrap/>
            <w:vAlign w:val="center"/>
          </w:tcPr>
          <w:p w:rsidR="00F4583B" w:rsidRDefault="00F4583B">
            <w:pPr>
              <w:jc w:val="center"/>
              <w:rPr>
                <w:rFonts w:ascii="Garamond" w:hAnsi="Garamond" w:cs="Arial"/>
                <w:sz w:val="20"/>
                <w:szCs w:val="20"/>
              </w:rPr>
            </w:pPr>
          </w:p>
        </w:tc>
        <w:tc>
          <w:tcPr>
            <w:tcW w:w="1613" w:type="dxa"/>
            <w:shd w:val="clear" w:color="auto" w:fill="auto"/>
            <w:noWrap/>
            <w:vAlign w:val="center"/>
          </w:tcPr>
          <w:p w:rsidR="00F4583B" w:rsidRDefault="00F4583B">
            <w:pPr>
              <w:rPr>
                <w:rFonts w:ascii="Garamond" w:hAnsi="Garamond" w:cs="Arial"/>
                <w:sz w:val="20"/>
                <w:szCs w:val="20"/>
              </w:rPr>
            </w:pPr>
          </w:p>
        </w:tc>
        <w:tc>
          <w:tcPr>
            <w:tcW w:w="1380" w:type="dxa"/>
            <w:shd w:val="clear" w:color="auto" w:fill="auto"/>
            <w:noWrap/>
            <w:vAlign w:val="center"/>
          </w:tcPr>
          <w:p w:rsidR="00F4583B" w:rsidRDefault="00F4583B">
            <w:pPr>
              <w:rPr>
                <w:rFonts w:ascii="Garamond" w:hAnsi="Garamond" w:cs="Arial"/>
                <w:sz w:val="20"/>
                <w:szCs w:val="20"/>
              </w:rPr>
            </w:pPr>
          </w:p>
        </w:tc>
        <w:tc>
          <w:tcPr>
            <w:tcW w:w="1368" w:type="dxa"/>
            <w:vAlign w:val="center"/>
          </w:tcPr>
          <w:p w:rsidR="00F4583B" w:rsidRDefault="00F4583B">
            <w:pPr>
              <w:rPr>
                <w:rFonts w:ascii="Garamond" w:hAnsi="Garamond" w:cs="Arial"/>
                <w:sz w:val="20"/>
                <w:szCs w:val="20"/>
              </w:rPr>
            </w:pPr>
          </w:p>
        </w:tc>
      </w:tr>
    </w:tbl>
    <w:p w:rsidR="00F4583B" w:rsidRDefault="00F4583B">
      <w:pPr>
        <w:rPr>
          <w:rFonts w:ascii="Garamond" w:hAnsi="Garamond"/>
          <w:sz w:val="24"/>
          <w:szCs w:val="20"/>
        </w:rPr>
      </w:pPr>
    </w:p>
    <w:p w:rsidR="00F4583B" w:rsidRDefault="00F4583B">
      <w:pPr>
        <w:rPr>
          <w:rFonts w:ascii="Garamond" w:hAnsi="Garamond"/>
          <w:sz w:val="20"/>
          <w:szCs w:val="20"/>
        </w:rPr>
      </w:pPr>
    </w:p>
    <w:p w:rsidR="00F4583B" w:rsidRDefault="008E3836">
      <w:pPr>
        <w:rPr>
          <w:rFonts w:ascii="Garamond" w:hAnsi="Garamond"/>
          <w:sz w:val="20"/>
          <w:szCs w:val="20"/>
        </w:rPr>
      </w:pPr>
      <w:r w:rsidRPr="008E3836">
        <w:rPr>
          <w:rFonts w:ascii="Garamond" w:hAnsi="Garamond"/>
          <w:i/>
          <w:sz w:val="20"/>
          <w:szCs w:val="20"/>
        </w:rPr>
        <w:t>Примечания</w:t>
      </w:r>
      <w:r>
        <w:rPr>
          <w:rFonts w:ascii="Garamond" w:hAnsi="Garamond"/>
          <w:sz w:val="20"/>
          <w:szCs w:val="20"/>
        </w:rPr>
        <w:t>.</w:t>
      </w:r>
    </w:p>
    <w:p w:rsidR="00F4583B" w:rsidRPr="00AF39CA" w:rsidRDefault="008E3836">
      <w:pPr>
        <w:numPr>
          <w:ilvl w:val="0"/>
          <w:numId w:val="2"/>
        </w:numPr>
        <w:spacing w:after="0" w:line="240" w:lineRule="auto"/>
        <w:ind w:left="284" w:hanging="284"/>
        <w:jc w:val="both"/>
        <w:rPr>
          <w:rFonts w:ascii="Garamond" w:hAnsi="Garamond"/>
          <w:sz w:val="20"/>
          <w:szCs w:val="20"/>
        </w:rPr>
      </w:pPr>
      <w:r>
        <w:rPr>
          <w:rFonts w:ascii="Garamond" w:hAnsi="Garamond"/>
          <w:sz w:val="20"/>
          <w:szCs w:val="20"/>
        </w:rPr>
        <w:t xml:space="preserve">В </w:t>
      </w:r>
      <w:r w:rsidRPr="00AF39CA">
        <w:rPr>
          <w:rFonts w:ascii="Garamond" w:hAnsi="Garamond"/>
          <w:sz w:val="20"/>
          <w:szCs w:val="20"/>
        </w:rPr>
        <w:t xml:space="preserve">столбце 2 указывается наименование участника </w:t>
      </w:r>
      <w:r w:rsidR="007F6CE6">
        <w:rPr>
          <w:rFonts w:ascii="Garamond" w:hAnsi="Garamond"/>
          <w:sz w:val="20"/>
          <w:szCs w:val="20"/>
        </w:rPr>
        <w:t xml:space="preserve">– </w:t>
      </w:r>
      <w:r w:rsidRPr="00AF39CA">
        <w:rPr>
          <w:rFonts w:ascii="Garamond" w:hAnsi="Garamond"/>
          <w:sz w:val="20"/>
          <w:szCs w:val="20"/>
        </w:rPr>
        <w:t>плательщика (должника)</w:t>
      </w:r>
      <w:r w:rsidR="00AF39CA" w:rsidRPr="00AF39CA">
        <w:rPr>
          <w:rFonts w:ascii="Garamond" w:hAnsi="Garamond"/>
          <w:sz w:val="20"/>
          <w:szCs w:val="20"/>
        </w:rPr>
        <w:t xml:space="preserve"> </w:t>
      </w:r>
      <w:r w:rsidRPr="00AF39CA">
        <w:rPr>
          <w:rFonts w:ascii="Garamond" w:hAnsi="Garamond"/>
          <w:sz w:val="20"/>
          <w:szCs w:val="20"/>
        </w:rPr>
        <w:t>/</w:t>
      </w:r>
      <w:r w:rsidR="00AF39CA" w:rsidRPr="00AF39CA">
        <w:rPr>
          <w:rFonts w:ascii="Garamond" w:hAnsi="Garamond"/>
          <w:sz w:val="20"/>
          <w:szCs w:val="20"/>
        </w:rPr>
        <w:t xml:space="preserve"> </w:t>
      </w:r>
      <w:r w:rsidRPr="00AF39CA">
        <w:rPr>
          <w:rFonts w:ascii="Garamond" w:hAnsi="Garamond"/>
          <w:sz w:val="20"/>
          <w:szCs w:val="20"/>
        </w:rPr>
        <w:t>получателя (кредитора) денежных средств в соответствующем обязательстве, подлежащем оплате в соответствии с разделом 19 Регламента финансовых расчетов на оптовом рынке</w:t>
      </w:r>
      <w:r w:rsidR="007F6CE6">
        <w:rPr>
          <w:rFonts w:ascii="Garamond" w:hAnsi="Garamond"/>
          <w:sz w:val="20"/>
          <w:szCs w:val="20"/>
        </w:rPr>
        <w:t xml:space="preserve"> </w:t>
      </w:r>
      <w:r w:rsidR="007F6CE6">
        <w:rPr>
          <w:rFonts w:ascii="Garamond" w:hAnsi="Garamond"/>
          <w:sz w:val="20"/>
          <w:szCs w:val="20"/>
        </w:rPr>
        <w:t>электроэнергии</w:t>
      </w:r>
      <w:r w:rsidRPr="00AF39CA">
        <w:rPr>
          <w:rFonts w:ascii="Garamond" w:hAnsi="Garamond"/>
          <w:sz w:val="20"/>
          <w:szCs w:val="20"/>
        </w:rPr>
        <w:t>.</w:t>
      </w:r>
    </w:p>
    <w:p w:rsidR="00F4583B" w:rsidRPr="00AF39CA" w:rsidRDefault="008E3836">
      <w:pPr>
        <w:numPr>
          <w:ilvl w:val="0"/>
          <w:numId w:val="2"/>
        </w:numPr>
        <w:spacing w:after="0" w:line="240" w:lineRule="auto"/>
        <w:ind w:left="284" w:hanging="284"/>
        <w:jc w:val="both"/>
        <w:rPr>
          <w:rFonts w:ascii="Garamond" w:hAnsi="Garamond"/>
          <w:sz w:val="20"/>
          <w:szCs w:val="20"/>
        </w:rPr>
      </w:pPr>
      <w:r w:rsidRPr="00AF39CA">
        <w:rPr>
          <w:rFonts w:ascii="Garamond" w:hAnsi="Garamond"/>
          <w:sz w:val="20"/>
          <w:szCs w:val="20"/>
        </w:rPr>
        <w:t xml:space="preserve">В столбце 3 указывается код участника </w:t>
      </w:r>
      <w:r w:rsidR="007F6CE6">
        <w:rPr>
          <w:rFonts w:ascii="Garamond" w:hAnsi="Garamond"/>
          <w:sz w:val="20"/>
          <w:szCs w:val="20"/>
        </w:rPr>
        <w:t xml:space="preserve">– </w:t>
      </w:r>
      <w:r w:rsidRPr="00AF39CA">
        <w:rPr>
          <w:rFonts w:ascii="Garamond" w:hAnsi="Garamond"/>
          <w:sz w:val="20"/>
          <w:szCs w:val="20"/>
        </w:rPr>
        <w:t>плательщика (должника)</w:t>
      </w:r>
      <w:r w:rsidR="00AF39CA" w:rsidRPr="00AF39CA">
        <w:rPr>
          <w:rFonts w:ascii="Garamond" w:hAnsi="Garamond"/>
          <w:sz w:val="20"/>
          <w:szCs w:val="20"/>
        </w:rPr>
        <w:t xml:space="preserve"> </w:t>
      </w:r>
      <w:r w:rsidRPr="00AF39CA">
        <w:rPr>
          <w:rFonts w:ascii="Garamond" w:hAnsi="Garamond"/>
          <w:sz w:val="20"/>
          <w:szCs w:val="20"/>
        </w:rPr>
        <w:t>/</w:t>
      </w:r>
      <w:r w:rsidR="00AF39CA" w:rsidRPr="00AF39CA">
        <w:rPr>
          <w:rFonts w:ascii="Garamond" w:hAnsi="Garamond"/>
          <w:sz w:val="20"/>
          <w:szCs w:val="20"/>
        </w:rPr>
        <w:t xml:space="preserve"> </w:t>
      </w:r>
      <w:r w:rsidRPr="00AF39CA">
        <w:rPr>
          <w:rFonts w:ascii="Garamond" w:hAnsi="Garamond"/>
          <w:sz w:val="20"/>
          <w:szCs w:val="20"/>
        </w:rPr>
        <w:t>получателя (кредитора) денежных средств в соответствующем обязательстве, подлежащем оплате в соответствии с разделом 19 Регламента финансовых расчетов на оптовом рынке</w:t>
      </w:r>
      <w:r w:rsidR="007F6CE6">
        <w:rPr>
          <w:rFonts w:ascii="Garamond" w:hAnsi="Garamond"/>
          <w:sz w:val="20"/>
          <w:szCs w:val="20"/>
        </w:rPr>
        <w:t xml:space="preserve"> </w:t>
      </w:r>
      <w:r w:rsidR="007F6CE6">
        <w:rPr>
          <w:rFonts w:ascii="Garamond" w:hAnsi="Garamond"/>
          <w:sz w:val="20"/>
          <w:szCs w:val="20"/>
        </w:rPr>
        <w:t>электроэнергии</w:t>
      </w:r>
      <w:r w:rsidRPr="00AF39CA">
        <w:rPr>
          <w:rFonts w:ascii="Garamond" w:hAnsi="Garamond"/>
          <w:sz w:val="20"/>
          <w:szCs w:val="20"/>
        </w:rPr>
        <w:t>.</w:t>
      </w:r>
    </w:p>
    <w:p w:rsidR="00F4583B" w:rsidRDefault="008E3836">
      <w:pPr>
        <w:numPr>
          <w:ilvl w:val="0"/>
          <w:numId w:val="2"/>
        </w:numPr>
        <w:spacing w:after="0" w:line="240" w:lineRule="auto"/>
        <w:ind w:left="284" w:hanging="284"/>
        <w:jc w:val="both"/>
        <w:rPr>
          <w:rFonts w:ascii="Garamond" w:hAnsi="Garamond"/>
          <w:sz w:val="20"/>
          <w:szCs w:val="20"/>
        </w:rPr>
      </w:pPr>
      <w:r w:rsidRPr="00AF39CA">
        <w:rPr>
          <w:rFonts w:ascii="Garamond" w:hAnsi="Garamond"/>
          <w:sz w:val="20"/>
          <w:szCs w:val="20"/>
        </w:rPr>
        <w:t>В столбце 4 указывается номер договора, по которому сформировано обязательство, подлежащее оплате в соответствии с разделом 19 Регламента финансовых расчетов на оптовом</w:t>
      </w:r>
      <w:r>
        <w:rPr>
          <w:rFonts w:ascii="Garamond" w:hAnsi="Garamond"/>
          <w:sz w:val="20"/>
          <w:szCs w:val="20"/>
        </w:rPr>
        <w:t xml:space="preserve"> рынке</w:t>
      </w:r>
      <w:r w:rsidR="007F6CE6">
        <w:rPr>
          <w:rFonts w:ascii="Garamond" w:hAnsi="Garamond"/>
          <w:sz w:val="20"/>
          <w:szCs w:val="20"/>
        </w:rPr>
        <w:t xml:space="preserve"> </w:t>
      </w:r>
      <w:r w:rsidR="007F6CE6">
        <w:rPr>
          <w:rFonts w:ascii="Garamond" w:hAnsi="Garamond"/>
          <w:sz w:val="20"/>
          <w:szCs w:val="20"/>
        </w:rPr>
        <w:t>электроэнергии</w:t>
      </w:r>
      <w:r>
        <w:rPr>
          <w:rFonts w:ascii="Garamond" w:hAnsi="Garamond"/>
          <w:sz w:val="20"/>
          <w:szCs w:val="20"/>
        </w:rPr>
        <w:t>.</w:t>
      </w:r>
    </w:p>
    <w:p w:rsidR="00F4583B" w:rsidRDefault="008E3836">
      <w:pPr>
        <w:numPr>
          <w:ilvl w:val="0"/>
          <w:numId w:val="2"/>
        </w:numPr>
        <w:spacing w:after="0" w:line="240" w:lineRule="auto"/>
        <w:ind w:left="284" w:hanging="284"/>
        <w:jc w:val="both"/>
        <w:rPr>
          <w:rFonts w:ascii="Garamond" w:hAnsi="Garamond"/>
          <w:sz w:val="20"/>
          <w:szCs w:val="20"/>
        </w:rPr>
      </w:pPr>
      <w:r>
        <w:rPr>
          <w:rFonts w:ascii="Garamond" w:hAnsi="Garamond"/>
          <w:sz w:val="20"/>
          <w:szCs w:val="20"/>
        </w:rPr>
        <w:t>В столбце 5 указывается период, за который сформировано обязательство, подлежащее оплате в соответствии с разделом 19 Регламента финансовых расчетов на оптовом рынке</w:t>
      </w:r>
      <w:r w:rsidR="007F6CE6">
        <w:rPr>
          <w:rFonts w:ascii="Garamond" w:hAnsi="Garamond"/>
          <w:sz w:val="20"/>
          <w:szCs w:val="20"/>
        </w:rPr>
        <w:t xml:space="preserve"> </w:t>
      </w:r>
      <w:r w:rsidR="007F6CE6">
        <w:rPr>
          <w:rFonts w:ascii="Garamond" w:hAnsi="Garamond"/>
          <w:sz w:val="20"/>
          <w:szCs w:val="20"/>
        </w:rPr>
        <w:t>электроэнергии</w:t>
      </w:r>
      <w:r>
        <w:rPr>
          <w:rFonts w:ascii="Garamond" w:hAnsi="Garamond"/>
          <w:sz w:val="20"/>
          <w:szCs w:val="20"/>
        </w:rPr>
        <w:t>.</w:t>
      </w:r>
    </w:p>
    <w:p w:rsidR="00F4583B" w:rsidRDefault="008E3836">
      <w:pPr>
        <w:numPr>
          <w:ilvl w:val="0"/>
          <w:numId w:val="2"/>
        </w:numPr>
        <w:spacing w:after="0" w:line="240" w:lineRule="auto"/>
        <w:ind w:left="284" w:hanging="284"/>
        <w:jc w:val="both"/>
        <w:rPr>
          <w:rFonts w:ascii="Garamond" w:hAnsi="Garamond"/>
          <w:sz w:val="20"/>
          <w:szCs w:val="20"/>
        </w:rPr>
      </w:pPr>
      <w:r>
        <w:rPr>
          <w:rFonts w:ascii="Garamond" w:hAnsi="Garamond"/>
          <w:sz w:val="20"/>
          <w:szCs w:val="20"/>
        </w:rPr>
        <w:t xml:space="preserve">В столбце 6 </w:t>
      </w:r>
      <w:r w:rsidR="0022666D">
        <w:rPr>
          <w:rFonts w:ascii="Garamond" w:hAnsi="Garamond"/>
          <w:sz w:val="20"/>
          <w:szCs w:val="20"/>
        </w:rPr>
        <w:t xml:space="preserve">указывается </w:t>
      </w:r>
      <w:r>
        <w:rPr>
          <w:rFonts w:ascii="Garamond" w:hAnsi="Garamond"/>
          <w:sz w:val="20"/>
          <w:szCs w:val="20"/>
        </w:rPr>
        <w:t>вид задолженности (товар, услуга, штраф) по договору, по которому сформировано обязательство, подлежащее оплате в соответствии с разделом 19 Регламента финансовых расчетов на оптовом рынке</w:t>
      </w:r>
      <w:r w:rsidR="007F6CE6">
        <w:rPr>
          <w:rFonts w:ascii="Garamond" w:hAnsi="Garamond"/>
          <w:sz w:val="20"/>
          <w:szCs w:val="20"/>
        </w:rPr>
        <w:t xml:space="preserve"> </w:t>
      </w:r>
      <w:r w:rsidR="007F6CE6">
        <w:rPr>
          <w:rFonts w:ascii="Garamond" w:hAnsi="Garamond"/>
          <w:sz w:val="20"/>
          <w:szCs w:val="20"/>
        </w:rPr>
        <w:t>электроэнергии</w:t>
      </w:r>
      <w:r>
        <w:rPr>
          <w:rFonts w:ascii="Garamond" w:hAnsi="Garamond"/>
          <w:sz w:val="20"/>
          <w:szCs w:val="20"/>
        </w:rPr>
        <w:t>.</w:t>
      </w:r>
    </w:p>
    <w:p w:rsidR="00F4583B" w:rsidRDefault="008E3836">
      <w:pPr>
        <w:numPr>
          <w:ilvl w:val="0"/>
          <w:numId w:val="2"/>
        </w:numPr>
        <w:spacing w:after="0" w:line="240" w:lineRule="auto"/>
        <w:ind w:left="284" w:hanging="284"/>
        <w:jc w:val="both"/>
        <w:rPr>
          <w:rFonts w:ascii="Garamond" w:hAnsi="Garamond"/>
          <w:sz w:val="20"/>
          <w:szCs w:val="20"/>
        </w:rPr>
      </w:pPr>
      <w:r>
        <w:rPr>
          <w:rFonts w:ascii="Garamond" w:hAnsi="Garamond"/>
          <w:sz w:val="20"/>
          <w:szCs w:val="20"/>
        </w:rPr>
        <w:t>В столбце 7 указывается задолженность по договору, по которому сформировано обязательство, подлежащее оплате, до уч</w:t>
      </w:r>
      <w:r w:rsidR="0022666D">
        <w:rPr>
          <w:rFonts w:ascii="Garamond" w:hAnsi="Garamond"/>
          <w:sz w:val="20"/>
          <w:szCs w:val="20"/>
        </w:rPr>
        <w:t>е</w:t>
      </w:r>
      <w:r>
        <w:rPr>
          <w:rFonts w:ascii="Garamond" w:hAnsi="Garamond"/>
          <w:sz w:val="20"/>
          <w:szCs w:val="20"/>
        </w:rPr>
        <w:t>та исполнения данного обязательства в соответствии с разделом 19 Регламента финансовых расчетов на оптовом рынке</w:t>
      </w:r>
      <w:r w:rsidR="007F6CE6">
        <w:rPr>
          <w:rFonts w:ascii="Garamond" w:hAnsi="Garamond"/>
          <w:sz w:val="20"/>
          <w:szCs w:val="20"/>
        </w:rPr>
        <w:t xml:space="preserve"> </w:t>
      </w:r>
      <w:r w:rsidR="007F6CE6">
        <w:rPr>
          <w:rFonts w:ascii="Garamond" w:hAnsi="Garamond"/>
          <w:sz w:val="20"/>
          <w:szCs w:val="20"/>
        </w:rPr>
        <w:t>электроэнергии</w:t>
      </w:r>
      <w:r>
        <w:rPr>
          <w:rFonts w:ascii="Garamond" w:hAnsi="Garamond"/>
          <w:sz w:val="20"/>
          <w:szCs w:val="20"/>
        </w:rPr>
        <w:t>.</w:t>
      </w:r>
    </w:p>
    <w:p w:rsidR="00F4583B" w:rsidRDefault="00F4583B">
      <w:pPr>
        <w:widowControl w:val="0"/>
        <w:ind w:firstLine="1134"/>
        <w:jc w:val="both"/>
        <w:rPr>
          <w:rFonts w:ascii="Garamond" w:hAnsi="Garamond"/>
          <w:b/>
        </w:rPr>
      </w:pPr>
    </w:p>
    <w:p w:rsidR="00F4583B" w:rsidRDefault="00F4583B">
      <w:pPr>
        <w:widowControl w:val="0"/>
        <w:jc w:val="right"/>
        <w:rPr>
          <w:rFonts w:ascii="Garamond" w:hAnsi="Garamond"/>
          <w:b/>
        </w:rPr>
      </w:pPr>
    </w:p>
    <w:p w:rsidR="00F4583B" w:rsidRDefault="00F4583B">
      <w:pPr>
        <w:widowControl w:val="0"/>
        <w:jc w:val="right"/>
        <w:rPr>
          <w:rFonts w:ascii="Garamond" w:hAnsi="Garamond"/>
          <w:b/>
        </w:rPr>
      </w:pPr>
    </w:p>
    <w:p w:rsidR="00F4583B" w:rsidRDefault="00F4583B">
      <w:pPr>
        <w:widowControl w:val="0"/>
        <w:jc w:val="right"/>
        <w:rPr>
          <w:rFonts w:ascii="Garamond" w:hAnsi="Garamond"/>
          <w:b/>
        </w:rPr>
      </w:pPr>
    </w:p>
    <w:p w:rsidR="00F4583B" w:rsidRDefault="00F4583B">
      <w:pPr>
        <w:widowControl w:val="0"/>
        <w:jc w:val="right"/>
        <w:rPr>
          <w:rFonts w:ascii="Garamond" w:hAnsi="Garamond"/>
          <w:b/>
        </w:rPr>
      </w:pPr>
    </w:p>
    <w:p w:rsidR="00F4583B" w:rsidRDefault="00F4583B">
      <w:pPr>
        <w:widowControl w:val="0"/>
        <w:jc w:val="right"/>
        <w:rPr>
          <w:rFonts w:ascii="Garamond" w:hAnsi="Garamond"/>
          <w:b/>
        </w:rPr>
      </w:pPr>
    </w:p>
    <w:p w:rsidR="00F4583B" w:rsidRDefault="00F4583B">
      <w:pPr>
        <w:widowControl w:val="0"/>
        <w:jc w:val="right"/>
        <w:rPr>
          <w:rFonts w:ascii="Garamond" w:hAnsi="Garamond"/>
          <w:b/>
        </w:rPr>
      </w:pPr>
    </w:p>
    <w:p w:rsidR="00F4583B" w:rsidRDefault="00F4583B">
      <w:pPr>
        <w:widowControl w:val="0"/>
        <w:jc w:val="right"/>
        <w:rPr>
          <w:rFonts w:ascii="Garamond" w:hAnsi="Garamond"/>
          <w:b/>
        </w:rPr>
      </w:pPr>
    </w:p>
    <w:p w:rsidR="00F4583B" w:rsidRDefault="00F4583B">
      <w:pPr>
        <w:widowControl w:val="0"/>
        <w:jc w:val="right"/>
        <w:rPr>
          <w:rFonts w:ascii="Garamond" w:hAnsi="Garamond"/>
          <w:b/>
        </w:rPr>
      </w:pPr>
    </w:p>
    <w:p w:rsidR="00F4583B" w:rsidRDefault="00F4583B">
      <w:pPr>
        <w:widowControl w:val="0"/>
        <w:jc w:val="right"/>
        <w:rPr>
          <w:rFonts w:ascii="Garamond" w:hAnsi="Garamond"/>
          <w:b/>
        </w:rPr>
      </w:pPr>
    </w:p>
    <w:p w:rsidR="00F4583B" w:rsidRDefault="00F4583B">
      <w:pPr>
        <w:widowControl w:val="0"/>
        <w:jc w:val="right"/>
        <w:rPr>
          <w:rFonts w:ascii="Garamond" w:hAnsi="Garamond"/>
          <w:b/>
        </w:rPr>
      </w:pPr>
    </w:p>
    <w:p w:rsidR="008E3836" w:rsidRDefault="008E3836">
      <w:pPr>
        <w:widowControl w:val="0"/>
        <w:jc w:val="right"/>
        <w:rPr>
          <w:rFonts w:ascii="Garamond" w:hAnsi="Garamond"/>
          <w:b/>
        </w:rPr>
      </w:pPr>
    </w:p>
    <w:p w:rsidR="008E3836" w:rsidRDefault="008E3836">
      <w:pPr>
        <w:widowControl w:val="0"/>
        <w:jc w:val="right"/>
        <w:rPr>
          <w:rFonts w:ascii="Garamond" w:hAnsi="Garamond"/>
          <w:b/>
        </w:rPr>
      </w:pPr>
    </w:p>
    <w:p w:rsidR="00F4583B" w:rsidRDefault="008E3836">
      <w:pPr>
        <w:widowControl w:val="0"/>
        <w:jc w:val="right"/>
        <w:rPr>
          <w:rFonts w:ascii="Garamond" w:hAnsi="Garamond"/>
          <w:b/>
        </w:rPr>
      </w:pPr>
      <w:r>
        <w:rPr>
          <w:rFonts w:ascii="Garamond" w:hAnsi="Garamond"/>
          <w:b/>
        </w:rPr>
        <w:lastRenderedPageBreak/>
        <w:t>Приложение 19.2</w:t>
      </w:r>
    </w:p>
    <w:p w:rsidR="00F4583B" w:rsidRDefault="00F4583B">
      <w:pPr>
        <w:widowControl w:val="0"/>
        <w:jc w:val="center"/>
        <w:rPr>
          <w:rFonts w:ascii="Garamond" w:hAnsi="Garamond"/>
          <w:b/>
        </w:rPr>
      </w:pPr>
    </w:p>
    <w:p w:rsidR="00F4583B" w:rsidRDefault="008E3836">
      <w:pPr>
        <w:widowControl w:val="0"/>
        <w:jc w:val="center"/>
        <w:rPr>
          <w:rFonts w:ascii="Garamond" w:hAnsi="Garamond"/>
          <w:b/>
        </w:rPr>
      </w:pPr>
      <w:r>
        <w:rPr>
          <w:rFonts w:ascii="Garamond" w:hAnsi="Garamond"/>
          <w:b/>
        </w:rPr>
        <w:t>Отчет об исполнении обязательств по договорам уступки прав (цессии) в соответствии с разделом 19 Регламента финансовых расчетов на оптовом рынке электроэнергии</w:t>
      </w:r>
    </w:p>
    <w:p w:rsidR="00F4583B" w:rsidRDefault="008E3836">
      <w:pPr>
        <w:widowControl w:val="0"/>
        <w:ind w:firstLine="1134"/>
        <w:jc w:val="both"/>
        <w:rPr>
          <w:rFonts w:ascii="Garamond" w:hAnsi="Garamond"/>
        </w:rPr>
      </w:pPr>
      <w:r>
        <w:rPr>
          <w:rFonts w:ascii="Garamond" w:hAnsi="Garamond"/>
          <w:b/>
        </w:rPr>
        <w:t>Наименование участника</w:t>
      </w:r>
      <w:r>
        <w:rPr>
          <w:rFonts w:ascii="Garamond" w:hAnsi="Garamond"/>
        </w:rPr>
        <w:t>: _________________________</w:t>
      </w:r>
    </w:p>
    <w:p w:rsidR="00F4583B" w:rsidRDefault="008E3836">
      <w:pPr>
        <w:widowControl w:val="0"/>
        <w:ind w:firstLine="1134"/>
        <w:jc w:val="both"/>
        <w:rPr>
          <w:rFonts w:ascii="Garamond" w:hAnsi="Garamond"/>
          <w:b/>
          <w:u w:val="single"/>
        </w:rPr>
      </w:pPr>
      <w:r>
        <w:rPr>
          <w:rFonts w:ascii="Garamond" w:hAnsi="Garamond"/>
          <w:b/>
        </w:rPr>
        <w:t xml:space="preserve">Отчетный </w:t>
      </w:r>
      <w:proofErr w:type="gramStart"/>
      <w:r>
        <w:rPr>
          <w:rFonts w:ascii="Garamond" w:hAnsi="Garamond"/>
          <w:b/>
        </w:rPr>
        <w:t>период </w:t>
      </w:r>
      <w:r>
        <w:rPr>
          <w:rStyle w:val="af2"/>
          <w:rFonts w:ascii="Garamond" w:hAnsi="Garamond"/>
          <w:b/>
        </w:rPr>
        <w:footnoteReference w:id="2"/>
      </w:r>
      <w:r>
        <w:rPr>
          <w:rFonts w:ascii="Garamond" w:hAnsi="Garamond"/>
          <w:b/>
        </w:rPr>
        <w:t>:</w:t>
      </w:r>
      <w:proofErr w:type="gramEnd"/>
      <w:r>
        <w:rPr>
          <w:rFonts w:ascii="Garamond" w:hAnsi="Garamond"/>
          <w:b/>
        </w:rPr>
        <w:t xml:space="preserve"> </w:t>
      </w:r>
      <w:r>
        <w:rPr>
          <w:rFonts w:ascii="Garamond" w:hAnsi="Garamond"/>
          <w:b/>
          <w:u w:val="single"/>
        </w:rPr>
        <w:t>с  ДД.ММ.ГГ. по  ДД.ММ.ГГ</w:t>
      </w:r>
    </w:p>
    <w:tbl>
      <w:tblPr>
        <w:tblpPr w:leftFromText="180" w:rightFromText="180" w:vertAnchor="text" w:tblpXSpec="center" w:tblpY="1"/>
        <w:tblOverlap w:val="never"/>
        <w:tblW w:w="11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437"/>
        <w:gridCol w:w="1108"/>
        <w:gridCol w:w="1160"/>
        <w:gridCol w:w="1299"/>
        <w:gridCol w:w="1535"/>
        <w:gridCol w:w="1480"/>
        <w:gridCol w:w="1380"/>
        <w:gridCol w:w="1126"/>
      </w:tblGrid>
      <w:tr w:rsidR="00F4583B">
        <w:trPr>
          <w:trHeight w:val="1374"/>
        </w:trPr>
        <w:tc>
          <w:tcPr>
            <w:tcW w:w="814" w:type="dxa"/>
            <w:vAlign w:val="center"/>
          </w:tcPr>
          <w:p w:rsidR="00F4583B" w:rsidRPr="00AF39CA" w:rsidRDefault="008E3836">
            <w:pPr>
              <w:jc w:val="center"/>
              <w:rPr>
                <w:rFonts w:ascii="Garamond" w:hAnsi="Garamond" w:cs="Arial"/>
                <w:sz w:val="20"/>
                <w:szCs w:val="20"/>
              </w:rPr>
            </w:pPr>
            <w:r w:rsidRPr="00AF39CA">
              <w:rPr>
                <w:rFonts w:ascii="Garamond" w:hAnsi="Garamond" w:cs="Arial"/>
                <w:sz w:val="20"/>
                <w:szCs w:val="20"/>
              </w:rPr>
              <w:t>Номер п/п</w:t>
            </w:r>
          </w:p>
        </w:tc>
        <w:tc>
          <w:tcPr>
            <w:tcW w:w="1437" w:type="dxa"/>
            <w:shd w:val="clear" w:color="auto" w:fill="auto"/>
            <w:vAlign w:val="center"/>
            <w:hideMark/>
          </w:tcPr>
          <w:p w:rsidR="00F4583B" w:rsidRPr="00AF39CA" w:rsidRDefault="00F4583B">
            <w:pPr>
              <w:jc w:val="center"/>
              <w:rPr>
                <w:rFonts w:ascii="Garamond" w:hAnsi="Garamond" w:cs="Arial"/>
                <w:sz w:val="20"/>
                <w:szCs w:val="20"/>
              </w:rPr>
            </w:pPr>
          </w:p>
          <w:p w:rsidR="00F4583B" w:rsidRPr="00AF39CA" w:rsidRDefault="008E3836">
            <w:pPr>
              <w:spacing w:after="0"/>
              <w:jc w:val="center"/>
              <w:rPr>
                <w:rFonts w:ascii="Garamond" w:hAnsi="Garamond" w:cs="Arial"/>
                <w:sz w:val="20"/>
                <w:szCs w:val="20"/>
              </w:rPr>
            </w:pPr>
            <w:r w:rsidRPr="00AF39CA">
              <w:rPr>
                <w:rFonts w:ascii="Garamond" w:hAnsi="Garamond" w:cs="Arial"/>
                <w:sz w:val="20"/>
                <w:szCs w:val="20"/>
              </w:rPr>
              <w:t>Наименование</w:t>
            </w:r>
          </w:p>
          <w:p w:rsidR="00F4583B" w:rsidRPr="00AF39CA" w:rsidRDefault="008E3836">
            <w:pPr>
              <w:jc w:val="center"/>
              <w:rPr>
                <w:rFonts w:ascii="Garamond" w:hAnsi="Garamond" w:cs="Arial"/>
                <w:sz w:val="20"/>
                <w:szCs w:val="20"/>
              </w:rPr>
            </w:pPr>
            <w:r w:rsidRPr="00AF39CA">
              <w:rPr>
                <w:rFonts w:ascii="Garamond" w:hAnsi="Garamond" w:cs="Arial"/>
                <w:sz w:val="20"/>
                <w:szCs w:val="20"/>
              </w:rPr>
              <w:t>участника</w:t>
            </w:r>
          </w:p>
        </w:tc>
        <w:tc>
          <w:tcPr>
            <w:tcW w:w="1108" w:type="dxa"/>
            <w:shd w:val="clear" w:color="auto" w:fill="auto"/>
            <w:vAlign w:val="center"/>
          </w:tcPr>
          <w:p w:rsidR="00F4583B" w:rsidRPr="00AF39CA" w:rsidRDefault="008E3836">
            <w:pPr>
              <w:jc w:val="center"/>
              <w:rPr>
                <w:rFonts w:ascii="Garamond" w:hAnsi="Garamond" w:cs="Arial"/>
                <w:sz w:val="20"/>
                <w:szCs w:val="20"/>
              </w:rPr>
            </w:pPr>
            <w:r w:rsidRPr="00AF39CA">
              <w:rPr>
                <w:rFonts w:ascii="Garamond" w:hAnsi="Garamond" w:cs="Arial"/>
                <w:sz w:val="20"/>
                <w:szCs w:val="20"/>
              </w:rPr>
              <w:t xml:space="preserve">Код участника </w:t>
            </w:r>
          </w:p>
        </w:tc>
        <w:tc>
          <w:tcPr>
            <w:tcW w:w="1160" w:type="dxa"/>
            <w:shd w:val="clear" w:color="auto" w:fill="auto"/>
            <w:vAlign w:val="center"/>
            <w:hideMark/>
          </w:tcPr>
          <w:p w:rsidR="00F4583B" w:rsidRPr="00AF39CA" w:rsidRDefault="008E3836">
            <w:pPr>
              <w:jc w:val="center"/>
              <w:rPr>
                <w:rFonts w:ascii="Garamond" w:hAnsi="Garamond" w:cs="Arial"/>
                <w:sz w:val="20"/>
                <w:szCs w:val="20"/>
              </w:rPr>
            </w:pPr>
            <w:r w:rsidRPr="00AF39CA">
              <w:rPr>
                <w:rFonts w:ascii="Garamond" w:hAnsi="Garamond" w:cs="Arial"/>
                <w:sz w:val="20"/>
                <w:szCs w:val="20"/>
              </w:rPr>
              <w:t>Номер договора купли-продажи </w:t>
            </w:r>
            <w:r w:rsidRPr="00AF39CA">
              <w:rPr>
                <w:rStyle w:val="af2"/>
                <w:rFonts w:ascii="Garamond" w:hAnsi="Garamond" w:cs="Arial"/>
                <w:sz w:val="20"/>
                <w:szCs w:val="20"/>
              </w:rPr>
              <w:footnoteReference w:id="3"/>
            </w:r>
            <w:r w:rsidRPr="00AF39CA">
              <w:rPr>
                <w:rFonts w:ascii="Garamond" w:hAnsi="Garamond" w:cs="Arial"/>
                <w:sz w:val="20"/>
                <w:szCs w:val="20"/>
              </w:rPr>
              <w:t>  </w:t>
            </w:r>
          </w:p>
        </w:tc>
        <w:tc>
          <w:tcPr>
            <w:tcW w:w="1299" w:type="dxa"/>
            <w:shd w:val="clear" w:color="auto" w:fill="auto"/>
            <w:vAlign w:val="center"/>
            <w:hideMark/>
          </w:tcPr>
          <w:p w:rsidR="00F4583B" w:rsidRDefault="008E3836">
            <w:pPr>
              <w:jc w:val="center"/>
              <w:rPr>
                <w:rFonts w:ascii="Garamond" w:hAnsi="Garamond" w:cs="Arial"/>
                <w:sz w:val="20"/>
                <w:szCs w:val="20"/>
              </w:rPr>
            </w:pPr>
            <w:r>
              <w:rPr>
                <w:rFonts w:ascii="Garamond" w:hAnsi="Garamond" w:cs="Arial"/>
                <w:sz w:val="20"/>
                <w:szCs w:val="20"/>
              </w:rPr>
              <w:t>Номер договора уступки прав (цессии)</w:t>
            </w:r>
          </w:p>
        </w:tc>
        <w:tc>
          <w:tcPr>
            <w:tcW w:w="1535" w:type="dxa"/>
            <w:shd w:val="clear" w:color="auto" w:fill="auto"/>
            <w:vAlign w:val="center"/>
            <w:hideMark/>
          </w:tcPr>
          <w:p w:rsidR="00F4583B" w:rsidRDefault="008E3836">
            <w:pPr>
              <w:jc w:val="center"/>
              <w:rPr>
                <w:rFonts w:ascii="Garamond" w:hAnsi="Garamond" w:cs="Arial"/>
                <w:sz w:val="20"/>
                <w:szCs w:val="20"/>
              </w:rPr>
            </w:pPr>
            <w:r>
              <w:rPr>
                <w:rFonts w:ascii="Garamond" w:hAnsi="Garamond" w:cs="Arial"/>
                <w:sz w:val="20"/>
                <w:szCs w:val="20"/>
              </w:rPr>
              <w:t>Период обязательств</w:t>
            </w:r>
          </w:p>
        </w:tc>
        <w:tc>
          <w:tcPr>
            <w:tcW w:w="1480" w:type="dxa"/>
            <w:shd w:val="clear" w:color="auto" w:fill="auto"/>
            <w:vAlign w:val="center"/>
            <w:hideMark/>
          </w:tcPr>
          <w:p w:rsidR="00F4583B" w:rsidRDefault="008E3836">
            <w:pPr>
              <w:jc w:val="center"/>
              <w:rPr>
                <w:rFonts w:ascii="Garamond" w:hAnsi="Garamond" w:cs="Arial"/>
                <w:sz w:val="20"/>
                <w:szCs w:val="20"/>
              </w:rPr>
            </w:pPr>
            <w:r>
              <w:rPr>
                <w:rFonts w:ascii="Garamond" w:hAnsi="Garamond" w:cs="Arial"/>
                <w:sz w:val="20"/>
                <w:szCs w:val="20"/>
              </w:rPr>
              <w:t xml:space="preserve">Задолженность до исполнения обязательств по оплате </w:t>
            </w:r>
          </w:p>
        </w:tc>
        <w:tc>
          <w:tcPr>
            <w:tcW w:w="1380" w:type="dxa"/>
            <w:shd w:val="clear" w:color="auto" w:fill="auto"/>
            <w:vAlign w:val="center"/>
            <w:hideMark/>
          </w:tcPr>
          <w:p w:rsidR="00F4583B" w:rsidRDefault="008E3836">
            <w:pPr>
              <w:jc w:val="center"/>
              <w:rPr>
                <w:rFonts w:ascii="Garamond" w:hAnsi="Garamond" w:cs="Arial"/>
                <w:sz w:val="20"/>
                <w:szCs w:val="20"/>
              </w:rPr>
            </w:pPr>
            <w:r>
              <w:rPr>
                <w:rFonts w:ascii="Garamond" w:hAnsi="Garamond" w:cs="Arial"/>
                <w:sz w:val="20"/>
                <w:szCs w:val="20"/>
              </w:rPr>
              <w:t xml:space="preserve">Сумма исполненных платежей </w:t>
            </w:r>
          </w:p>
        </w:tc>
        <w:tc>
          <w:tcPr>
            <w:tcW w:w="1126" w:type="dxa"/>
          </w:tcPr>
          <w:p w:rsidR="00F4583B" w:rsidRDefault="008E3836">
            <w:pPr>
              <w:jc w:val="center"/>
              <w:rPr>
                <w:rFonts w:ascii="Garamond" w:hAnsi="Garamond" w:cs="Arial"/>
                <w:sz w:val="20"/>
                <w:szCs w:val="20"/>
              </w:rPr>
            </w:pPr>
            <w:r>
              <w:rPr>
                <w:rFonts w:ascii="Garamond" w:hAnsi="Garamond" w:cs="Arial"/>
                <w:sz w:val="20"/>
                <w:szCs w:val="20"/>
              </w:rPr>
              <w:t>Номер судебного дела</w:t>
            </w:r>
          </w:p>
        </w:tc>
      </w:tr>
      <w:tr w:rsidR="00F4583B">
        <w:trPr>
          <w:trHeight w:val="287"/>
        </w:trPr>
        <w:tc>
          <w:tcPr>
            <w:tcW w:w="814" w:type="dxa"/>
            <w:tcBorders>
              <w:right w:val="single" w:sz="4" w:space="0" w:color="auto"/>
            </w:tcBorders>
            <w:vAlign w:val="center"/>
          </w:tcPr>
          <w:p w:rsidR="00F4583B" w:rsidRDefault="008E3836">
            <w:pPr>
              <w:jc w:val="center"/>
              <w:rPr>
                <w:rFonts w:ascii="Garamond" w:hAnsi="Garamond" w:cs="Arial"/>
                <w:sz w:val="20"/>
                <w:szCs w:val="20"/>
              </w:rPr>
            </w:pPr>
            <w:r>
              <w:rPr>
                <w:rFonts w:ascii="Garamond" w:hAnsi="Garamond" w:cs="Arial"/>
                <w:sz w:val="20"/>
                <w:szCs w:val="20"/>
              </w:rPr>
              <w:t>1</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4583B" w:rsidRDefault="008E3836">
            <w:pPr>
              <w:jc w:val="center"/>
              <w:rPr>
                <w:rFonts w:ascii="Garamond" w:hAnsi="Garamond" w:cs="Arial"/>
                <w:sz w:val="20"/>
                <w:szCs w:val="20"/>
              </w:rPr>
            </w:pPr>
            <w:r>
              <w:rPr>
                <w:rFonts w:ascii="Garamond" w:hAnsi="Garamond" w:cs="Arial"/>
                <w:sz w:val="20"/>
                <w:szCs w:val="20"/>
              </w:rPr>
              <w:t>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4583B" w:rsidRDefault="008E3836">
            <w:pPr>
              <w:jc w:val="center"/>
              <w:rPr>
                <w:rFonts w:ascii="Garamond" w:hAnsi="Garamond" w:cs="Arial"/>
                <w:sz w:val="20"/>
                <w:szCs w:val="20"/>
              </w:rPr>
            </w:pPr>
            <w:r>
              <w:rPr>
                <w:rFonts w:ascii="Garamond" w:hAnsi="Garamond" w:cs="Arial"/>
                <w:sz w:val="20"/>
                <w:szCs w:val="20"/>
              </w:rPr>
              <w:t>3</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F4583B" w:rsidRDefault="008E3836">
            <w:pPr>
              <w:jc w:val="center"/>
              <w:rPr>
                <w:rFonts w:ascii="Garamond" w:hAnsi="Garamond" w:cs="Arial"/>
                <w:sz w:val="20"/>
                <w:szCs w:val="20"/>
              </w:rPr>
            </w:pPr>
            <w:r>
              <w:rPr>
                <w:rFonts w:ascii="Garamond" w:hAnsi="Garamond" w:cs="Arial"/>
                <w:sz w:val="20"/>
                <w:szCs w:val="20"/>
              </w:rPr>
              <w:t>4</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F4583B" w:rsidRDefault="008E3836">
            <w:pPr>
              <w:jc w:val="center"/>
              <w:rPr>
                <w:rFonts w:ascii="Garamond" w:hAnsi="Garamond" w:cs="Arial"/>
                <w:sz w:val="20"/>
                <w:szCs w:val="20"/>
              </w:rPr>
            </w:pPr>
            <w:r>
              <w:rPr>
                <w:rFonts w:ascii="Garamond" w:hAnsi="Garamond" w:cs="Arial"/>
                <w:sz w:val="20"/>
                <w:szCs w:val="20"/>
              </w:rPr>
              <w:t>5</w:t>
            </w: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rsidR="00F4583B" w:rsidRDefault="008E3836">
            <w:pPr>
              <w:jc w:val="center"/>
              <w:rPr>
                <w:rFonts w:ascii="Garamond" w:hAnsi="Garamond" w:cs="Arial"/>
                <w:sz w:val="20"/>
                <w:szCs w:val="20"/>
              </w:rPr>
            </w:pPr>
            <w:r>
              <w:rPr>
                <w:rFonts w:ascii="Garamond" w:hAnsi="Garamond" w:cs="Arial"/>
                <w:sz w:val="20"/>
                <w:szCs w:val="20"/>
              </w:rPr>
              <w:t>6</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rsidR="00F4583B" w:rsidRDefault="008E3836">
            <w:pPr>
              <w:jc w:val="center"/>
              <w:rPr>
                <w:rFonts w:ascii="Garamond" w:hAnsi="Garamond" w:cs="Arial"/>
                <w:sz w:val="20"/>
                <w:szCs w:val="20"/>
              </w:rPr>
            </w:pPr>
            <w:r>
              <w:rPr>
                <w:rFonts w:ascii="Garamond" w:hAnsi="Garamond" w:cs="Arial"/>
                <w:sz w:val="20"/>
                <w:szCs w:val="20"/>
              </w:rPr>
              <w:t>7</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F4583B" w:rsidRDefault="008E3836">
            <w:pPr>
              <w:jc w:val="center"/>
              <w:rPr>
                <w:rFonts w:ascii="Garamond" w:hAnsi="Garamond" w:cs="Arial"/>
                <w:sz w:val="20"/>
                <w:szCs w:val="20"/>
              </w:rPr>
            </w:pPr>
            <w:r>
              <w:rPr>
                <w:rFonts w:ascii="Garamond" w:hAnsi="Garamond" w:cs="Arial"/>
                <w:sz w:val="20"/>
                <w:szCs w:val="20"/>
              </w:rPr>
              <w:t>8</w:t>
            </w:r>
          </w:p>
        </w:tc>
        <w:tc>
          <w:tcPr>
            <w:tcW w:w="1126" w:type="dxa"/>
            <w:tcBorders>
              <w:top w:val="single" w:sz="4" w:space="0" w:color="auto"/>
              <w:left w:val="single" w:sz="4" w:space="0" w:color="auto"/>
              <w:bottom w:val="single" w:sz="4" w:space="0" w:color="auto"/>
              <w:right w:val="single" w:sz="4" w:space="0" w:color="auto"/>
            </w:tcBorders>
          </w:tcPr>
          <w:p w:rsidR="00F4583B" w:rsidRDefault="008E3836">
            <w:pPr>
              <w:jc w:val="center"/>
              <w:rPr>
                <w:rFonts w:ascii="Garamond" w:hAnsi="Garamond" w:cs="Arial"/>
                <w:sz w:val="20"/>
                <w:szCs w:val="20"/>
              </w:rPr>
            </w:pPr>
            <w:r>
              <w:rPr>
                <w:rFonts w:ascii="Garamond" w:hAnsi="Garamond" w:cs="Arial"/>
                <w:sz w:val="20"/>
                <w:szCs w:val="20"/>
              </w:rPr>
              <w:t>9</w:t>
            </w:r>
          </w:p>
        </w:tc>
      </w:tr>
      <w:tr w:rsidR="00F4583B">
        <w:trPr>
          <w:trHeight w:val="418"/>
        </w:trPr>
        <w:tc>
          <w:tcPr>
            <w:tcW w:w="814" w:type="dxa"/>
            <w:vMerge w:val="restart"/>
            <w:tcBorders>
              <w:right w:val="single" w:sz="4" w:space="0" w:color="auto"/>
            </w:tcBorders>
            <w:vAlign w:val="center"/>
          </w:tcPr>
          <w:p w:rsidR="00F4583B" w:rsidRDefault="008E3836">
            <w:pPr>
              <w:jc w:val="center"/>
              <w:rPr>
                <w:rFonts w:ascii="Garamond" w:hAnsi="Garamond" w:cs="Arial"/>
                <w:sz w:val="20"/>
                <w:szCs w:val="20"/>
              </w:rPr>
            </w:pPr>
            <w:r>
              <w:rPr>
                <w:rFonts w:ascii="Garamond" w:hAnsi="Garamond" w:cs="Arial"/>
                <w:sz w:val="20"/>
                <w:szCs w:val="20"/>
              </w:rPr>
              <w:t>1</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583B" w:rsidRDefault="008E3836">
            <w:pPr>
              <w:jc w:val="center"/>
              <w:rPr>
                <w:rFonts w:ascii="Garamond" w:hAnsi="Garamond" w:cs="Arial"/>
                <w:sz w:val="20"/>
                <w:szCs w:val="20"/>
              </w:rPr>
            </w:pPr>
            <w:r>
              <w:rPr>
                <w:rFonts w:ascii="Garamond" w:hAnsi="Garamond" w:cs="Arial"/>
                <w:sz w:val="20"/>
                <w:szCs w:val="20"/>
              </w:rPr>
              <w:t>Контрагент 1</w:t>
            </w:r>
          </w:p>
        </w:tc>
        <w:tc>
          <w:tcPr>
            <w:tcW w:w="1108" w:type="dxa"/>
            <w:tcBorders>
              <w:top w:val="single" w:sz="4" w:space="0" w:color="auto"/>
              <w:left w:val="single" w:sz="4" w:space="0" w:color="auto"/>
              <w:bottom w:val="single" w:sz="4" w:space="0" w:color="auto"/>
              <w:right w:val="single" w:sz="4" w:space="0" w:color="auto"/>
            </w:tcBorders>
          </w:tcPr>
          <w:p w:rsidR="00F4583B" w:rsidRDefault="00F4583B">
            <w:pPr>
              <w:rPr>
                <w:rFonts w:ascii="Garamond" w:hAnsi="Garamond" w:cs="Arial"/>
                <w:sz w:val="20"/>
                <w:szCs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583B" w:rsidRDefault="008E3836">
            <w:pPr>
              <w:rPr>
                <w:rFonts w:ascii="Garamond" w:hAnsi="Garamond" w:cs="Arial"/>
                <w:sz w:val="20"/>
                <w:szCs w:val="20"/>
              </w:rPr>
            </w:pPr>
            <w:r>
              <w:rPr>
                <w:rFonts w:ascii="Garamond" w:hAnsi="Garamond" w:cs="Arial"/>
                <w:sz w:val="20"/>
                <w:szCs w:val="20"/>
              </w:rPr>
              <w:t>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583B" w:rsidRDefault="008E3836">
            <w:pPr>
              <w:jc w:val="center"/>
              <w:rPr>
                <w:rFonts w:ascii="Garamond" w:hAnsi="Garamond" w:cs="Arial"/>
                <w:sz w:val="20"/>
                <w:szCs w:val="20"/>
              </w:rPr>
            </w:pPr>
            <w:r>
              <w:rPr>
                <w:rFonts w:ascii="Garamond" w:hAnsi="Garamond" w:cs="Arial"/>
                <w:sz w:val="20"/>
                <w:szCs w:val="20"/>
              </w:rPr>
              <w:t> </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jc w:val="center"/>
              <w:rPr>
                <w:rFonts w:ascii="Garamond" w:hAnsi="Garamond" w:cs="Arial"/>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583B" w:rsidRDefault="008E3836">
            <w:pPr>
              <w:rPr>
                <w:rFonts w:ascii="Garamond" w:hAnsi="Garamond" w:cs="Arial"/>
                <w:sz w:val="20"/>
                <w:szCs w:val="20"/>
              </w:rPr>
            </w:pPr>
            <w:r>
              <w:rPr>
                <w:rFonts w:ascii="Garamond" w:hAnsi="Garamond" w:cs="Arial"/>
                <w:sz w:val="20"/>
                <w:szCs w:val="20"/>
              </w:rPr>
              <w:t> </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583B" w:rsidRDefault="008E3836">
            <w:pPr>
              <w:rPr>
                <w:rFonts w:ascii="Garamond" w:hAnsi="Garamond" w:cs="Arial"/>
                <w:sz w:val="20"/>
                <w:szCs w:val="20"/>
              </w:rPr>
            </w:pPr>
            <w:r>
              <w:rPr>
                <w:rFonts w:ascii="Garamond" w:hAnsi="Garamond" w:cs="Arial"/>
                <w:sz w:val="20"/>
                <w:szCs w:val="20"/>
              </w:rPr>
              <w:t> </w:t>
            </w:r>
          </w:p>
        </w:tc>
        <w:tc>
          <w:tcPr>
            <w:tcW w:w="1126" w:type="dxa"/>
            <w:tcBorders>
              <w:top w:val="single" w:sz="4" w:space="0" w:color="auto"/>
              <w:left w:val="single" w:sz="4" w:space="0" w:color="auto"/>
              <w:bottom w:val="single" w:sz="4" w:space="0" w:color="auto"/>
              <w:right w:val="single" w:sz="4" w:space="0" w:color="auto"/>
            </w:tcBorders>
          </w:tcPr>
          <w:p w:rsidR="00F4583B" w:rsidRDefault="00F4583B">
            <w:pPr>
              <w:rPr>
                <w:rFonts w:ascii="Garamond" w:hAnsi="Garamond" w:cs="Arial"/>
                <w:sz w:val="20"/>
                <w:szCs w:val="20"/>
              </w:rPr>
            </w:pPr>
          </w:p>
        </w:tc>
      </w:tr>
      <w:tr w:rsidR="00F4583B">
        <w:trPr>
          <w:trHeight w:val="362"/>
        </w:trPr>
        <w:tc>
          <w:tcPr>
            <w:tcW w:w="814" w:type="dxa"/>
            <w:vMerge/>
            <w:tcBorders>
              <w:right w:val="single" w:sz="4" w:space="0" w:color="auto"/>
            </w:tcBorders>
            <w:vAlign w:val="center"/>
          </w:tcPr>
          <w:p w:rsidR="00F4583B" w:rsidRDefault="00F4583B">
            <w:pPr>
              <w:jc w:val="center"/>
              <w:rPr>
                <w:rFonts w:ascii="Garamond" w:hAnsi="Garamond" w:cs="Arial"/>
                <w:sz w:val="20"/>
                <w:szCs w:val="20"/>
              </w:rPr>
            </w:pPr>
          </w:p>
        </w:tc>
        <w:tc>
          <w:tcPr>
            <w:tcW w:w="143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jc w:val="center"/>
              <w:rPr>
                <w:rFonts w:ascii="Garamond" w:hAnsi="Garamond" w:cs="Arial"/>
                <w:sz w:val="20"/>
                <w:szCs w:val="20"/>
              </w:rPr>
            </w:pPr>
          </w:p>
        </w:tc>
        <w:tc>
          <w:tcPr>
            <w:tcW w:w="1108" w:type="dxa"/>
            <w:tcBorders>
              <w:top w:val="single" w:sz="4" w:space="0" w:color="auto"/>
              <w:left w:val="single" w:sz="4" w:space="0" w:color="auto"/>
              <w:bottom w:val="single" w:sz="4" w:space="0" w:color="auto"/>
              <w:right w:val="single" w:sz="4" w:space="0" w:color="auto"/>
            </w:tcBorders>
          </w:tcPr>
          <w:p w:rsidR="00F4583B" w:rsidRDefault="00F4583B">
            <w:pPr>
              <w:rPr>
                <w:rFonts w:ascii="Garamond" w:hAnsi="Garamond" w:cs="Arial"/>
                <w:sz w:val="20"/>
                <w:szCs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rPr>
                <w:rFonts w:ascii="Garamond" w:hAnsi="Garamond" w:cs="Arial"/>
                <w:sz w:val="20"/>
                <w:szCs w:val="20"/>
              </w:rPr>
            </w:pP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jc w:val="center"/>
              <w:rPr>
                <w:rFonts w:ascii="Garamond" w:hAnsi="Garamond" w:cs="Arial"/>
                <w:sz w:val="20"/>
                <w:szCs w:val="20"/>
              </w:rPr>
            </w:pP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jc w:val="center"/>
              <w:rPr>
                <w:rFonts w:ascii="Garamond" w:hAnsi="Garamond" w:cs="Arial"/>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rPr>
                <w:rFonts w:ascii="Garamond" w:hAnsi="Garamond" w:cs="Arial"/>
                <w:sz w:val="20"/>
                <w:szCs w:val="20"/>
              </w:rPr>
            </w:pP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rPr>
                <w:rFonts w:ascii="Garamond" w:hAnsi="Garamond" w:cs="Arial"/>
                <w:sz w:val="20"/>
                <w:szCs w:val="20"/>
              </w:rPr>
            </w:pPr>
          </w:p>
        </w:tc>
        <w:tc>
          <w:tcPr>
            <w:tcW w:w="1126" w:type="dxa"/>
            <w:tcBorders>
              <w:top w:val="single" w:sz="4" w:space="0" w:color="auto"/>
              <w:left w:val="single" w:sz="4" w:space="0" w:color="auto"/>
              <w:bottom w:val="single" w:sz="4" w:space="0" w:color="auto"/>
              <w:right w:val="single" w:sz="4" w:space="0" w:color="auto"/>
            </w:tcBorders>
          </w:tcPr>
          <w:p w:rsidR="00F4583B" w:rsidRDefault="00F4583B">
            <w:pPr>
              <w:rPr>
                <w:rFonts w:ascii="Garamond" w:hAnsi="Garamond" w:cs="Arial"/>
                <w:sz w:val="20"/>
                <w:szCs w:val="20"/>
              </w:rPr>
            </w:pPr>
          </w:p>
        </w:tc>
      </w:tr>
      <w:tr w:rsidR="00F4583B">
        <w:trPr>
          <w:trHeight w:val="424"/>
        </w:trPr>
        <w:tc>
          <w:tcPr>
            <w:tcW w:w="7353" w:type="dxa"/>
            <w:gridSpan w:val="6"/>
            <w:tcBorders>
              <w:right w:val="single" w:sz="4" w:space="0" w:color="auto"/>
            </w:tcBorders>
            <w:vAlign w:val="center"/>
          </w:tcPr>
          <w:p w:rsidR="00F4583B" w:rsidRDefault="008E3836">
            <w:pPr>
              <w:jc w:val="right"/>
              <w:rPr>
                <w:rFonts w:ascii="Garamond" w:hAnsi="Garamond" w:cs="Arial"/>
                <w:sz w:val="20"/>
                <w:szCs w:val="20"/>
              </w:rPr>
            </w:pPr>
            <w:r>
              <w:rPr>
                <w:rFonts w:ascii="Garamond" w:hAnsi="Garamond" w:cs="Arial"/>
                <w:sz w:val="20"/>
                <w:szCs w:val="20"/>
              </w:rPr>
              <w:t>Итого по контрагенту 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rPr>
                <w:rFonts w:ascii="Garamond" w:hAnsi="Garamond" w:cs="Arial"/>
                <w:sz w:val="20"/>
                <w:szCs w:val="20"/>
              </w:rPr>
            </w:pP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rPr>
                <w:rFonts w:ascii="Garamond" w:hAnsi="Garamond" w:cs="Arial"/>
                <w:sz w:val="20"/>
                <w:szCs w:val="20"/>
              </w:rPr>
            </w:pPr>
          </w:p>
        </w:tc>
        <w:tc>
          <w:tcPr>
            <w:tcW w:w="1126" w:type="dxa"/>
            <w:tcBorders>
              <w:top w:val="single" w:sz="4" w:space="0" w:color="auto"/>
              <w:left w:val="single" w:sz="4" w:space="0" w:color="auto"/>
              <w:bottom w:val="single" w:sz="4" w:space="0" w:color="auto"/>
              <w:right w:val="single" w:sz="4" w:space="0" w:color="auto"/>
            </w:tcBorders>
          </w:tcPr>
          <w:p w:rsidR="00F4583B" w:rsidRDefault="00F4583B">
            <w:pPr>
              <w:rPr>
                <w:rFonts w:ascii="Garamond" w:hAnsi="Garamond" w:cs="Arial"/>
                <w:sz w:val="20"/>
                <w:szCs w:val="20"/>
              </w:rPr>
            </w:pPr>
          </w:p>
        </w:tc>
      </w:tr>
      <w:tr w:rsidR="00F4583B">
        <w:trPr>
          <w:trHeight w:val="424"/>
        </w:trPr>
        <w:tc>
          <w:tcPr>
            <w:tcW w:w="814" w:type="dxa"/>
            <w:vMerge w:val="restart"/>
            <w:tcBorders>
              <w:right w:val="single" w:sz="4" w:space="0" w:color="auto"/>
            </w:tcBorders>
            <w:vAlign w:val="center"/>
          </w:tcPr>
          <w:p w:rsidR="00F4583B" w:rsidRDefault="008E3836">
            <w:pPr>
              <w:jc w:val="center"/>
              <w:rPr>
                <w:rFonts w:ascii="Garamond" w:hAnsi="Garamond" w:cs="Arial"/>
                <w:sz w:val="20"/>
                <w:szCs w:val="20"/>
              </w:rPr>
            </w:pPr>
            <w:r>
              <w:rPr>
                <w:rFonts w:ascii="Garamond" w:hAnsi="Garamond" w:cs="Arial"/>
                <w:sz w:val="20"/>
                <w:szCs w:val="20"/>
              </w:rPr>
              <w:t>2</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8E3836">
            <w:pPr>
              <w:jc w:val="center"/>
              <w:rPr>
                <w:rFonts w:ascii="Garamond" w:hAnsi="Garamond" w:cs="Arial"/>
                <w:sz w:val="20"/>
                <w:szCs w:val="20"/>
              </w:rPr>
            </w:pPr>
            <w:r>
              <w:rPr>
                <w:rFonts w:ascii="Garamond" w:hAnsi="Garamond" w:cs="Arial"/>
                <w:sz w:val="20"/>
                <w:szCs w:val="20"/>
              </w:rPr>
              <w:t>Контрагент 2</w:t>
            </w:r>
          </w:p>
        </w:tc>
        <w:tc>
          <w:tcPr>
            <w:tcW w:w="1108" w:type="dxa"/>
            <w:tcBorders>
              <w:top w:val="single" w:sz="4" w:space="0" w:color="auto"/>
              <w:left w:val="single" w:sz="4" w:space="0" w:color="auto"/>
              <w:bottom w:val="single" w:sz="4" w:space="0" w:color="auto"/>
              <w:right w:val="single" w:sz="4" w:space="0" w:color="auto"/>
            </w:tcBorders>
          </w:tcPr>
          <w:p w:rsidR="00F4583B" w:rsidRDefault="00F4583B">
            <w:pPr>
              <w:rPr>
                <w:rFonts w:ascii="Garamond" w:hAnsi="Garamond" w:cs="Arial"/>
                <w:sz w:val="20"/>
                <w:szCs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rPr>
                <w:rFonts w:ascii="Garamond" w:hAnsi="Garamond" w:cs="Arial"/>
                <w:sz w:val="20"/>
                <w:szCs w:val="20"/>
              </w:rPr>
            </w:pP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jc w:val="center"/>
              <w:rPr>
                <w:rFonts w:ascii="Garamond" w:hAnsi="Garamond" w:cs="Arial"/>
                <w:sz w:val="20"/>
                <w:szCs w:val="20"/>
              </w:rPr>
            </w:pP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jc w:val="center"/>
              <w:rPr>
                <w:rFonts w:ascii="Garamond" w:hAnsi="Garamond" w:cs="Arial"/>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rPr>
                <w:rFonts w:ascii="Garamond" w:hAnsi="Garamond" w:cs="Arial"/>
                <w:sz w:val="20"/>
                <w:szCs w:val="20"/>
              </w:rPr>
            </w:pP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rPr>
                <w:rFonts w:ascii="Garamond" w:hAnsi="Garamond" w:cs="Arial"/>
                <w:sz w:val="20"/>
                <w:szCs w:val="20"/>
              </w:rPr>
            </w:pPr>
          </w:p>
        </w:tc>
        <w:tc>
          <w:tcPr>
            <w:tcW w:w="1126" w:type="dxa"/>
            <w:tcBorders>
              <w:top w:val="single" w:sz="4" w:space="0" w:color="auto"/>
              <w:left w:val="single" w:sz="4" w:space="0" w:color="auto"/>
              <w:bottom w:val="single" w:sz="4" w:space="0" w:color="auto"/>
              <w:right w:val="single" w:sz="4" w:space="0" w:color="auto"/>
            </w:tcBorders>
          </w:tcPr>
          <w:p w:rsidR="00F4583B" w:rsidRDefault="00F4583B">
            <w:pPr>
              <w:rPr>
                <w:rFonts w:ascii="Garamond" w:hAnsi="Garamond" w:cs="Arial"/>
                <w:sz w:val="20"/>
                <w:szCs w:val="20"/>
              </w:rPr>
            </w:pPr>
          </w:p>
        </w:tc>
      </w:tr>
      <w:tr w:rsidR="00F4583B">
        <w:trPr>
          <w:trHeight w:val="326"/>
        </w:trPr>
        <w:tc>
          <w:tcPr>
            <w:tcW w:w="814" w:type="dxa"/>
            <w:vMerge/>
            <w:tcBorders>
              <w:right w:val="single" w:sz="4" w:space="0" w:color="auto"/>
            </w:tcBorders>
            <w:vAlign w:val="center"/>
          </w:tcPr>
          <w:p w:rsidR="00F4583B" w:rsidRDefault="00F4583B">
            <w:pPr>
              <w:jc w:val="center"/>
              <w:rPr>
                <w:rFonts w:ascii="Garamond" w:hAnsi="Garamond" w:cs="Arial"/>
                <w:sz w:val="20"/>
                <w:szCs w:val="20"/>
              </w:rPr>
            </w:pPr>
          </w:p>
        </w:tc>
        <w:tc>
          <w:tcPr>
            <w:tcW w:w="143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jc w:val="center"/>
              <w:rPr>
                <w:rFonts w:ascii="Garamond" w:hAnsi="Garamond" w:cs="Arial"/>
                <w:sz w:val="20"/>
                <w:szCs w:val="20"/>
              </w:rPr>
            </w:pPr>
          </w:p>
        </w:tc>
        <w:tc>
          <w:tcPr>
            <w:tcW w:w="1108" w:type="dxa"/>
            <w:tcBorders>
              <w:top w:val="single" w:sz="4" w:space="0" w:color="auto"/>
              <w:left w:val="single" w:sz="4" w:space="0" w:color="auto"/>
              <w:bottom w:val="single" w:sz="4" w:space="0" w:color="auto"/>
              <w:right w:val="single" w:sz="4" w:space="0" w:color="auto"/>
            </w:tcBorders>
          </w:tcPr>
          <w:p w:rsidR="00F4583B" w:rsidRDefault="00F4583B">
            <w:pPr>
              <w:rPr>
                <w:rFonts w:ascii="Garamond" w:hAnsi="Garamond" w:cs="Arial"/>
                <w:sz w:val="20"/>
                <w:szCs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rPr>
                <w:rFonts w:ascii="Garamond" w:hAnsi="Garamond" w:cs="Arial"/>
                <w:sz w:val="20"/>
                <w:szCs w:val="20"/>
              </w:rPr>
            </w:pP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jc w:val="center"/>
              <w:rPr>
                <w:rFonts w:ascii="Garamond" w:hAnsi="Garamond" w:cs="Arial"/>
                <w:sz w:val="20"/>
                <w:szCs w:val="20"/>
              </w:rPr>
            </w:pP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jc w:val="center"/>
              <w:rPr>
                <w:rFonts w:ascii="Garamond" w:hAnsi="Garamond" w:cs="Arial"/>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rPr>
                <w:rFonts w:ascii="Garamond" w:hAnsi="Garamond" w:cs="Arial"/>
                <w:sz w:val="20"/>
                <w:szCs w:val="20"/>
              </w:rPr>
            </w:pP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rPr>
                <w:rFonts w:ascii="Garamond" w:hAnsi="Garamond" w:cs="Arial"/>
                <w:sz w:val="20"/>
                <w:szCs w:val="20"/>
              </w:rPr>
            </w:pPr>
          </w:p>
        </w:tc>
        <w:tc>
          <w:tcPr>
            <w:tcW w:w="1126" w:type="dxa"/>
            <w:tcBorders>
              <w:top w:val="single" w:sz="4" w:space="0" w:color="auto"/>
              <w:left w:val="single" w:sz="4" w:space="0" w:color="auto"/>
              <w:bottom w:val="single" w:sz="4" w:space="0" w:color="auto"/>
              <w:right w:val="single" w:sz="4" w:space="0" w:color="auto"/>
            </w:tcBorders>
          </w:tcPr>
          <w:p w:rsidR="00F4583B" w:rsidRDefault="00F4583B">
            <w:pPr>
              <w:rPr>
                <w:rFonts w:ascii="Garamond" w:hAnsi="Garamond" w:cs="Arial"/>
                <w:sz w:val="20"/>
                <w:szCs w:val="20"/>
              </w:rPr>
            </w:pPr>
          </w:p>
        </w:tc>
      </w:tr>
      <w:tr w:rsidR="00F4583B">
        <w:trPr>
          <w:trHeight w:val="250"/>
        </w:trPr>
        <w:tc>
          <w:tcPr>
            <w:tcW w:w="7353" w:type="dxa"/>
            <w:gridSpan w:val="6"/>
            <w:tcBorders>
              <w:right w:val="single" w:sz="4" w:space="0" w:color="auto"/>
            </w:tcBorders>
            <w:vAlign w:val="center"/>
          </w:tcPr>
          <w:p w:rsidR="00F4583B" w:rsidRDefault="008E3836">
            <w:pPr>
              <w:jc w:val="right"/>
              <w:rPr>
                <w:rFonts w:ascii="Garamond" w:hAnsi="Garamond" w:cs="Arial"/>
                <w:sz w:val="20"/>
                <w:szCs w:val="20"/>
              </w:rPr>
            </w:pPr>
            <w:r>
              <w:rPr>
                <w:rFonts w:ascii="Garamond" w:hAnsi="Garamond" w:cs="Arial"/>
                <w:sz w:val="20"/>
                <w:szCs w:val="20"/>
              </w:rPr>
              <w:t>Итого по контрагенту 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rPr>
                <w:rFonts w:ascii="Garamond" w:hAnsi="Garamond" w:cs="Arial"/>
                <w:sz w:val="20"/>
                <w:szCs w:val="20"/>
              </w:rPr>
            </w:pP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rPr>
                <w:rFonts w:ascii="Garamond" w:hAnsi="Garamond" w:cs="Arial"/>
                <w:sz w:val="20"/>
                <w:szCs w:val="20"/>
              </w:rPr>
            </w:pPr>
          </w:p>
        </w:tc>
        <w:tc>
          <w:tcPr>
            <w:tcW w:w="1126" w:type="dxa"/>
            <w:tcBorders>
              <w:top w:val="single" w:sz="4" w:space="0" w:color="auto"/>
              <w:left w:val="single" w:sz="4" w:space="0" w:color="auto"/>
              <w:bottom w:val="single" w:sz="4" w:space="0" w:color="auto"/>
              <w:right w:val="single" w:sz="4" w:space="0" w:color="auto"/>
            </w:tcBorders>
          </w:tcPr>
          <w:p w:rsidR="00F4583B" w:rsidRDefault="00F4583B">
            <w:pPr>
              <w:rPr>
                <w:rFonts w:ascii="Garamond" w:hAnsi="Garamond" w:cs="Arial"/>
                <w:sz w:val="20"/>
                <w:szCs w:val="20"/>
              </w:rPr>
            </w:pPr>
          </w:p>
        </w:tc>
      </w:tr>
      <w:tr w:rsidR="00F4583B">
        <w:trPr>
          <w:trHeight w:val="250"/>
        </w:trPr>
        <w:tc>
          <w:tcPr>
            <w:tcW w:w="814" w:type="dxa"/>
            <w:tcBorders>
              <w:right w:val="single" w:sz="4" w:space="0" w:color="auto"/>
            </w:tcBorders>
            <w:vAlign w:val="center"/>
          </w:tcPr>
          <w:p w:rsidR="00F4583B" w:rsidRDefault="00F4583B">
            <w:pPr>
              <w:jc w:val="center"/>
              <w:rPr>
                <w:rFonts w:ascii="Garamond" w:hAnsi="Garamond" w:cs="Arial"/>
                <w:sz w:val="20"/>
                <w:szCs w:val="20"/>
              </w:rPr>
            </w:pPr>
          </w:p>
        </w:tc>
        <w:tc>
          <w:tcPr>
            <w:tcW w:w="1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8E3836">
            <w:pPr>
              <w:jc w:val="center"/>
              <w:rPr>
                <w:rFonts w:ascii="Garamond" w:hAnsi="Garamond" w:cs="Arial"/>
                <w:sz w:val="20"/>
                <w:szCs w:val="20"/>
              </w:rPr>
            </w:pPr>
            <w:r>
              <w:rPr>
                <w:rFonts w:ascii="Garamond" w:hAnsi="Garamond" w:cs="Arial"/>
                <w:sz w:val="20"/>
                <w:szCs w:val="20"/>
              </w:rPr>
              <w:t>ВСЕГО:</w:t>
            </w:r>
          </w:p>
        </w:tc>
        <w:tc>
          <w:tcPr>
            <w:tcW w:w="1108" w:type="dxa"/>
            <w:tcBorders>
              <w:top w:val="single" w:sz="4" w:space="0" w:color="auto"/>
              <w:left w:val="single" w:sz="4" w:space="0" w:color="auto"/>
              <w:bottom w:val="single" w:sz="4" w:space="0" w:color="auto"/>
              <w:right w:val="single" w:sz="4" w:space="0" w:color="auto"/>
            </w:tcBorders>
          </w:tcPr>
          <w:p w:rsidR="00F4583B" w:rsidRDefault="00F4583B">
            <w:pPr>
              <w:rPr>
                <w:rFonts w:ascii="Garamond" w:hAnsi="Garamond" w:cs="Arial"/>
                <w:sz w:val="20"/>
                <w:szCs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rPr>
                <w:rFonts w:ascii="Garamond" w:hAnsi="Garamond" w:cs="Arial"/>
                <w:sz w:val="20"/>
                <w:szCs w:val="20"/>
              </w:rPr>
            </w:pP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jc w:val="center"/>
              <w:rPr>
                <w:rFonts w:ascii="Garamond" w:hAnsi="Garamond" w:cs="Arial"/>
                <w:sz w:val="20"/>
                <w:szCs w:val="20"/>
              </w:rPr>
            </w:pP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jc w:val="center"/>
              <w:rPr>
                <w:rFonts w:ascii="Garamond" w:hAnsi="Garamond" w:cs="Arial"/>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rPr>
                <w:rFonts w:ascii="Garamond" w:hAnsi="Garamond" w:cs="Arial"/>
                <w:sz w:val="20"/>
                <w:szCs w:val="20"/>
              </w:rPr>
            </w:pP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3B" w:rsidRDefault="00F4583B">
            <w:pPr>
              <w:rPr>
                <w:rFonts w:ascii="Garamond" w:hAnsi="Garamond" w:cs="Arial"/>
                <w:sz w:val="20"/>
                <w:szCs w:val="20"/>
              </w:rPr>
            </w:pPr>
          </w:p>
        </w:tc>
        <w:tc>
          <w:tcPr>
            <w:tcW w:w="1126" w:type="dxa"/>
            <w:tcBorders>
              <w:top w:val="single" w:sz="4" w:space="0" w:color="auto"/>
              <w:left w:val="single" w:sz="4" w:space="0" w:color="auto"/>
              <w:bottom w:val="single" w:sz="4" w:space="0" w:color="auto"/>
              <w:right w:val="single" w:sz="4" w:space="0" w:color="auto"/>
            </w:tcBorders>
          </w:tcPr>
          <w:p w:rsidR="00F4583B" w:rsidRDefault="00F4583B">
            <w:pPr>
              <w:rPr>
                <w:rFonts w:ascii="Garamond" w:hAnsi="Garamond" w:cs="Arial"/>
                <w:sz w:val="20"/>
                <w:szCs w:val="20"/>
              </w:rPr>
            </w:pPr>
          </w:p>
        </w:tc>
      </w:tr>
    </w:tbl>
    <w:p w:rsidR="00F4583B" w:rsidRDefault="00F4583B">
      <w:pPr>
        <w:rPr>
          <w:rFonts w:ascii="Garamond" w:hAnsi="Garamond"/>
          <w:i/>
          <w:sz w:val="20"/>
          <w:szCs w:val="20"/>
        </w:rPr>
      </w:pPr>
    </w:p>
    <w:p w:rsidR="00F4583B" w:rsidRDefault="00F4583B">
      <w:pPr>
        <w:rPr>
          <w:rFonts w:ascii="Garamond" w:hAnsi="Garamond"/>
          <w:i/>
          <w:sz w:val="20"/>
          <w:szCs w:val="20"/>
        </w:rPr>
      </w:pPr>
    </w:p>
    <w:p w:rsidR="00F4583B" w:rsidRDefault="00F4583B">
      <w:pPr>
        <w:rPr>
          <w:rFonts w:ascii="Garamond" w:hAnsi="Garamond"/>
          <w:i/>
          <w:sz w:val="20"/>
          <w:szCs w:val="20"/>
        </w:rPr>
      </w:pPr>
    </w:p>
    <w:p w:rsidR="00F4583B" w:rsidRDefault="00F4583B">
      <w:pPr>
        <w:rPr>
          <w:rFonts w:ascii="Garamond" w:hAnsi="Garamond"/>
          <w:i/>
          <w:sz w:val="20"/>
          <w:szCs w:val="20"/>
        </w:rPr>
        <w:sectPr w:rsidR="00F4583B">
          <w:footerReference w:type="default" r:id="rId9"/>
          <w:footnotePr>
            <w:numRestart w:val="eachPage"/>
          </w:footnotePr>
          <w:type w:val="continuous"/>
          <w:pgSz w:w="16839" w:h="11907" w:orient="landscape" w:code="9"/>
          <w:pgMar w:top="1134" w:right="679" w:bottom="1134" w:left="1418" w:header="709" w:footer="709" w:gutter="0"/>
          <w:cols w:space="708"/>
          <w:docGrid w:linePitch="360"/>
        </w:sectPr>
      </w:pPr>
    </w:p>
    <w:p w:rsidR="00F4583B" w:rsidRDefault="00F4583B">
      <w:pPr>
        <w:rPr>
          <w:rFonts w:ascii="Garamond" w:hAnsi="Garamond"/>
          <w:sz w:val="24"/>
          <w:szCs w:val="20"/>
        </w:rPr>
      </w:pPr>
    </w:p>
    <w:p w:rsidR="00F4583B" w:rsidRDefault="00F4583B">
      <w:pPr>
        <w:rPr>
          <w:rFonts w:ascii="Garamond" w:hAnsi="Garamond"/>
          <w:sz w:val="24"/>
          <w:szCs w:val="20"/>
        </w:rPr>
      </w:pPr>
    </w:p>
    <w:p w:rsidR="00F4583B" w:rsidRDefault="00F4583B">
      <w:pPr>
        <w:rPr>
          <w:rFonts w:ascii="Garamond" w:hAnsi="Garamond"/>
          <w:sz w:val="24"/>
          <w:szCs w:val="20"/>
        </w:rPr>
      </w:pPr>
    </w:p>
    <w:p w:rsidR="00F4583B" w:rsidRDefault="00F4583B">
      <w:pPr>
        <w:rPr>
          <w:rFonts w:ascii="Garamond" w:hAnsi="Garamond"/>
          <w:sz w:val="24"/>
          <w:szCs w:val="20"/>
        </w:rPr>
      </w:pPr>
    </w:p>
    <w:p w:rsidR="00F4583B" w:rsidRDefault="00F4583B">
      <w:pPr>
        <w:rPr>
          <w:rFonts w:ascii="Garamond" w:hAnsi="Garamond"/>
          <w:sz w:val="24"/>
          <w:szCs w:val="20"/>
        </w:rPr>
      </w:pPr>
    </w:p>
    <w:p w:rsidR="00F4583B" w:rsidRDefault="00F4583B">
      <w:pPr>
        <w:rPr>
          <w:rFonts w:ascii="Garamond" w:hAnsi="Garamond"/>
          <w:sz w:val="24"/>
          <w:szCs w:val="20"/>
        </w:rPr>
      </w:pPr>
    </w:p>
    <w:p w:rsidR="00F4583B" w:rsidRDefault="00F4583B">
      <w:pPr>
        <w:rPr>
          <w:rFonts w:ascii="Garamond" w:hAnsi="Garamond"/>
          <w:sz w:val="24"/>
          <w:szCs w:val="20"/>
        </w:rPr>
      </w:pPr>
    </w:p>
    <w:p w:rsidR="00F4583B" w:rsidRDefault="00F4583B">
      <w:pPr>
        <w:rPr>
          <w:rFonts w:ascii="Garamond" w:hAnsi="Garamond"/>
          <w:sz w:val="24"/>
          <w:szCs w:val="20"/>
        </w:rPr>
      </w:pPr>
    </w:p>
    <w:p w:rsidR="00F4583B" w:rsidRDefault="00F4583B">
      <w:pPr>
        <w:rPr>
          <w:rFonts w:ascii="Garamond" w:hAnsi="Garamond"/>
          <w:i/>
          <w:sz w:val="20"/>
          <w:szCs w:val="20"/>
        </w:rPr>
      </w:pPr>
    </w:p>
    <w:p w:rsidR="008E3836" w:rsidRDefault="008E3836">
      <w:pPr>
        <w:rPr>
          <w:rFonts w:ascii="Garamond" w:hAnsi="Garamond"/>
          <w:i/>
          <w:sz w:val="20"/>
          <w:szCs w:val="20"/>
        </w:rPr>
      </w:pPr>
    </w:p>
    <w:p w:rsidR="00F4583B" w:rsidRDefault="008E3836">
      <w:pPr>
        <w:rPr>
          <w:rFonts w:ascii="Garamond" w:hAnsi="Garamond"/>
          <w:sz w:val="20"/>
          <w:szCs w:val="20"/>
        </w:rPr>
      </w:pPr>
      <w:r>
        <w:rPr>
          <w:rFonts w:ascii="Garamond" w:hAnsi="Garamond"/>
          <w:i/>
          <w:sz w:val="20"/>
          <w:szCs w:val="20"/>
        </w:rPr>
        <w:lastRenderedPageBreak/>
        <w:t>Примечания</w:t>
      </w:r>
      <w:r>
        <w:rPr>
          <w:rFonts w:ascii="Garamond" w:hAnsi="Garamond"/>
          <w:sz w:val="20"/>
          <w:szCs w:val="20"/>
        </w:rPr>
        <w:t>.</w:t>
      </w:r>
    </w:p>
    <w:p w:rsidR="00F4583B" w:rsidRPr="007F6CE6" w:rsidRDefault="008E3836">
      <w:pPr>
        <w:numPr>
          <w:ilvl w:val="0"/>
          <w:numId w:val="6"/>
        </w:numPr>
        <w:spacing w:after="0" w:line="240" w:lineRule="auto"/>
        <w:ind w:left="284" w:hanging="284"/>
        <w:jc w:val="both"/>
        <w:rPr>
          <w:rFonts w:ascii="Garamond" w:hAnsi="Garamond"/>
          <w:sz w:val="20"/>
          <w:szCs w:val="20"/>
        </w:rPr>
      </w:pPr>
      <w:r>
        <w:rPr>
          <w:rFonts w:ascii="Garamond" w:hAnsi="Garamond"/>
          <w:sz w:val="20"/>
          <w:szCs w:val="20"/>
        </w:rPr>
        <w:t xml:space="preserve">В </w:t>
      </w:r>
      <w:r w:rsidRPr="007F6CE6">
        <w:rPr>
          <w:rFonts w:ascii="Garamond" w:hAnsi="Garamond"/>
          <w:sz w:val="20"/>
          <w:szCs w:val="20"/>
        </w:rPr>
        <w:t xml:space="preserve">столбце 2 указывается наименование участника </w:t>
      </w:r>
      <w:r w:rsidR="007F6CE6" w:rsidRPr="007F6CE6">
        <w:rPr>
          <w:rFonts w:ascii="Garamond" w:hAnsi="Garamond"/>
          <w:sz w:val="20"/>
          <w:szCs w:val="20"/>
        </w:rPr>
        <w:t xml:space="preserve">– </w:t>
      </w:r>
      <w:r w:rsidRPr="007F6CE6">
        <w:rPr>
          <w:rFonts w:ascii="Garamond" w:hAnsi="Garamond"/>
          <w:sz w:val="20"/>
          <w:szCs w:val="20"/>
        </w:rPr>
        <w:t>плательщика (должника)</w:t>
      </w:r>
      <w:r w:rsidR="00AF39CA" w:rsidRPr="007F6CE6">
        <w:rPr>
          <w:rFonts w:ascii="Garamond" w:hAnsi="Garamond"/>
          <w:sz w:val="20"/>
          <w:szCs w:val="20"/>
        </w:rPr>
        <w:t xml:space="preserve"> </w:t>
      </w:r>
      <w:r w:rsidRPr="007F6CE6">
        <w:rPr>
          <w:rFonts w:ascii="Garamond" w:hAnsi="Garamond"/>
          <w:sz w:val="20"/>
          <w:szCs w:val="20"/>
        </w:rPr>
        <w:t>/</w:t>
      </w:r>
      <w:r w:rsidR="00AF39CA" w:rsidRPr="007F6CE6">
        <w:rPr>
          <w:rFonts w:ascii="Garamond" w:hAnsi="Garamond"/>
          <w:sz w:val="20"/>
          <w:szCs w:val="20"/>
        </w:rPr>
        <w:t xml:space="preserve"> </w:t>
      </w:r>
      <w:r w:rsidRPr="007F6CE6">
        <w:rPr>
          <w:rFonts w:ascii="Garamond" w:hAnsi="Garamond"/>
          <w:sz w:val="20"/>
          <w:szCs w:val="20"/>
        </w:rPr>
        <w:t>получателя (кредитора) денежных средств в соответствующем обязательстве, подлежащем оплате в соответствии с разделом 19 Регламента финансовых расчетов на оптовом рынке</w:t>
      </w:r>
      <w:r w:rsidR="007F6CE6" w:rsidRPr="007F6CE6">
        <w:rPr>
          <w:rFonts w:ascii="Garamond" w:hAnsi="Garamond"/>
          <w:sz w:val="20"/>
          <w:szCs w:val="20"/>
        </w:rPr>
        <w:t xml:space="preserve"> </w:t>
      </w:r>
      <w:r w:rsidR="007F6CE6" w:rsidRPr="007F6CE6">
        <w:rPr>
          <w:rFonts w:ascii="Garamond" w:hAnsi="Garamond"/>
          <w:sz w:val="20"/>
          <w:szCs w:val="20"/>
        </w:rPr>
        <w:t>электроэнергии</w:t>
      </w:r>
      <w:r w:rsidRPr="007F6CE6">
        <w:rPr>
          <w:rFonts w:ascii="Garamond" w:hAnsi="Garamond"/>
          <w:sz w:val="20"/>
          <w:szCs w:val="20"/>
        </w:rPr>
        <w:t>.</w:t>
      </w:r>
    </w:p>
    <w:p w:rsidR="00F4583B" w:rsidRPr="007F6CE6" w:rsidRDefault="008E3836">
      <w:pPr>
        <w:numPr>
          <w:ilvl w:val="0"/>
          <w:numId w:val="6"/>
        </w:numPr>
        <w:tabs>
          <w:tab w:val="left" w:pos="284"/>
        </w:tabs>
        <w:spacing w:after="0" w:line="240" w:lineRule="auto"/>
        <w:ind w:left="284" w:hanging="284"/>
        <w:jc w:val="both"/>
        <w:rPr>
          <w:rFonts w:ascii="Garamond" w:hAnsi="Garamond"/>
          <w:sz w:val="20"/>
          <w:szCs w:val="20"/>
        </w:rPr>
      </w:pPr>
      <w:r w:rsidRPr="007F6CE6">
        <w:rPr>
          <w:rFonts w:ascii="Garamond" w:hAnsi="Garamond"/>
          <w:sz w:val="20"/>
          <w:szCs w:val="20"/>
        </w:rPr>
        <w:t xml:space="preserve">В столбце 3 указывается код участника </w:t>
      </w:r>
      <w:r w:rsidR="007F6CE6" w:rsidRPr="007F6CE6">
        <w:rPr>
          <w:rFonts w:ascii="Garamond" w:hAnsi="Garamond"/>
          <w:sz w:val="20"/>
          <w:szCs w:val="20"/>
        </w:rPr>
        <w:t xml:space="preserve">– </w:t>
      </w:r>
      <w:r w:rsidRPr="007F6CE6">
        <w:rPr>
          <w:rFonts w:ascii="Garamond" w:hAnsi="Garamond"/>
          <w:sz w:val="20"/>
          <w:szCs w:val="20"/>
        </w:rPr>
        <w:t>плательщика (должника)</w:t>
      </w:r>
      <w:r w:rsidR="00AF39CA" w:rsidRPr="007F6CE6">
        <w:rPr>
          <w:rFonts w:ascii="Garamond" w:hAnsi="Garamond"/>
          <w:sz w:val="20"/>
          <w:szCs w:val="20"/>
        </w:rPr>
        <w:t xml:space="preserve"> </w:t>
      </w:r>
      <w:r w:rsidRPr="007F6CE6">
        <w:rPr>
          <w:rFonts w:ascii="Garamond" w:hAnsi="Garamond"/>
          <w:sz w:val="20"/>
          <w:szCs w:val="20"/>
        </w:rPr>
        <w:t>/</w:t>
      </w:r>
      <w:r w:rsidR="00AF39CA" w:rsidRPr="007F6CE6">
        <w:rPr>
          <w:rFonts w:ascii="Garamond" w:hAnsi="Garamond"/>
          <w:sz w:val="20"/>
          <w:szCs w:val="20"/>
        </w:rPr>
        <w:t xml:space="preserve"> </w:t>
      </w:r>
      <w:r w:rsidRPr="007F6CE6">
        <w:rPr>
          <w:rFonts w:ascii="Garamond" w:hAnsi="Garamond"/>
          <w:sz w:val="20"/>
          <w:szCs w:val="20"/>
        </w:rPr>
        <w:t>получателя (кредитора) денежных средств в соответствующем обязательстве, подлежащем оплате в соответствии с разделом 19 Регламента финансовых расчетов на оптовом рынке</w:t>
      </w:r>
      <w:r w:rsidR="007F6CE6" w:rsidRPr="007F6CE6">
        <w:rPr>
          <w:rFonts w:ascii="Garamond" w:hAnsi="Garamond"/>
          <w:sz w:val="20"/>
          <w:szCs w:val="20"/>
        </w:rPr>
        <w:t xml:space="preserve"> </w:t>
      </w:r>
      <w:r w:rsidR="007F6CE6" w:rsidRPr="007F6CE6">
        <w:rPr>
          <w:rFonts w:ascii="Garamond" w:hAnsi="Garamond"/>
          <w:sz w:val="20"/>
          <w:szCs w:val="20"/>
        </w:rPr>
        <w:t>электроэнергии</w:t>
      </w:r>
      <w:r w:rsidRPr="007F6CE6">
        <w:rPr>
          <w:rFonts w:ascii="Garamond" w:hAnsi="Garamond"/>
          <w:sz w:val="20"/>
          <w:szCs w:val="20"/>
        </w:rPr>
        <w:t>.</w:t>
      </w:r>
    </w:p>
    <w:p w:rsidR="00F4583B" w:rsidRDefault="008E3836">
      <w:pPr>
        <w:numPr>
          <w:ilvl w:val="0"/>
          <w:numId w:val="6"/>
        </w:numPr>
        <w:spacing w:after="0" w:line="240" w:lineRule="auto"/>
        <w:ind w:left="284" w:hanging="284"/>
        <w:jc w:val="both"/>
        <w:rPr>
          <w:rFonts w:ascii="Garamond" w:hAnsi="Garamond"/>
          <w:sz w:val="20"/>
          <w:szCs w:val="20"/>
        </w:rPr>
      </w:pPr>
      <w:r w:rsidRPr="007F6CE6">
        <w:rPr>
          <w:rFonts w:ascii="Garamond" w:hAnsi="Garamond"/>
          <w:sz w:val="20"/>
          <w:szCs w:val="20"/>
        </w:rPr>
        <w:t>В столбце</w:t>
      </w:r>
      <w:r>
        <w:rPr>
          <w:rFonts w:ascii="Garamond" w:hAnsi="Garamond"/>
          <w:sz w:val="20"/>
          <w:szCs w:val="20"/>
        </w:rPr>
        <w:t xml:space="preserve"> 4 указывается номер первичного договора купли-продажи, заключенного с ЦФР, по которому сформировано обязательство, подлежащее оплате в соответствии с разделом 19 Регламента финансовых расчетов на оптовом рынке</w:t>
      </w:r>
      <w:r w:rsidR="007F6CE6">
        <w:rPr>
          <w:rFonts w:ascii="Garamond" w:hAnsi="Garamond"/>
          <w:sz w:val="20"/>
          <w:szCs w:val="20"/>
        </w:rPr>
        <w:t xml:space="preserve"> </w:t>
      </w:r>
      <w:r w:rsidR="007F6CE6">
        <w:rPr>
          <w:rFonts w:ascii="Garamond" w:hAnsi="Garamond"/>
          <w:sz w:val="20"/>
          <w:szCs w:val="20"/>
        </w:rPr>
        <w:t>электроэнергии</w:t>
      </w:r>
      <w:r>
        <w:rPr>
          <w:rFonts w:ascii="Garamond" w:hAnsi="Garamond"/>
          <w:sz w:val="20"/>
          <w:szCs w:val="20"/>
        </w:rPr>
        <w:t>.</w:t>
      </w:r>
    </w:p>
    <w:p w:rsidR="00F4583B" w:rsidRDefault="008E3836">
      <w:pPr>
        <w:numPr>
          <w:ilvl w:val="0"/>
          <w:numId w:val="6"/>
        </w:numPr>
        <w:spacing w:after="0" w:line="240" w:lineRule="auto"/>
        <w:ind w:left="284" w:hanging="284"/>
        <w:jc w:val="both"/>
        <w:rPr>
          <w:rFonts w:ascii="Garamond" w:hAnsi="Garamond"/>
          <w:sz w:val="20"/>
          <w:szCs w:val="20"/>
        </w:rPr>
      </w:pPr>
      <w:r>
        <w:rPr>
          <w:rFonts w:ascii="Garamond" w:hAnsi="Garamond"/>
          <w:sz w:val="20"/>
          <w:szCs w:val="20"/>
        </w:rPr>
        <w:t>В столбце 5 указывается номер договора уступки прав (цессии), в соответствии с которым права требования по неисполненному договору купли-продажи, заключенному с ЦФР, были переданы участнику оптового рынка, являющемуся комитентом в договорах комиссии, заключенных с ЦФР.</w:t>
      </w:r>
    </w:p>
    <w:p w:rsidR="00F4583B" w:rsidRDefault="008E3836">
      <w:pPr>
        <w:numPr>
          <w:ilvl w:val="0"/>
          <w:numId w:val="6"/>
        </w:numPr>
        <w:spacing w:after="0" w:line="240" w:lineRule="auto"/>
        <w:ind w:left="284" w:hanging="284"/>
        <w:jc w:val="both"/>
        <w:rPr>
          <w:rFonts w:ascii="Garamond" w:hAnsi="Garamond"/>
          <w:sz w:val="20"/>
          <w:szCs w:val="20"/>
        </w:rPr>
      </w:pPr>
      <w:r>
        <w:rPr>
          <w:rFonts w:ascii="Garamond" w:hAnsi="Garamond"/>
          <w:sz w:val="20"/>
          <w:szCs w:val="20"/>
        </w:rPr>
        <w:t>В столбце 6 указывается период, за который сформировано обязательство, подлежащее оплате в соответствии с разделом 19 Регламента финансовых расчетов на оптовом рынке</w:t>
      </w:r>
      <w:r w:rsidR="007F6CE6">
        <w:rPr>
          <w:rFonts w:ascii="Garamond" w:hAnsi="Garamond"/>
          <w:sz w:val="20"/>
          <w:szCs w:val="20"/>
        </w:rPr>
        <w:t xml:space="preserve"> </w:t>
      </w:r>
      <w:r w:rsidR="007F6CE6">
        <w:rPr>
          <w:rFonts w:ascii="Garamond" w:hAnsi="Garamond"/>
          <w:sz w:val="20"/>
          <w:szCs w:val="20"/>
        </w:rPr>
        <w:t>электроэнергии</w:t>
      </w:r>
      <w:r>
        <w:rPr>
          <w:rFonts w:ascii="Garamond" w:hAnsi="Garamond"/>
          <w:sz w:val="20"/>
          <w:szCs w:val="20"/>
        </w:rPr>
        <w:t>.</w:t>
      </w:r>
    </w:p>
    <w:p w:rsidR="00F4583B" w:rsidRDefault="008E3836">
      <w:pPr>
        <w:numPr>
          <w:ilvl w:val="0"/>
          <w:numId w:val="6"/>
        </w:numPr>
        <w:spacing w:after="0" w:line="240" w:lineRule="auto"/>
        <w:ind w:left="284" w:hanging="284"/>
        <w:jc w:val="both"/>
        <w:rPr>
          <w:rFonts w:ascii="Garamond" w:hAnsi="Garamond"/>
          <w:sz w:val="20"/>
          <w:szCs w:val="20"/>
        </w:rPr>
      </w:pPr>
      <w:r>
        <w:rPr>
          <w:rFonts w:ascii="Garamond" w:hAnsi="Garamond"/>
          <w:sz w:val="20"/>
          <w:szCs w:val="20"/>
        </w:rPr>
        <w:t>В столбце 7 указывается задолженность по договору за указанный период, по которому сформировано обязательство, подлежащее оплате, до уч</w:t>
      </w:r>
      <w:r w:rsidR="00AF39CA">
        <w:rPr>
          <w:rFonts w:ascii="Garamond" w:hAnsi="Garamond"/>
          <w:sz w:val="20"/>
          <w:szCs w:val="20"/>
        </w:rPr>
        <w:t>е</w:t>
      </w:r>
      <w:r>
        <w:rPr>
          <w:rFonts w:ascii="Garamond" w:hAnsi="Garamond"/>
          <w:sz w:val="20"/>
          <w:szCs w:val="20"/>
        </w:rPr>
        <w:t>та исполнения данного обязательства в соответствии с разделом 19 Регламента финансовых расчетов на оптовом рынке</w:t>
      </w:r>
      <w:r w:rsidR="007F6CE6">
        <w:rPr>
          <w:rFonts w:ascii="Garamond" w:hAnsi="Garamond"/>
          <w:sz w:val="20"/>
          <w:szCs w:val="20"/>
        </w:rPr>
        <w:t xml:space="preserve"> </w:t>
      </w:r>
      <w:r w:rsidR="007F6CE6">
        <w:rPr>
          <w:rFonts w:ascii="Garamond" w:hAnsi="Garamond"/>
          <w:sz w:val="20"/>
          <w:szCs w:val="20"/>
        </w:rPr>
        <w:t>электроэнергии</w:t>
      </w:r>
      <w:r>
        <w:rPr>
          <w:rFonts w:ascii="Garamond" w:hAnsi="Garamond"/>
          <w:sz w:val="20"/>
          <w:szCs w:val="20"/>
        </w:rPr>
        <w:t>.</w:t>
      </w:r>
    </w:p>
    <w:p w:rsidR="00F4583B" w:rsidRDefault="008E3836">
      <w:pPr>
        <w:numPr>
          <w:ilvl w:val="0"/>
          <w:numId w:val="6"/>
        </w:numPr>
        <w:spacing w:after="0" w:line="240" w:lineRule="auto"/>
        <w:ind w:left="284" w:hanging="284"/>
        <w:jc w:val="both"/>
        <w:rPr>
          <w:rFonts w:ascii="Garamond" w:hAnsi="Garamond"/>
          <w:sz w:val="20"/>
          <w:szCs w:val="20"/>
        </w:rPr>
      </w:pPr>
      <w:r>
        <w:rPr>
          <w:rFonts w:ascii="Garamond" w:hAnsi="Garamond"/>
          <w:sz w:val="20"/>
          <w:szCs w:val="20"/>
        </w:rPr>
        <w:t>В столбце 8 указывается сумма платежа по договору, по которому сформировано обязательство, подлежащее оплате в соответствии с разделом 19 Регламента финансовых расчетов на оптовом рынке</w:t>
      </w:r>
      <w:r w:rsidR="007F6CE6">
        <w:rPr>
          <w:rFonts w:ascii="Garamond" w:hAnsi="Garamond"/>
          <w:sz w:val="20"/>
          <w:szCs w:val="20"/>
        </w:rPr>
        <w:t xml:space="preserve"> электроэнергии</w:t>
      </w:r>
      <w:r>
        <w:rPr>
          <w:rFonts w:ascii="Garamond" w:hAnsi="Garamond"/>
          <w:sz w:val="20"/>
          <w:szCs w:val="20"/>
        </w:rPr>
        <w:t>.</w:t>
      </w:r>
    </w:p>
    <w:p w:rsidR="00F4583B" w:rsidRDefault="008E3836">
      <w:pPr>
        <w:numPr>
          <w:ilvl w:val="0"/>
          <w:numId w:val="6"/>
        </w:numPr>
        <w:spacing w:after="0" w:line="240" w:lineRule="auto"/>
        <w:ind w:left="284" w:hanging="284"/>
        <w:jc w:val="both"/>
        <w:rPr>
          <w:rFonts w:ascii="Garamond" w:hAnsi="Garamond"/>
          <w:sz w:val="20"/>
          <w:szCs w:val="20"/>
        </w:rPr>
      </w:pPr>
      <w:r>
        <w:rPr>
          <w:rFonts w:ascii="Garamond" w:hAnsi="Garamond"/>
          <w:sz w:val="20"/>
          <w:szCs w:val="20"/>
        </w:rPr>
        <w:t>В столбце 9 указывается номер судебного дела в случае исполнения обязательств по оплате, подтвержденных судебным актом.</w:t>
      </w:r>
    </w:p>
    <w:p w:rsidR="00F4583B" w:rsidRDefault="00F4583B">
      <w:pPr>
        <w:spacing w:after="0" w:line="240" w:lineRule="auto"/>
        <w:jc w:val="both"/>
        <w:rPr>
          <w:rFonts w:ascii="Garamond" w:hAnsi="Garamond"/>
          <w:sz w:val="20"/>
          <w:szCs w:val="20"/>
        </w:rPr>
      </w:pPr>
    </w:p>
    <w:p w:rsidR="00F4583B" w:rsidRDefault="00F4583B">
      <w:pPr>
        <w:widowControl w:val="0"/>
        <w:jc w:val="right"/>
        <w:rPr>
          <w:rFonts w:ascii="Garamond" w:hAnsi="Garamond"/>
          <w:b/>
          <w:sz w:val="24"/>
          <w:szCs w:val="24"/>
        </w:rPr>
      </w:pPr>
    </w:p>
    <w:p w:rsidR="00F4583B" w:rsidRDefault="00F4583B">
      <w:pPr>
        <w:widowControl w:val="0"/>
        <w:jc w:val="right"/>
        <w:rPr>
          <w:rFonts w:ascii="Garamond" w:hAnsi="Garamond"/>
          <w:b/>
        </w:rPr>
      </w:pPr>
    </w:p>
    <w:p w:rsidR="00F4583B" w:rsidRDefault="00F4583B">
      <w:pPr>
        <w:widowControl w:val="0"/>
        <w:jc w:val="right"/>
        <w:rPr>
          <w:rFonts w:ascii="Garamond" w:hAnsi="Garamond"/>
          <w:b/>
        </w:rPr>
      </w:pPr>
    </w:p>
    <w:p w:rsidR="00F4583B" w:rsidRDefault="00F4583B">
      <w:pPr>
        <w:widowControl w:val="0"/>
        <w:jc w:val="right"/>
        <w:rPr>
          <w:rFonts w:ascii="Garamond" w:hAnsi="Garamond"/>
          <w:b/>
        </w:rPr>
      </w:pPr>
    </w:p>
    <w:p w:rsidR="00F4583B" w:rsidRDefault="00F4583B">
      <w:pPr>
        <w:widowControl w:val="0"/>
        <w:jc w:val="right"/>
        <w:rPr>
          <w:rFonts w:ascii="Garamond" w:hAnsi="Garamond"/>
          <w:b/>
        </w:rPr>
      </w:pPr>
    </w:p>
    <w:p w:rsidR="00F4583B" w:rsidRDefault="00F4583B">
      <w:pPr>
        <w:widowControl w:val="0"/>
        <w:jc w:val="right"/>
        <w:rPr>
          <w:rFonts w:ascii="Garamond" w:hAnsi="Garamond"/>
          <w:b/>
        </w:rPr>
      </w:pPr>
    </w:p>
    <w:p w:rsidR="00F4583B" w:rsidRDefault="00F4583B">
      <w:pPr>
        <w:widowControl w:val="0"/>
        <w:jc w:val="right"/>
        <w:rPr>
          <w:rFonts w:ascii="Garamond" w:hAnsi="Garamond"/>
          <w:b/>
        </w:rPr>
      </w:pPr>
    </w:p>
    <w:p w:rsidR="00F4583B" w:rsidRDefault="00F4583B">
      <w:pPr>
        <w:widowControl w:val="0"/>
        <w:jc w:val="right"/>
        <w:rPr>
          <w:rFonts w:ascii="Garamond" w:hAnsi="Garamond"/>
          <w:b/>
        </w:rPr>
      </w:pPr>
    </w:p>
    <w:p w:rsidR="00F4583B" w:rsidRDefault="00F4583B">
      <w:pPr>
        <w:widowControl w:val="0"/>
        <w:jc w:val="right"/>
        <w:rPr>
          <w:rFonts w:ascii="Garamond" w:hAnsi="Garamond"/>
          <w:b/>
        </w:rPr>
      </w:pPr>
    </w:p>
    <w:p w:rsidR="00F4583B" w:rsidRDefault="00F4583B">
      <w:pPr>
        <w:widowControl w:val="0"/>
        <w:jc w:val="right"/>
        <w:rPr>
          <w:rFonts w:ascii="Garamond" w:hAnsi="Garamond"/>
          <w:b/>
        </w:rPr>
      </w:pPr>
    </w:p>
    <w:p w:rsidR="00F4583B" w:rsidRDefault="00F4583B">
      <w:pPr>
        <w:widowControl w:val="0"/>
        <w:jc w:val="right"/>
        <w:rPr>
          <w:rFonts w:ascii="Garamond" w:hAnsi="Garamond"/>
          <w:b/>
        </w:rPr>
      </w:pPr>
    </w:p>
    <w:p w:rsidR="00F4583B" w:rsidRDefault="00F4583B">
      <w:pPr>
        <w:widowControl w:val="0"/>
        <w:jc w:val="right"/>
        <w:rPr>
          <w:rFonts w:ascii="Garamond" w:hAnsi="Garamond"/>
          <w:b/>
        </w:rPr>
      </w:pPr>
    </w:p>
    <w:p w:rsidR="00F4583B" w:rsidRDefault="00F4583B">
      <w:pPr>
        <w:widowControl w:val="0"/>
        <w:jc w:val="right"/>
        <w:rPr>
          <w:rFonts w:ascii="Garamond" w:hAnsi="Garamond"/>
          <w:b/>
        </w:rPr>
      </w:pPr>
    </w:p>
    <w:p w:rsidR="00F4583B" w:rsidRDefault="00F4583B">
      <w:pPr>
        <w:widowControl w:val="0"/>
        <w:jc w:val="right"/>
        <w:rPr>
          <w:rFonts w:ascii="Garamond" w:hAnsi="Garamond"/>
          <w:b/>
        </w:rPr>
      </w:pPr>
    </w:p>
    <w:p w:rsidR="00F4583B" w:rsidRDefault="008E3836">
      <w:pPr>
        <w:widowControl w:val="0"/>
        <w:jc w:val="right"/>
        <w:rPr>
          <w:rFonts w:ascii="Garamond" w:hAnsi="Garamond"/>
          <w:b/>
        </w:rPr>
      </w:pPr>
      <w:r>
        <w:rPr>
          <w:rFonts w:ascii="Garamond" w:hAnsi="Garamond"/>
          <w:b/>
        </w:rPr>
        <w:t>Приложение 19.3</w:t>
      </w:r>
    </w:p>
    <w:p w:rsidR="00F4583B" w:rsidRDefault="00F4583B">
      <w:pPr>
        <w:widowControl w:val="0"/>
        <w:jc w:val="right"/>
        <w:rPr>
          <w:rFonts w:ascii="Garamond" w:hAnsi="Garamond"/>
          <w:b/>
        </w:rPr>
      </w:pPr>
    </w:p>
    <w:p w:rsidR="00F4583B" w:rsidRDefault="008E3836">
      <w:pPr>
        <w:rPr>
          <w:rFonts w:ascii="Garamond" w:hAnsi="Garamond"/>
        </w:rPr>
      </w:pPr>
      <w:r>
        <w:rPr>
          <w:rFonts w:ascii="Garamond" w:hAnsi="Garamond"/>
        </w:rPr>
        <w:t>№_________</w:t>
      </w:r>
    </w:p>
    <w:p w:rsidR="00F4583B" w:rsidRDefault="008E3836">
      <w:pPr>
        <w:rPr>
          <w:rFonts w:ascii="Garamond" w:hAnsi="Garamond"/>
        </w:rPr>
      </w:pPr>
      <w:r>
        <w:rPr>
          <w:rFonts w:ascii="Garamond" w:hAnsi="Garamond"/>
        </w:rPr>
        <w:t>Дата ___________</w:t>
      </w:r>
    </w:p>
    <w:p w:rsidR="00F4583B" w:rsidRDefault="008E3836">
      <w:pPr>
        <w:ind w:left="6804"/>
        <w:jc w:val="right"/>
        <w:rPr>
          <w:rFonts w:ascii="Garamond" w:hAnsi="Garamond"/>
        </w:rPr>
      </w:pPr>
      <w:r>
        <w:rPr>
          <w:rFonts w:ascii="Garamond" w:hAnsi="Garamond"/>
        </w:rPr>
        <w:t>Председателю Правления</w:t>
      </w:r>
    </w:p>
    <w:p w:rsidR="00F4583B" w:rsidRDefault="008E3836">
      <w:pPr>
        <w:ind w:left="6804"/>
        <w:jc w:val="right"/>
        <w:rPr>
          <w:rFonts w:ascii="Garamond" w:hAnsi="Garamond"/>
        </w:rPr>
      </w:pPr>
      <w:r>
        <w:rPr>
          <w:rFonts w:ascii="Garamond" w:hAnsi="Garamond"/>
        </w:rPr>
        <w:t>АО «ЦФР»</w:t>
      </w:r>
    </w:p>
    <w:p w:rsidR="00F4583B" w:rsidRDefault="008E3836">
      <w:pPr>
        <w:ind w:firstLine="708"/>
        <w:jc w:val="both"/>
        <w:rPr>
          <w:rFonts w:ascii="Garamond" w:hAnsi="Garamond"/>
        </w:rPr>
      </w:pPr>
      <w:r>
        <w:rPr>
          <w:rFonts w:ascii="Garamond" w:hAnsi="Garamond"/>
        </w:rPr>
        <w:t>В соответствии с разделом 19 Регламента финансовых расчетов на оптовом рынке электроэнергии (Приложение № 16 к Договору о присоединении к торговой системе оптового рынка) уведомляем о согласовании с ________</w:t>
      </w:r>
      <w:proofErr w:type="gramStart"/>
      <w:r>
        <w:rPr>
          <w:rFonts w:ascii="Garamond" w:hAnsi="Garamond"/>
        </w:rPr>
        <w:t>_(</w:t>
      </w:r>
      <w:proofErr w:type="gramEnd"/>
      <w:r>
        <w:rPr>
          <w:rFonts w:ascii="Garamond" w:hAnsi="Garamond"/>
          <w:i/>
        </w:rPr>
        <w:t>наименование контрагента</w:t>
      </w:r>
      <w:r>
        <w:rPr>
          <w:rFonts w:ascii="Garamond" w:hAnsi="Garamond"/>
        </w:rPr>
        <w:t xml:space="preserve">) одностороннего предоставления документов, указанных в п. 19.2 настоящего Регламента, подтверждающих исполнение обязательств по оплате за отчетный период (месяц): с  </w:t>
      </w:r>
      <w:proofErr w:type="spellStart"/>
      <w:r>
        <w:rPr>
          <w:rFonts w:ascii="Garamond" w:hAnsi="Garamond"/>
        </w:rPr>
        <w:t>ДД.ММ.ГГ._по</w:t>
      </w:r>
      <w:proofErr w:type="spellEnd"/>
      <w:r>
        <w:rPr>
          <w:rFonts w:ascii="Garamond" w:hAnsi="Garamond"/>
        </w:rPr>
        <w:t xml:space="preserve">  ДД.ММ.ГГ.</w:t>
      </w:r>
    </w:p>
    <w:p w:rsidR="00F4583B" w:rsidRDefault="00F4583B">
      <w:pPr>
        <w:ind w:firstLine="709"/>
        <w:jc w:val="center"/>
        <w:rPr>
          <w:rFonts w:ascii="Garamond" w:hAnsi="Garamond"/>
        </w:rPr>
      </w:pPr>
    </w:p>
    <w:p w:rsidR="00F4583B" w:rsidRDefault="008E3836">
      <w:pPr>
        <w:ind w:firstLine="709"/>
        <w:jc w:val="center"/>
        <w:rPr>
          <w:rFonts w:ascii="Garamond" w:hAnsi="Garamond"/>
        </w:rPr>
      </w:pPr>
      <w:r>
        <w:rPr>
          <w:rFonts w:ascii="Garamond" w:hAnsi="Garamond"/>
        </w:rPr>
        <w:t>_________________                              ____________                                ________________</w:t>
      </w:r>
    </w:p>
    <w:p w:rsidR="00F4583B" w:rsidRDefault="008E3836">
      <w:pPr>
        <w:ind w:firstLine="709"/>
        <w:jc w:val="center"/>
        <w:rPr>
          <w:rFonts w:ascii="Garamond" w:hAnsi="Garamond"/>
        </w:rPr>
      </w:pPr>
      <w:r>
        <w:rPr>
          <w:rFonts w:ascii="Garamond" w:hAnsi="Garamond"/>
        </w:rPr>
        <w:t>Должность</w:t>
      </w:r>
      <w:r>
        <w:rPr>
          <w:rFonts w:ascii="Garamond" w:hAnsi="Garamond"/>
        </w:rPr>
        <w:tab/>
      </w:r>
      <w:r>
        <w:rPr>
          <w:rFonts w:ascii="Garamond" w:hAnsi="Garamond"/>
        </w:rPr>
        <w:tab/>
        <w:t xml:space="preserve"> </w:t>
      </w:r>
      <w:r>
        <w:rPr>
          <w:rFonts w:ascii="Garamond" w:hAnsi="Garamond"/>
        </w:rPr>
        <w:tab/>
        <w:t xml:space="preserve">             </w:t>
      </w:r>
      <w:r>
        <w:rPr>
          <w:rFonts w:ascii="Garamond" w:hAnsi="Garamond"/>
        </w:rPr>
        <w:tab/>
        <w:t>подпись</w:t>
      </w:r>
      <w:r>
        <w:rPr>
          <w:rFonts w:ascii="Garamond" w:hAnsi="Garamond"/>
        </w:rPr>
        <w:tab/>
      </w:r>
      <w:r>
        <w:rPr>
          <w:rFonts w:ascii="Garamond" w:hAnsi="Garamond"/>
        </w:rPr>
        <w:tab/>
        <w:t xml:space="preserve"> </w:t>
      </w:r>
      <w:r>
        <w:rPr>
          <w:rFonts w:ascii="Garamond" w:hAnsi="Garamond"/>
        </w:rPr>
        <w:tab/>
        <w:t xml:space="preserve">              Ф. И. О.</w:t>
      </w:r>
    </w:p>
    <w:sectPr w:rsidR="00F4583B">
      <w:footnotePr>
        <w:numStart w:val="2"/>
      </w:footnotePr>
      <w:type w:val="continuous"/>
      <w:pgSz w:w="16839" w:h="11907" w:orient="landscape" w:code="9"/>
      <w:pgMar w:top="1134" w:right="67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83B" w:rsidRDefault="008E3836">
      <w:pPr>
        <w:spacing w:after="0" w:line="240" w:lineRule="auto"/>
      </w:pPr>
      <w:r>
        <w:separator/>
      </w:r>
    </w:p>
  </w:endnote>
  <w:endnote w:type="continuationSeparator" w:id="0">
    <w:p w:rsidR="00F4583B" w:rsidRDefault="008E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83B" w:rsidRDefault="008E3836">
    <w:pPr>
      <w:pStyle w:val="a3"/>
      <w:jc w:val="right"/>
    </w:pPr>
    <w:r>
      <w:fldChar w:fldCharType="begin"/>
    </w:r>
    <w:r>
      <w:instrText>PAGE   \* MERGEFORMAT</w:instrText>
    </w:r>
    <w:r>
      <w:fldChar w:fldCharType="separate"/>
    </w:r>
    <w:r w:rsidR="004F1979">
      <w:rPr>
        <w:noProof/>
      </w:rPr>
      <w:t>17</w:t>
    </w:r>
    <w:r>
      <w:fldChar w:fldCharType="end"/>
    </w:r>
  </w:p>
  <w:p w:rsidR="00F4583B" w:rsidRDefault="00F4583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83B" w:rsidRDefault="008E3836">
      <w:pPr>
        <w:spacing w:after="0" w:line="240" w:lineRule="auto"/>
      </w:pPr>
      <w:r>
        <w:separator/>
      </w:r>
    </w:p>
  </w:footnote>
  <w:footnote w:type="continuationSeparator" w:id="0">
    <w:p w:rsidR="00F4583B" w:rsidRDefault="008E3836">
      <w:pPr>
        <w:spacing w:after="0" w:line="240" w:lineRule="auto"/>
      </w:pPr>
      <w:r>
        <w:continuationSeparator/>
      </w:r>
    </w:p>
  </w:footnote>
  <w:footnote w:id="1">
    <w:p w:rsidR="00F4583B" w:rsidRDefault="008E3836">
      <w:pPr>
        <w:spacing w:after="0" w:line="240" w:lineRule="auto"/>
        <w:jc w:val="both"/>
        <w:rPr>
          <w:rFonts w:ascii="Garamond" w:hAnsi="Garamond"/>
          <w:sz w:val="20"/>
          <w:szCs w:val="20"/>
        </w:rPr>
      </w:pPr>
      <w:r>
        <w:rPr>
          <w:rStyle w:val="af2"/>
          <w:sz w:val="20"/>
          <w:szCs w:val="20"/>
        </w:rPr>
        <w:footnoteRef/>
      </w:r>
      <w:r>
        <w:rPr>
          <w:sz w:val="20"/>
          <w:szCs w:val="20"/>
        </w:rPr>
        <w:t xml:space="preserve"> </w:t>
      </w:r>
      <w:r>
        <w:rPr>
          <w:rFonts w:ascii="Garamond" w:hAnsi="Garamond"/>
          <w:sz w:val="20"/>
          <w:szCs w:val="20"/>
        </w:rPr>
        <w:t>Отчетным периодом является промежуток времени, в котором произведено исполнение обязательств по оплате в рамках одного календарного месяца. В течение одного календарного месяца участник имеет право предоставлять отчет об исполнении обязательств по оплате за несколько отчетных периодов.</w:t>
      </w:r>
    </w:p>
    <w:p w:rsidR="00F4583B" w:rsidRDefault="00F4583B">
      <w:pPr>
        <w:pStyle w:val="af0"/>
      </w:pPr>
    </w:p>
  </w:footnote>
  <w:footnote w:id="2">
    <w:p w:rsidR="00F4583B" w:rsidRPr="00AF39CA" w:rsidRDefault="008E3836">
      <w:pPr>
        <w:spacing w:after="0" w:line="240" w:lineRule="auto"/>
        <w:jc w:val="both"/>
        <w:rPr>
          <w:rFonts w:ascii="Garamond" w:hAnsi="Garamond"/>
          <w:sz w:val="20"/>
          <w:szCs w:val="20"/>
        </w:rPr>
      </w:pPr>
      <w:r>
        <w:rPr>
          <w:rStyle w:val="af2"/>
          <w:rFonts w:ascii="Garamond" w:hAnsi="Garamond"/>
          <w:sz w:val="20"/>
          <w:szCs w:val="20"/>
        </w:rPr>
        <w:footnoteRef/>
      </w:r>
      <w:r>
        <w:rPr>
          <w:rFonts w:ascii="Garamond" w:hAnsi="Garamond"/>
          <w:sz w:val="20"/>
          <w:szCs w:val="20"/>
        </w:rPr>
        <w:t xml:space="preserve"> Отчетным периодом является промежуток времени, в котором </w:t>
      </w:r>
      <w:r w:rsidRPr="00AF39CA">
        <w:rPr>
          <w:rFonts w:ascii="Garamond" w:hAnsi="Garamond"/>
          <w:sz w:val="20"/>
          <w:szCs w:val="20"/>
        </w:rPr>
        <w:t>произведено исполнение обязательств по оплате в рамках одного календарного месяца. В течение одного календарного месяца участник имеет право предоставлять отчет об исполнении обязательств по оплате за несколько отчетных периодов.</w:t>
      </w:r>
    </w:p>
  </w:footnote>
  <w:footnote w:id="3">
    <w:p w:rsidR="00F4583B" w:rsidRDefault="008E3836">
      <w:pPr>
        <w:pStyle w:val="af0"/>
        <w:rPr>
          <w:rFonts w:ascii="Garamond" w:hAnsi="Garamond"/>
        </w:rPr>
      </w:pPr>
      <w:r w:rsidRPr="00AF39CA">
        <w:rPr>
          <w:rStyle w:val="af2"/>
        </w:rPr>
        <w:footnoteRef/>
      </w:r>
      <w:r w:rsidRPr="00AF39CA">
        <w:t xml:space="preserve"> </w:t>
      </w:r>
      <w:r w:rsidRPr="00AF39CA">
        <w:rPr>
          <w:rFonts w:ascii="Garamond" w:hAnsi="Garamond"/>
        </w:rPr>
        <w:t>Поле не является обязательным для заполнения.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F020D"/>
    <w:multiLevelType w:val="hybridMultilevel"/>
    <w:tmpl w:val="E81AC3CC"/>
    <w:lvl w:ilvl="0" w:tplc="0419000F">
      <w:start w:val="1"/>
      <w:numFmt w:val="decimal"/>
      <w:lvlText w:val="%1."/>
      <w:lvlJc w:val="left"/>
      <w:pPr>
        <w:ind w:left="720" w:hanging="360"/>
      </w:pPr>
      <w:rPr>
        <w:rFonts w:hint="default"/>
        <w:b w:val="0"/>
        <w:i w:val="0"/>
        <w:sz w:val="20"/>
        <w:szCs w:val="2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1621E77"/>
    <w:multiLevelType w:val="hybridMultilevel"/>
    <w:tmpl w:val="E81AC3CC"/>
    <w:lvl w:ilvl="0" w:tplc="0419000F">
      <w:start w:val="1"/>
      <w:numFmt w:val="decimal"/>
      <w:lvlText w:val="%1."/>
      <w:lvlJc w:val="left"/>
      <w:pPr>
        <w:ind w:left="720" w:hanging="360"/>
      </w:pPr>
      <w:rPr>
        <w:rFonts w:hint="default"/>
        <w:b w:val="0"/>
        <w:i w:val="0"/>
        <w:sz w:val="20"/>
        <w:szCs w:val="2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C551DC"/>
    <w:multiLevelType w:val="hybridMultilevel"/>
    <w:tmpl w:val="E81AC3CC"/>
    <w:lvl w:ilvl="0" w:tplc="0419000F">
      <w:start w:val="1"/>
      <w:numFmt w:val="decimal"/>
      <w:lvlText w:val="%1."/>
      <w:lvlJc w:val="left"/>
      <w:pPr>
        <w:ind w:left="720" w:hanging="360"/>
      </w:pPr>
      <w:rPr>
        <w:rFonts w:hint="default"/>
        <w:b w:val="0"/>
        <w:i w:val="0"/>
        <w:sz w:val="20"/>
        <w:szCs w:val="2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035004B"/>
    <w:multiLevelType w:val="hybridMultilevel"/>
    <w:tmpl w:val="CFAEC71C"/>
    <w:lvl w:ilvl="0" w:tplc="07129EC0">
      <w:start w:val="19"/>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2B13CD8"/>
    <w:multiLevelType w:val="hybridMultilevel"/>
    <w:tmpl w:val="C9AA38AE"/>
    <w:lvl w:ilvl="0" w:tplc="6D969B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7B1D5E75"/>
    <w:multiLevelType w:val="hybridMultilevel"/>
    <w:tmpl w:val="06789476"/>
    <w:lvl w:ilvl="0" w:tplc="FFFFFFFF">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83B"/>
    <w:rsid w:val="0022666D"/>
    <w:rsid w:val="004F1979"/>
    <w:rsid w:val="007F6CE6"/>
    <w:rsid w:val="008E3836"/>
    <w:rsid w:val="00AF39CA"/>
    <w:rsid w:val="00F45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EC344-6C98-4214-8AA2-4F687BB6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aliases w:val="Заголовок параграфа (1.),Section,level2 hdg,111"/>
    <w:basedOn w:val="a"/>
    <w:link w:val="10"/>
    <w:autoRedefine/>
    <w:qFormat/>
    <w:pPr>
      <w:keepNext/>
      <w:spacing w:before="120" w:after="120" w:line="240" w:lineRule="auto"/>
      <w:ind w:left="-3"/>
      <w:outlineLvl w:val="0"/>
    </w:pPr>
    <w:rPr>
      <w:rFonts w:ascii="Garamond" w:eastAsia="Times New Roman" w:hAnsi="Garamond" w:cs="Garamond"/>
      <w:b/>
      <w:caps/>
      <w:color w:val="000000"/>
      <w:kern w:val="28"/>
    </w:rPr>
  </w:style>
  <w:style w:type="paragraph" w:styleId="3">
    <w:name w:val="heading 3"/>
    <w:aliases w:val="H3,Заголовок подпукта (1.1.1),Level 1 - 1,o"/>
    <w:basedOn w:val="a"/>
    <w:link w:val="30"/>
    <w:autoRedefine/>
    <w:qFormat/>
    <w:pPr>
      <w:widowControl w:val="0"/>
      <w:spacing w:before="120" w:after="0" w:line="240" w:lineRule="auto"/>
      <w:ind w:firstLine="316"/>
      <w:jc w:val="both"/>
      <w:outlineLvl w:val="2"/>
    </w:pPr>
    <w:rPr>
      <w:rFonts w:ascii="Garamond" w:eastAsia="Times New Roman" w:hAnsi="Garamond"/>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араграфа (1.) Знак,Section Знак,level2 hdg Знак,111 Знак"/>
    <w:link w:val="1"/>
    <w:rPr>
      <w:rFonts w:ascii="Garamond" w:eastAsia="Times New Roman" w:hAnsi="Garamond" w:cs="Garamond"/>
      <w:b/>
      <w:caps/>
      <w:color w:val="000000"/>
      <w:kern w:val="28"/>
      <w:sz w:val="22"/>
      <w:szCs w:val="22"/>
      <w:lang w:eastAsia="en-US"/>
    </w:rPr>
  </w:style>
  <w:style w:type="character" w:customStyle="1" w:styleId="30">
    <w:name w:val="Заголовок 3 Знак"/>
    <w:aliases w:val="H3 Знак,Заголовок подпукта (1.1.1) Знак,Level 1 - 1 Знак,o Знак"/>
    <w:link w:val="3"/>
    <w:rPr>
      <w:rFonts w:ascii="Garamond" w:eastAsia="Times New Roman" w:hAnsi="Garamond"/>
      <w:b/>
      <w:color w:val="000000"/>
      <w:sz w:val="24"/>
      <w:szCs w:val="22"/>
      <w:lang w:eastAsia="en-US"/>
    </w:rPr>
  </w:style>
  <w:style w:type="paragraph" w:styleId="a3">
    <w:name w:val="footer"/>
    <w:basedOn w:val="a"/>
    <w:link w:val="a4"/>
    <w:uiPriority w:val="9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link w:val="a3"/>
    <w:uiPriority w:val="99"/>
    <w:rPr>
      <w:rFonts w:ascii="Times New Roman" w:eastAsia="Times New Roman" w:hAnsi="Times New Roman" w:cs="Times New Roman"/>
      <w:sz w:val="24"/>
      <w:szCs w:val="24"/>
      <w:lang w:eastAsia="ru-RU"/>
    </w:rPr>
  </w:style>
  <w:style w:type="character" w:styleId="a5">
    <w:name w:val="annotation reference"/>
    <w:rPr>
      <w:sz w:val="16"/>
      <w:szCs w:val="16"/>
    </w:rPr>
  </w:style>
  <w:style w:type="paragraph" w:styleId="a6">
    <w:name w:val="annotation text"/>
    <w:basedOn w:val="a"/>
    <w:link w:val="a7"/>
    <w:pPr>
      <w:spacing w:after="0" w:line="240" w:lineRule="auto"/>
    </w:pPr>
    <w:rPr>
      <w:rFonts w:ascii="Times New Roman" w:eastAsia="Times New Roman" w:hAnsi="Times New Roman"/>
      <w:sz w:val="20"/>
      <w:szCs w:val="20"/>
      <w:lang w:eastAsia="ru-RU"/>
    </w:rPr>
  </w:style>
  <w:style w:type="character" w:customStyle="1" w:styleId="a7">
    <w:name w:val="Текст примечания Знак"/>
    <w:link w:val="a6"/>
    <w:rPr>
      <w:rFonts w:ascii="Times New Roman" w:eastAsia="Times New Roman" w:hAnsi="Times New Roman" w:cs="Times New Roman"/>
      <w:sz w:val="20"/>
      <w:szCs w:val="20"/>
      <w:lang w:eastAsia="ru-RU"/>
    </w:rPr>
  </w:style>
  <w:style w:type="paragraph" w:styleId="a8">
    <w:name w:val="List Paragraph"/>
    <w:basedOn w:val="a"/>
    <w:uiPriority w:val="34"/>
    <w:qFormat/>
    <w:pPr>
      <w:spacing w:after="0" w:line="240" w:lineRule="auto"/>
      <w:ind w:left="720"/>
      <w:contextualSpacing/>
    </w:pPr>
    <w:rPr>
      <w:rFonts w:ascii="Times New Roman" w:eastAsia="Times New Roman" w:hAnsi="Times New Roman"/>
      <w:sz w:val="24"/>
      <w:szCs w:val="24"/>
      <w:lang w:eastAsia="ru-RU"/>
    </w:rPr>
  </w:style>
  <w:style w:type="paragraph" w:styleId="a9">
    <w:name w:val="Body Text"/>
    <w:aliases w:val="body text"/>
    <w:basedOn w:val="a"/>
    <w:link w:val="2"/>
    <w:pPr>
      <w:spacing w:before="120" w:after="120" w:line="240" w:lineRule="auto"/>
      <w:jc w:val="both"/>
    </w:pPr>
    <w:rPr>
      <w:rFonts w:ascii="Times New Roman" w:eastAsia="Times New Roman" w:hAnsi="Times New Roman"/>
      <w:szCs w:val="20"/>
      <w:lang w:val="en-GB"/>
    </w:rPr>
  </w:style>
  <w:style w:type="character" w:customStyle="1" w:styleId="aa">
    <w:name w:val="Основной текст Знак"/>
    <w:basedOn w:val="a0"/>
    <w:uiPriority w:val="99"/>
    <w:semiHidden/>
  </w:style>
  <w:style w:type="character" w:customStyle="1" w:styleId="2">
    <w:name w:val="Основной текст Знак2"/>
    <w:aliases w:val="body text Знак1"/>
    <w:link w:val="a9"/>
    <w:rPr>
      <w:rFonts w:ascii="Times New Roman" w:eastAsia="Times New Roman" w:hAnsi="Times New Roman" w:cs="Times New Roman"/>
      <w:szCs w:val="20"/>
      <w:lang w:val="en-GB"/>
    </w:rPr>
  </w:style>
  <w:style w:type="character" w:styleId="ab">
    <w:name w:val="Hyperlink"/>
    <w:uiPriority w:val="99"/>
    <w:rPr>
      <w:color w:val="0000FF"/>
      <w:u w:val="single"/>
    </w:rPr>
  </w:style>
  <w:style w:type="paragraph" w:styleId="ac">
    <w:name w:val="Balloon Text"/>
    <w:basedOn w:val="a"/>
    <w:link w:val="ad"/>
    <w:uiPriority w:val="99"/>
    <w:semiHidden/>
    <w:unhideWhenUsed/>
    <w:pPr>
      <w:spacing w:after="0" w:line="240" w:lineRule="auto"/>
    </w:pPr>
    <w:rPr>
      <w:rFonts w:ascii="Segoe UI" w:hAnsi="Segoe UI" w:cs="Segoe UI"/>
      <w:sz w:val="18"/>
      <w:szCs w:val="18"/>
    </w:rPr>
  </w:style>
  <w:style w:type="character" w:customStyle="1" w:styleId="ad">
    <w:name w:val="Текст выноски Знак"/>
    <w:link w:val="ac"/>
    <w:uiPriority w:val="99"/>
    <w:semiHidden/>
    <w:rPr>
      <w:rFonts w:ascii="Segoe UI" w:hAnsi="Segoe UI" w:cs="Segoe UI"/>
      <w:sz w:val="18"/>
      <w:szCs w:val="18"/>
    </w:rPr>
  </w:style>
  <w:style w:type="paragraph" w:styleId="ae">
    <w:name w:val="annotation subject"/>
    <w:basedOn w:val="a6"/>
    <w:next w:val="a6"/>
    <w:link w:val="af"/>
    <w:uiPriority w:val="99"/>
    <w:semiHidden/>
    <w:unhideWhenUsed/>
    <w:pPr>
      <w:spacing w:after="160" w:line="259" w:lineRule="auto"/>
    </w:pPr>
    <w:rPr>
      <w:rFonts w:ascii="Calibri" w:eastAsia="Calibri" w:hAnsi="Calibri"/>
      <w:b/>
      <w:bCs/>
      <w:lang w:eastAsia="en-US"/>
    </w:rPr>
  </w:style>
  <w:style w:type="character" w:customStyle="1" w:styleId="af">
    <w:name w:val="Тема примечания Знак"/>
    <w:link w:val="ae"/>
    <w:uiPriority w:val="99"/>
    <w:semiHidden/>
    <w:rPr>
      <w:rFonts w:ascii="Times New Roman" w:eastAsia="Times New Roman" w:hAnsi="Times New Roman" w:cs="Times New Roman"/>
      <w:b/>
      <w:bCs/>
      <w:sz w:val="20"/>
      <w:szCs w:val="20"/>
      <w:lang w:eastAsia="en-US"/>
    </w:rPr>
  </w:style>
  <w:style w:type="paragraph" w:styleId="af0">
    <w:name w:val="footnote text"/>
    <w:basedOn w:val="a"/>
    <w:link w:val="af1"/>
    <w:uiPriority w:val="99"/>
    <w:semiHidden/>
    <w:unhideWhenUsed/>
    <w:rPr>
      <w:sz w:val="20"/>
      <w:szCs w:val="20"/>
    </w:rPr>
  </w:style>
  <w:style w:type="character" w:customStyle="1" w:styleId="af1">
    <w:name w:val="Текст сноски Знак"/>
    <w:link w:val="af0"/>
    <w:uiPriority w:val="99"/>
    <w:semiHidden/>
    <w:rPr>
      <w:lang w:eastAsia="en-US"/>
    </w:rPr>
  </w:style>
  <w:style w:type="character" w:styleId="af2">
    <w:name w:val="footnote reference"/>
    <w:uiPriority w:val="99"/>
    <w:semiHidden/>
    <w:unhideWhenUsed/>
    <w:rPr>
      <w:vertAlign w:val="superscript"/>
    </w:rPr>
  </w:style>
  <w:style w:type="character" w:customStyle="1" w:styleId="11">
    <w:name w:val="Основной текст Знак1"/>
    <w:aliases w:val="body text Знак"/>
    <w:uiPriority w:val="99"/>
    <w:locked/>
    <w:rPr>
      <w:rFonts w:ascii="Times New Roman" w:eastAsia="Times New Roman" w:hAnsi="Times New Roman" w:cs="Times New Roman"/>
      <w:sz w:val="20"/>
      <w:szCs w:val="20"/>
      <w:lang w:val="en-GB" w:eastAsia="ru-RU"/>
    </w:rPr>
  </w:style>
  <w:style w:type="paragraph" w:styleId="af3">
    <w:name w:val="Revision"/>
    <w:hidden/>
    <w:uiPriority w:val="99"/>
    <w:semiHidden/>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d.arbit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245B2-587E-44C8-88BE-A0497B675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6333</Words>
  <Characters>36104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42353</CharactersWithSpaces>
  <SharedDoc>false</SharedDoc>
  <HLinks>
    <vt:vector size="6" baseType="variant">
      <vt:variant>
        <vt:i4>524381</vt:i4>
      </vt:variant>
      <vt:variant>
        <vt:i4>0</vt:i4>
      </vt:variant>
      <vt:variant>
        <vt:i4>0</vt:i4>
      </vt:variant>
      <vt:variant>
        <vt:i4>5</vt:i4>
      </vt:variant>
      <vt:variant>
        <vt:lpwstr>http://kad.arbitr.ru/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Коновалова Маргарита Вячеславовна</dc:creator>
  <cp:keywords/>
  <dc:description/>
  <cp:lastModifiedBy>Ирина Пряхина</cp:lastModifiedBy>
  <cp:revision>4</cp:revision>
  <cp:lastPrinted>2019-04-05T11:41:00Z</cp:lastPrinted>
  <dcterms:created xsi:type="dcterms:W3CDTF">2019-04-25T12:16:00Z</dcterms:created>
  <dcterms:modified xsi:type="dcterms:W3CDTF">2019-05-16T12:53:00Z</dcterms:modified>
</cp:coreProperties>
</file>