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B4" w:rsidRDefault="00BC7A3E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X</w:t>
      </w:r>
      <w:r w:rsidRPr="00BC7A3E">
        <w:rPr>
          <w:rFonts w:ascii="Garamond" w:hAnsi="Garamond"/>
          <w:b/>
          <w:sz w:val="28"/>
          <w:szCs w:val="28"/>
        </w:rPr>
        <w:t>.</w:t>
      </w:r>
      <w:r w:rsidR="000D1367">
        <w:rPr>
          <w:rFonts w:ascii="Garamond" w:hAnsi="Garamond"/>
          <w:b/>
          <w:sz w:val="28"/>
          <w:szCs w:val="28"/>
        </w:rPr>
        <w:t>2</w:t>
      </w:r>
      <w:r w:rsidRPr="00BC7A3E">
        <w:rPr>
          <w:rFonts w:ascii="Garamond" w:hAnsi="Garamond"/>
          <w:b/>
          <w:sz w:val="28"/>
          <w:szCs w:val="28"/>
        </w:rPr>
        <w:t>.</w:t>
      </w:r>
      <w:r w:rsidR="00AE1CAA">
        <w:rPr>
          <w:rFonts w:ascii="Garamond" w:hAnsi="Garamond"/>
          <w:b/>
          <w:sz w:val="28"/>
          <w:szCs w:val="28"/>
        </w:rPr>
        <w:t xml:space="preserve"> Изменения, связанные c </w:t>
      </w:r>
      <w:r w:rsidR="007955D4" w:rsidRPr="007955D4">
        <w:rPr>
          <w:rFonts w:ascii="Garamond" w:hAnsi="Garamond"/>
          <w:b/>
          <w:sz w:val="28"/>
          <w:szCs w:val="28"/>
        </w:rPr>
        <w:t>порядк</w:t>
      </w:r>
      <w:r w:rsidR="007955D4">
        <w:rPr>
          <w:rFonts w:ascii="Garamond" w:hAnsi="Garamond"/>
          <w:b/>
          <w:sz w:val="28"/>
          <w:szCs w:val="28"/>
        </w:rPr>
        <w:t>ом</w:t>
      </w:r>
      <w:r w:rsidR="007955D4" w:rsidRPr="007955D4">
        <w:rPr>
          <w:rFonts w:ascii="Garamond" w:hAnsi="Garamond"/>
          <w:b/>
          <w:sz w:val="28"/>
          <w:szCs w:val="28"/>
        </w:rPr>
        <w:t xml:space="preserve"> контроля исполнения ПАО «Россети Северный Кавказ» и АО «Чеченэнерго» соглашений о порядке исполнения обязательств</w:t>
      </w:r>
      <w:r w:rsidR="00BF46AE">
        <w:rPr>
          <w:rFonts w:ascii="Garamond" w:hAnsi="Garamond"/>
          <w:b/>
          <w:sz w:val="28"/>
          <w:szCs w:val="28"/>
        </w:rPr>
        <w:t xml:space="preserve"> за 2 квартал 2022 года</w:t>
      </w:r>
    </w:p>
    <w:p w:rsidR="00750AB4" w:rsidRDefault="00750AB4">
      <w:pPr>
        <w:widowControl w:val="0"/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</w:p>
    <w:p w:rsidR="00750AB4" w:rsidRDefault="00BC7A3E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  <w:lang w:val="en-US"/>
        </w:rPr>
      </w:pPr>
      <w:r>
        <w:rPr>
          <w:rFonts w:ascii="Garamond" w:hAnsi="Garamond"/>
          <w:b/>
          <w:sz w:val="28"/>
          <w:szCs w:val="28"/>
        </w:rPr>
        <w:t>Приложение № 10</w:t>
      </w:r>
      <w:r w:rsidR="000D1367">
        <w:rPr>
          <w:rFonts w:ascii="Garamond" w:hAnsi="Garamond"/>
          <w:b/>
          <w:sz w:val="28"/>
          <w:szCs w:val="28"/>
        </w:rPr>
        <w:t>.2</w:t>
      </w:r>
    </w:p>
    <w:p w:rsidR="00750AB4" w:rsidRDefault="00750AB4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6"/>
      </w:tblGrid>
      <w:tr w:rsidR="00750AB4">
        <w:trPr>
          <w:trHeight w:val="1013"/>
        </w:trPr>
        <w:tc>
          <w:tcPr>
            <w:tcW w:w="1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4" w:rsidRPr="006E38E3" w:rsidRDefault="00AE1CAA">
            <w:pPr>
              <w:widowControl w:val="0"/>
              <w:tabs>
                <w:tab w:val="left" w:pos="0"/>
                <w:tab w:val="left" w:pos="3420"/>
              </w:tabs>
              <w:spacing w:before="60" w:after="6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 w:rsidR="00E275C4">
              <w:rPr>
                <w:rFonts w:ascii="Garamond" w:hAnsi="Garamond"/>
                <w:sz w:val="24"/>
                <w:szCs w:val="24"/>
              </w:rPr>
              <w:t>ч</w:t>
            </w:r>
            <w:r w:rsidR="006E38E3" w:rsidRPr="006E38E3">
              <w:rPr>
                <w:rFonts w:ascii="Garamond" w:hAnsi="Garamond"/>
                <w:sz w:val="24"/>
                <w:szCs w:val="24"/>
              </w:rPr>
              <w:t>лен Наблюдательного совета Ассоциации «НП Совет рынка» А.В. Мольский</w:t>
            </w:r>
            <w:r w:rsidR="003A6F40">
              <w:rPr>
                <w:rFonts w:ascii="Garamond" w:hAnsi="Garamond"/>
                <w:sz w:val="24"/>
                <w:szCs w:val="24"/>
              </w:rPr>
              <w:t>.</w:t>
            </w:r>
          </w:p>
          <w:p w:rsidR="00750AB4" w:rsidRPr="005B0831" w:rsidRDefault="00AE1CAA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="00E275C4">
              <w:rPr>
                <w:rFonts w:ascii="Garamond" w:hAnsi="Garamond"/>
                <w:sz w:val="24"/>
                <w:szCs w:val="24"/>
              </w:rPr>
              <w:t>п</w:t>
            </w:r>
            <w:bookmarkStart w:id="0" w:name="_GoBack"/>
            <w:bookmarkEnd w:id="0"/>
            <w:r w:rsidR="00AD1FDA">
              <w:rPr>
                <w:rFonts w:ascii="Garamond" w:hAnsi="Garamond"/>
                <w:sz w:val="24"/>
                <w:szCs w:val="24"/>
              </w:rPr>
              <w:t>еренос</w:t>
            </w:r>
            <w:r w:rsidR="00BF46AE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697E86">
              <w:rPr>
                <w:rFonts w:ascii="Garamond" w:hAnsi="Garamond"/>
                <w:sz w:val="24"/>
                <w:szCs w:val="24"/>
              </w:rPr>
              <w:t>даты</w:t>
            </w:r>
            <w:r w:rsidR="00BF46AE">
              <w:rPr>
                <w:rFonts w:ascii="Garamond" w:hAnsi="Garamond"/>
                <w:sz w:val="24"/>
                <w:szCs w:val="24"/>
              </w:rPr>
              <w:t xml:space="preserve"> исполнения и </w:t>
            </w:r>
            <w:r w:rsidR="00697E86">
              <w:rPr>
                <w:rFonts w:ascii="Garamond" w:hAnsi="Garamond"/>
                <w:sz w:val="24"/>
                <w:szCs w:val="24"/>
              </w:rPr>
              <w:t>даты</w:t>
            </w:r>
            <w:r w:rsidR="00E647DD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B0831">
              <w:rPr>
                <w:rFonts w:ascii="Garamond" w:hAnsi="Garamond"/>
                <w:sz w:val="24"/>
                <w:szCs w:val="24"/>
              </w:rPr>
              <w:t>контроля исполнения</w:t>
            </w:r>
            <w:r>
              <w:rPr>
                <w:rFonts w:ascii="Garamond" w:hAnsi="Garamond"/>
                <w:sz w:val="24"/>
                <w:szCs w:val="24"/>
              </w:rPr>
              <w:t xml:space="preserve"> ПАО «Россети Северный Кавказ» и АО «Чеченэнерго»</w:t>
            </w:r>
            <w:r w:rsidR="005B0831">
              <w:rPr>
                <w:rFonts w:ascii="Garamond" w:hAnsi="Garamond"/>
                <w:sz w:val="24"/>
                <w:szCs w:val="24"/>
              </w:rPr>
              <w:t xml:space="preserve"> соглашений о порядке исполнения обязательств по итогам </w:t>
            </w:r>
            <w:r w:rsidR="00BF46AE">
              <w:rPr>
                <w:rFonts w:ascii="Garamond" w:hAnsi="Garamond"/>
                <w:sz w:val="24"/>
                <w:szCs w:val="24"/>
              </w:rPr>
              <w:t>второго квартала</w:t>
            </w:r>
            <w:r w:rsidR="005B0831">
              <w:rPr>
                <w:rFonts w:ascii="Garamond" w:hAnsi="Garamond"/>
                <w:sz w:val="24"/>
                <w:szCs w:val="24"/>
              </w:rPr>
              <w:t xml:space="preserve"> 2022 года</w:t>
            </w:r>
            <w:r w:rsidR="007955D4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6F254C">
              <w:rPr>
                <w:rFonts w:ascii="Garamond" w:hAnsi="Garamond"/>
                <w:sz w:val="24"/>
                <w:szCs w:val="24"/>
              </w:rPr>
              <w:t>необходим</w:t>
            </w:r>
            <w:r w:rsidR="000368CC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6E1B80">
              <w:rPr>
                <w:rFonts w:ascii="Garamond" w:hAnsi="Garamond"/>
                <w:sz w:val="24"/>
                <w:szCs w:val="24"/>
              </w:rPr>
              <w:t xml:space="preserve">для достижения </w:t>
            </w:r>
            <w:r w:rsidR="00697E86">
              <w:rPr>
                <w:rFonts w:ascii="Garamond" w:hAnsi="Garamond"/>
                <w:sz w:val="24"/>
                <w:szCs w:val="24"/>
              </w:rPr>
              <w:t xml:space="preserve">сторонами </w:t>
            </w:r>
            <w:r w:rsidR="006E1B80">
              <w:rPr>
                <w:rFonts w:ascii="Garamond" w:hAnsi="Garamond"/>
                <w:sz w:val="24"/>
                <w:szCs w:val="24"/>
              </w:rPr>
              <w:t xml:space="preserve">договоренностей </w:t>
            </w:r>
            <w:r w:rsidR="00E647DD">
              <w:rPr>
                <w:rFonts w:ascii="Garamond" w:hAnsi="Garamond"/>
                <w:sz w:val="24"/>
                <w:szCs w:val="24"/>
              </w:rPr>
              <w:t xml:space="preserve">об </w:t>
            </w:r>
            <w:r w:rsidR="00697E86">
              <w:rPr>
                <w:rFonts w:ascii="Garamond" w:hAnsi="Garamond"/>
                <w:sz w:val="24"/>
                <w:szCs w:val="24"/>
              </w:rPr>
              <w:t>увеличении</w:t>
            </w:r>
            <w:r w:rsidR="00E647DD">
              <w:rPr>
                <w:rFonts w:ascii="Garamond" w:hAnsi="Garamond"/>
                <w:sz w:val="24"/>
                <w:szCs w:val="24"/>
              </w:rPr>
              <w:t xml:space="preserve"> срок</w:t>
            </w:r>
            <w:r w:rsidR="00697E86">
              <w:rPr>
                <w:rFonts w:ascii="Garamond" w:hAnsi="Garamond"/>
                <w:sz w:val="24"/>
                <w:szCs w:val="24"/>
              </w:rPr>
              <w:t>а</w:t>
            </w:r>
            <w:r w:rsidR="00E647DD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DF41E9">
              <w:rPr>
                <w:rFonts w:ascii="Garamond" w:hAnsi="Garamond"/>
                <w:sz w:val="24"/>
                <w:szCs w:val="24"/>
              </w:rPr>
              <w:t xml:space="preserve">платежа по </w:t>
            </w:r>
            <w:r w:rsidR="00E647DD">
              <w:rPr>
                <w:rFonts w:ascii="Garamond" w:hAnsi="Garamond"/>
                <w:sz w:val="24"/>
                <w:szCs w:val="24"/>
              </w:rPr>
              <w:t>вексел</w:t>
            </w:r>
            <w:r w:rsidR="00047849">
              <w:rPr>
                <w:rFonts w:ascii="Garamond" w:hAnsi="Garamond"/>
                <w:sz w:val="24"/>
                <w:szCs w:val="24"/>
              </w:rPr>
              <w:t>ям</w:t>
            </w:r>
            <w:r w:rsidR="00E647DD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697E86">
              <w:rPr>
                <w:rFonts w:ascii="Garamond" w:hAnsi="Garamond"/>
                <w:sz w:val="24"/>
                <w:szCs w:val="24"/>
              </w:rPr>
              <w:t>предусмотренного</w:t>
            </w:r>
            <w:r w:rsidR="00E647DD">
              <w:rPr>
                <w:rFonts w:ascii="Garamond" w:hAnsi="Garamond"/>
                <w:sz w:val="24"/>
                <w:szCs w:val="24"/>
              </w:rPr>
              <w:t xml:space="preserve"> заключенными соглашениями </w:t>
            </w:r>
            <w:r w:rsidR="00697E86">
              <w:rPr>
                <w:rFonts w:ascii="Garamond" w:hAnsi="Garamond"/>
                <w:sz w:val="24"/>
                <w:szCs w:val="24"/>
              </w:rPr>
              <w:t>(</w:t>
            </w:r>
            <w:r w:rsidR="00E647DD">
              <w:rPr>
                <w:rFonts w:ascii="Garamond" w:hAnsi="Garamond"/>
                <w:sz w:val="24"/>
                <w:szCs w:val="24"/>
              </w:rPr>
              <w:t xml:space="preserve">в связи с </w:t>
            </w:r>
            <w:r w:rsidR="006E1B80">
              <w:rPr>
                <w:rFonts w:ascii="Garamond" w:hAnsi="Garamond"/>
                <w:sz w:val="24"/>
                <w:szCs w:val="24"/>
              </w:rPr>
              <w:t>изменен</w:t>
            </w:r>
            <w:r w:rsidR="00697E86">
              <w:rPr>
                <w:rFonts w:ascii="Garamond" w:hAnsi="Garamond"/>
                <w:sz w:val="24"/>
                <w:szCs w:val="24"/>
              </w:rPr>
              <w:t xml:space="preserve">ием котировок </w:t>
            </w:r>
            <w:r w:rsidR="006E1B80">
              <w:rPr>
                <w:rFonts w:ascii="Garamond" w:hAnsi="Garamond"/>
                <w:sz w:val="24"/>
                <w:szCs w:val="24"/>
              </w:rPr>
              <w:t>банков-векселе</w:t>
            </w:r>
            <w:r w:rsidR="00697E86">
              <w:rPr>
                <w:rFonts w:ascii="Garamond" w:hAnsi="Garamond"/>
                <w:sz w:val="24"/>
                <w:szCs w:val="24"/>
              </w:rPr>
              <w:t>дателе</w:t>
            </w:r>
            <w:r w:rsidR="006E1B80">
              <w:rPr>
                <w:rFonts w:ascii="Garamond" w:hAnsi="Garamond"/>
                <w:sz w:val="24"/>
                <w:szCs w:val="24"/>
              </w:rPr>
              <w:t xml:space="preserve">й </w:t>
            </w:r>
            <w:r w:rsidR="00697E86">
              <w:rPr>
                <w:rFonts w:ascii="Garamond" w:hAnsi="Garamond"/>
                <w:sz w:val="24"/>
                <w:szCs w:val="24"/>
              </w:rPr>
              <w:t>в</w:t>
            </w:r>
            <w:r w:rsidR="006E1B80">
              <w:rPr>
                <w:rFonts w:ascii="Garamond" w:hAnsi="Garamond"/>
                <w:sz w:val="24"/>
                <w:szCs w:val="24"/>
              </w:rPr>
              <w:t xml:space="preserve"> текущей экономической ситуации</w:t>
            </w:r>
            <w:r w:rsidR="00697E86">
              <w:rPr>
                <w:rFonts w:ascii="Garamond" w:hAnsi="Garamond"/>
                <w:sz w:val="24"/>
                <w:szCs w:val="24"/>
              </w:rPr>
              <w:t>)</w:t>
            </w:r>
            <w:r w:rsidR="00D8046B">
              <w:rPr>
                <w:rFonts w:ascii="Garamond" w:hAnsi="Garamond"/>
                <w:sz w:val="24"/>
                <w:szCs w:val="24"/>
              </w:rPr>
              <w:t>.</w:t>
            </w:r>
          </w:p>
          <w:p w:rsidR="00750AB4" w:rsidRPr="00BC7A3E" w:rsidRDefault="00AE1CAA" w:rsidP="00BF46AE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BC7A3E" w:rsidRPr="00BC7A3E">
              <w:rPr>
                <w:rFonts w:ascii="Garamond" w:hAnsi="Garamond"/>
                <w:sz w:val="24"/>
                <w:szCs w:val="24"/>
              </w:rPr>
              <w:t>2</w:t>
            </w:r>
            <w:r w:rsidR="00BF46AE">
              <w:rPr>
                <w:rFonts w:ascii="Garamond" w:hAnsi="Garamond"/>
                <w:sz w:val="24"/>
                <w:szCs w:val="24"/>
              </w:rPr>
              <w:t>5</w:t>
            </w:r>
            <w:r w:rsidR="00BC7A3E" w:rsidRPr="00BC7A3E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BC7A3E">
              <w:rPr>
                <w:rFonts w:ascii="Garamond" w:hAnsi="Garamond"/>
                <w:sz w:val="24"/>
                <w:szCs w:val="24"/>
              </w:rPr>
              <w:t>ию</w:t>
            </w:r>
            <w:r w:rsidR="00BF46AE">
              <w:rPr>
                <w:rFonts w:ascii="Garamond" w:hAnsi="Garamond"/>
                <w:sz w:val="24"/>
                <w:szCs w:val="24"/>
              </w:rPr>
              <w:t>л</w:t>
            </w:r>
            <w:r w:rsidR="00BC7A3E">
              <w:rPr>
                <w:rFonts w:ascii="Garamond" w:hAnsi="Garamond"/>
                <w:sz w:val="24"/>
                <w:szCs w:val="24"/>
              </w:rPr>
              <w:t>я 2022 года.</w:t>
            </w:r>
          </w:p>
        </w:tc>
      </w:tr>
    </w:tbl>
    <w:p w:rsidR="00750AB4" w:rsidRDefault="00750AB4">
      <w:pPr>
        <w:spacing w:after="0" w:line="240" w:lineRule="auto"/>
        <w:rPr>
          <w:rFonts w:ascii="Garamond" w:hAnsi="Garamond"/>
        </w:rPr>
      </w:pPr>
    </w:p>
    <w:p w:rsidR="00750AB4" w:rsidRDefault="00AE1CAA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  <w:sz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750AB4" w:rsidRDefault="00750AB4">
      <w:pPr>
        <w:tabs>
          <w:tab w:val="left" w:pos="709"/>
        </w:tabs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1"/>
        <w:gridCol w:w="6821"/>
        <w:gridCol w:w="6768"/>
      </w:tblGrid>
      <w:tr w:rsidR="00750AB4" w:rsidTr="00E724DA">
        <w:trPr>
          <w:trHeight w:val="6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0AB4" w:rsidRDefault="00AE1CA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№</w:t>
            </w:r>
          </w:p>
          <w:p w:rsidR="00750AB4" w:rsidRDefault="00AE1CA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val="en-GB"/>
              </w:rPr>
            </w:pPr>
            <w:r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4" w:rsidRDefault="00AE1CAA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 xml:space="preserve">Редакция, действующая на момент </w:t>
            </w:r>
          </w:p>
          <w:p w:rsidR="00750AB4" w:rsidRDefault="00AE1CAA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вступления в силу изменений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4" w:rsidRDefault="00AE1CAA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Предлагаемая редакция</w:t>
            </w:r>
          </w:p>
          <w:p w:rsidR="00750AB4" w:rsidRDefault="00AE1CAA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750AB4" w:rsidTr="00E724DA">
        <w:trPr>
          <w:trHeight w:val="6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0AB4" w:rsidRDefault="00AE1CA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18´.24.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31" w:rsidRDefault="005B0831" w:rsidP="005B0831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BF46AE" w:rsidRPr="005B0831" w:rsidRDefault="007F7ED0" w:rsidP="00BF46AE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7F7ED0">
              <w:rPr>
                <w:rFonts w:ascii="Garamond" w:hAnsi="Garamond"/>
              </w:rPr>
              <w:t>По итогам первого и второго кварталов 2022 года ЦФР фиксирует наступление событий, указанных в подп. 2 настоящего пункта, в случае если по информации, учтенной по итогам 30.06.2022 и 30.</w:t>
            </w:r>
            <w:r w:rsidRPr="007F7ED0">
              <w:rPr>
                <w:rFonts w:ascii="Garamond" w:hAnsi="Garamond"/>
                <w:highlight w:val="yellow"/>
              </w:rPr>
              <w:t>09</w:t>
            </w:r>
            <w:r w:rsidRPr="007F7ED0">
              <w:rPr>
                <w:rFonts w:ascii="Garamond" w:hAnsi="Garamond"/>
              </w:rPr>
              <w:t>.2022, у покупателя хотя бы перед одним продавцом, заключившим с ним такое соглашение, по итогам 15.05.2022 и 15.</w:t>
            </w:r>
            <w:r w:rsidRPr="007F7ED0">
              <w:rPr>
                <w:rFonts w:ascii="Garamond" w:hAnsi="Garamond"/>
                <w:highlight w:val="yellow"/>
              </w:rPr>
              <w:t>08</w:t>
            </w:r>
            <w:r w:rsidRPr="007F7ED0">
              <w:rPr>
                <w:rFonts w:ascii="Garamond" w:hAnsi="Garamond"/>
              </w:rPr>
              <w:t xml:space="preserve">.2022 (соответственно) имеется задолженность по обязательствам по оплате электрической энергии и (или) мощности за расчетные периоды до окончания первого и второго квартала 2022 года (соответственно) по любому из заключаемых в соответствии с Договором о присоединении к торговой системе оптового рынка договоров, с использованием которых осуществляется торговля электрической энергией и (или) мощностью на оптовом рынке, за исключением задолженности по договорам РСВ и БР перед продавцом, заключившим такое соглашение на условиях варианта 1 (Оплата векселями) приложения 2 к соглашению, в отношении которой до последнего рабочего дня соответствующего квартала (включительно) </w:t>
            </w:r>
            <w:r w:rsidRPr="007F7ED0">
              <w:rPr>
                <w:rFonts w:ascii="Garamond" w:hAnsi="Garamond"/>
              </w:rPr>
              <w:lastRenderedPageBreak/>
              <w:t>не были заключены договоры уступки прав (цессии) в соответствии с разделом 14 настоящего Регламента</w:t>
            </w:r>
            <w:r w:rsidR="00BF46AE" w:rsidRPr="005B0831">
              <w:rPr>
                <w:rFonts w:ascii="Garamond" w:hAnsi="Garamond"/>
              </w:rPr>
              <w:t>.</w:t>
            </w:r>
          </w:p>
          <w:p w:rsidR="00750AB4" w:rsidRDefault="00AE1CAA">
            <w:pPr>
              <w:pStyle w:val="a5"/>
              <w:ind w:firstLine="567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t>…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831" w:rsidRDefault="00AE1CAA" w:rsidP="005B0831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…</w:t>
            </w:r>
            <w:r w:rsidR="005B0831">
              <w:rPr>
                <w:rFonts w:ascii="Garamond" w:hAnsi="Garamond"/>
              </w:rPr>
              <w:t>…</w:t>
            </w:r>
          </w:p>
          <w:p w:rsidR="005B0831" w:rsidRPr="005B0831" w:rsidRDefault="005B0831" w:rsidP="005B0831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5B0831">
              <w:rPr>
                <w:rFonts w:ascii="Garamond" w:hAnsi="Garamond"/>
              </w:rPr>
              <w:t xml:space="preserve">По итогам первого и второго кварталов 2022 года ЦФР фиксирует наступление событий, указанных в подп. 2 настоящего пункта, в случае если </w:t>
            </w:r>
            <w:r w:rsidRPr="005B0831">
              <w:rPr>
                <w:rFonts w:ascii="Garamond" w:hAnsi="Garamond" w:cs="Garamond"/>
              </w:rPr>
              <w:t xml:space="preserve">по информации, учтенной </w:t>
            </w:r>
            <w:r w:rsidRPr="005B0831">
              <w:rPr>
                <w:rFonts w:ascii="Garamond" w:hAnsi="Garamond"/>
              </w:rPr>
              <w:t>по итогам 30.06.2022 и 30.</w:t>
            </w:r>
            <w:r w:rsidR="00BF46AE" w:rsidRPr="00BF46AE">
              <w:rPr>
                <w:rFonts w:ascii="Garamond" w:hAnsi="Garamond"/>
                <w:highlight w:val="yellow"/>
              </w:rPr>
              <w:t>11</w:t>
            </w:r>
            <w:r w:rsidRPr="005B0831">
              <w:rPr>
                <w:rFonts w:ascii="Garamond" w:hAnsi="Garamond"/>
              </w:rPr>
              <w:t>.2022, у покупателя хотя бы перед одним продавцом, заключившим с ним такое соглаше</w:t>
            </w:r>
            <w:r w:rsidR="00BF46AE">
              <w:rPr>
                <w:rFonts w:ascii="Garamond" w:hAnsi="Garamond"/>
              </w:rPr>
              <w:t>ние, по итогам 15.05.2022 и 15.</w:t>
            </w:r>
            <w:r w:rsidR="00BF46AE" w:rsidRPr="00BF46AE">
              <w:rPr>
                <w:rFonts w:ascii="Garamond" w:hAnsi="Garamond"/>
                <w:highlight w:val="yellow"/>
              </w:rPr>
              <w:t>10</w:t>
            </w:r>
            <w:r w:rsidRPr="005B0831">
              <w:rPr>
                <w:rFonts w:ascii="Garamond" w:hAnsi="Garamond"/>
              </w:rPr>
              <w:t>.2022 (соответственно) имеется задолженность по обязательствам по оплате электрической энергии и (или) мощности за расчетные периоды до окончания первого и второго квартала 2022 года (соответственно) по любому</w:t>
            </w:r>
            <w:r w:rsidRPr="005B0831">
              <w:rPr>
                <w:rFonts w:ascii="Garamond" w:hAnsi="Garamond"/>
                <w:color w:val="000000"/>
              </w:rPr>
              <w:t xml:space="preserve"> из </w:t>
            </w:r>
            <w:r w:rsidRPr="005B0831">
              <w:rPr>
                <w:rFonts w:ascii="Garamond" w:hAnsi="Garamond"/>
              </w:rPr>
              <w:t xml:space="preserve">заключаемых в соответствии с </w:t>
            </w:r>
            <w:r w:rsidRPr="005B0831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5B0831">
              <w:rPr>
                <w:rFonts w:ascii="Garamond" w:hAnsi="Garamond"/>
              </w:rPr>
              <w:t xml:space="preserve"> договоров, с использованием которых осуществляется торговля электрической энергией и (или) мощностью на оптовом рынке, за исключением задолженности по договорам РСВ и БР перед продавцом, заключившим такое соглашение на условиях варианта 1 (Оплата векселями) приложения 2 к соглашению, в отношении которой до последнего рабочего дня соответствующего квартала (включительно) не </w:t>
            </w:r>
            <w:r w:rsidRPr="005B0831">
              <w:rPr>
                <w:rFonts w:ascii="Garamond" w:hAnsi="Garamond"/>
              </w:rPr>
              <w:lastRenderedPageBreak/>
              <w:t>были заключены договоры уступки прав (цессии) в соответствии с разделом 14 настоящего Регламента.</w:t>
            </w:r>
          </w:p>
          <w:p w:rsidR="00750AB4" w:rsidRDefault="007F7ED0" w:rsidP="005B0831">
            <w:pPr>
              <w:pStyle w:val="a5"/>
              <w:ind w:firstLine="567"/>
              <w:rPr>
                <w:rFonts w:ascii="Garamond" w:hAnsi="Garamond"/>
                <w:color w:val="000000"/>
                <w:lang w:val="ru-RU"/>
              </w:rPr>
            </w:pPr>
            <w:r>
              <w:rPr>
                <w:rFonts w:ascii="Garamond" w:hAnsi="Garamond"/>
                <w:color w:val="000000"/>
                <w:lang w:val="ru-RU"/>
              </w:rPr>
              <w:t>…</w:t>
            </w:r>
          </w:p>
        </w:tc>
      </w:tr>
    </w:tbl>
    <w:p w:rsidR="00750AB4" w:rsidRDefault="00750AB4">
      <w:pPr>
        <w:spacing w:after="0" w:line="240" w:lineRule="auto"/>
      </w:pPr>
    </w:p>
    <w:p w:rsidR="00750AB4" w:rsidRDefault="00750AB4">
      <w:pPr>
        <w:rPr>
          <w:rFonts w:ascii="Garamond" w:hAnsi="Garamond"/>
          <w:b/>
        </w:rPr>
      </w:pPr>
    </w:p>
    <w:p w:rsidR="00750AB4" w:rsidRDefault="00750AB4">
      <w:pPr>
        <w:rPr>
          <w:rFonts w:ascii="Garamond" w:hAnsi="Garamond"/>
          <w:b/>
        </w:rPr>
      </w:pPr>
    </w:p>
    <w:p w:rsidR="00750AB4" w:rsidRDefault="00750AB4">
      <w:pPr>
        <w:rPr>
          <w:rFonts w:ascii="Garamond" w:hAnsi="Garamond"/>
          <w:b/>
        </w:rPr>
      </w:pPr>
    </w:p>
    <w:sectPr w:rsidR="00750AB4" w:rsidSect="005B0831">
      <w:pgSz w:w="16838" w:h="11906" w:orient="landscape"/>
      <w:pgMar w:top="1418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758" w:rsidRDefault="00282758">
      <w:pPr>
        <w:spacing w:after="0" w:line="240" w:lineRule="auto"/>
      </w:pPr>
      <w:r>
        <w:separator/>
      </w:r>
    </w:p>
  </w:endnote>
  <w:endnote w:type="continuationSeparator" w:id="0">
    <w:p w:rsidR="00282758" w:rsidRDefault="0028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758" w:rsidRDefault="00282758">
      <w:pPr>
        <w:spacing w:after="0" w:line="240" w:lineRule="auto"/>
      </w:pPr>
      <w:r>
        <w:separator/>
      </w:r>
    </w:p>
  </w:footnote>
  <w:footnote w:type="continuationSeparator" w:id="0">
    <w:p w:rsidR="00282758" w:rsidRDefault="00282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6083"/>
    <w:multiLevelType w:val="hybridMultilevel"/>
    <w:tmpl w:val="72F6EA7E"/>
    <w:lvl w:ilvl="0" w:tplc="6E984F1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97DF7"/>
    <w:multiLevelType w:val="hybridMultilevel"/>
    <w:tmpl w:val="78F615AC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E06CBF"/>
    <w:multiLevelType w:val="hybridMultilevel"/>
    <w:tmpl w:val="A0402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02EC"/>
    <w:multiLevelType w:val="hybridMultilevel"/>
    <w:tmpl w:val="A4609966"/>
    <w:lvl w:ilvl="0" w:tplc="FFFFFFFF">
      <w:start w:val="1"/>
      <w:numFmt w:val="bullet"/>
      <w:lvlText w:val="−"/>
      <w:lvlJc w:val="left"/>
      <w:pPr>
        <w:ind w:left="277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4" w15:restartNumberingAfterBreak="0">
    <w:nsid w:val="1FED6C51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80F7E27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BC00D47"/>
    <w:multiLevelType w:val="hybridMultilevel"/>
    <w:tmpl w:val="25A0BB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F016B43"/>
    <w:multiLevelType w:val="hybridMultilevel"/>
    <w:tmpl w:val="6CF0AD6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A26489"/>
    <w:multiLevelType w:val="hybridMultilevel"/>
    <w:tmpl w:val="642C69B2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40914ED4"/>
    <w:multiLevelType w:val="hybridMultilevel"/>
    <w:tmpl w:val="8DB27BE2"/>
    <w:lvl w:ilvl="0" w:tplc="8E0CF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2B27BE4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51042A0"/>
    <w:multiLevelType w:val="hybridMultilevel"/>
    <w:tmpl w:val="66E4A8DA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812DB"/>
    <w:multiLevelType w:val="hybridMultilevel"/>
    <w:tmpl w:val="14B4B6E8"/>
    <w:lvl w:ilvl="0" w:tplc="3124BE6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284F"/>
    <w:multiLevelType w:val="hybridMultilevel"/>
    <w:tmpl w:val="1AC41D50"/>
    <w:lvl w:ilvl="0" w:tplc="B7EC78EE">
      <w:start w:val="1"/>
      <w:numFmt w:val="decimal"/>
      <w:lvlText w:val="%1."/>
      <w:lvlJc w:val="left"/>
      <w:pPr>
        <w:ind w:left="1080" w:hanging="360"/>
      </w:pPr>
      <w:rPr>
        <w:rFonts w:cs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021F9A"/>
    <w:multiLevelType w:val="hybridMultilevel"/>
    <w:tmpl w:val="04964776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E3E36"/>
    <w:multiLevelType w:val="hybridMultilevel"/>
    <w:tmpl w:val="C12891EA"/>
    <w:lvl w:ilvl="0" w:tplc="5EB01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E3461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68C233C7"/>
    <w:multiLevelType w:val="hybridMultilevel"/>
    <w:tmpl w:val="178A76A8"/>
    <w:lvl w:ilvl="0" w:tplc="C6DC5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B545C"/>
    <w:multiLevelType w:val="multilevel"/>
    <w:tmpl w:val="1090A3FC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6.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6.4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9" w15:restartNumberingAfterBreak="0">
    <w:nsid w:val="71F93A8A"/>
    <w:multiLevelType w:val="hybridMultilevel"/>
    <w:tmpl w:val="1A2C8FCE"/>
    <w:lvl w:ilvl="0" w:tplc="FFFFFFFF">
      <w:start w:val="2"/>
      <w:numFmt w:val="bullet"/>
      <w:lvlText w:val="−"/>
      <w:lvlJc w:val="left"/>
      <w:pPr>
        <w:ind w:left="1321" w:hanging="360"/>
      </w:pPr>
      <w:rPr>
        <w:rFonts w:ascii="Garamond" w:hAnsi="Garamond" w:cs="Wingdings" w:hint="default"/>
        <w:b w:val="0"/>
        <w:i w:val="0"/>
        <w:sz w:val="28"/>
        <w:szCs w:val="28"/>
        <w:u w:val="none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0" w15:restartNumberingAfterBreak="0">
    <w:nsid w:val="72C40ECA"/>
    <w:multiLevelType w:val="hybridMultilevel"/>
    <w:tmpl w:val="EAC8A4C8"/>
    <w:lvl w:ilvl="0" w:tplc="FFFFFFFF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44669C5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A36C1C"/>
    <w:multiLevelType w:val="hybridMultilevel"/>
    <w:tmpl w:val="9A04FBC4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0"/>
  </w:num>
  <w:num w:numId="4">
    <w:abstractNumId w:val="16"/>
  </w:num>
  <w:num w:numId="5">
    <w:abstractNumId w:val="5"/>
  </w:num>
  <w:num w:numId="6">
    <w:abstractNumId w:val="3"/>
  </w:num>
  <w:num w:numId="7">
    <w:abstractNumId w:val="17"/>
  </w:num>
  <w:num w:numId="8">
    <w:abstractNumId w:val="15"/>
  </w:num>
  <w:num w:numId="9">
    <w:abstractNumId w:val="20"/>
  </w:num>
  <w:num w:numId="10">
    <w:abstractNumId w:val="14"/>
  </w:num>
  <w:num w:numId="11">
    <w:abstractNumId w:val="8"/>
  </w:num>
  <w:num w:numId="12">
    <w:abstractNumId w:val="1"/>
  </w:num>
  <w:num w:numId="13">
    <w:abstractNumId w:val="18"/>
  </w:num>
  <w:num w:numId="14">
    <w:abstractNumId w:val="9"/>
  </w:num>
  <w:num w:numId="15">
    <w:abstractNumId w:val="13"/>
  </w:num>
  <w:num w:numId="16">
    <w:abstractNumId w:val="6"/>
  </w:num>
  <w:num w:numId="17">
    <w:abstractNumId w:val="2"/>
  </w:num>
  <w:num w:numId="18">
    <w:abstractNumId w:val="7"/>
  </w:num>
  <w:num w:numId="19">
    <w:abstractNumId w:val="22"/>
  </w:num>
  <w:num w:numId="20">
    <w:abstractNumId w:val="0"/>
  </w:num>
  <w:num w:numId="21">
    <w:abstractNumId w:val="12"/>
  </w:num>
  <w:num w:numId="22">
    <w:abstractNumId w:val="1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B4"/>
    <w:rsid w:val="000368CC"/>
    <w:rsid w:val="00047849"/>
    <w:rsid w:val="000C6A4F"/>
    <w:rsid w:val="000D1367"/>
    <w:rsid w:val="001935B9"/>
    <w:rsid w:val="00282758"/>
    <w:rsid w:val="002B23DD"/>
    <w:rsid w:val="003241FE"/>
    <w:rsid w:val="00337AB0"/>
    <w:rsid w:val="003A6F40"/>
    <w:rsid w:val="0040320F"/>
    <w:rsid w:val="004D0AD4"/>
    <w:rsid w:val="004F255F"/>
    <w:rsid w:val="005B0831"/>
    <w:rsid w:val="005C227F"/>
    <w:rsid w:val="00607EC5"/>
    <w:rsid w:val="00676F57"/>
    <w:rsid w:val="00697E86"/>
    <w:rsid w:val="006B45FF"/>
    <w:rsid w:val="006E1B80"/>
    <w:rsid w:val="006E38E3"/>
    <w:rsid w:val="006F254C"/>
    <w:rsid w:val="00750AB4"/>
    <w:rsid w:val="007706FD"/>
    <w:rsid w:val="00775BF7"/>
    <w:rsid w:val="007955D4"/>
    <w:rsid w:val="007A0ADE"/>
    <w:rsid w:val="007A0E77"/>
    <w:rsid w:val="007F7ED0"/>
    <w:rsid w:val="00805C29"/>
    <w:rsid w:val="0082265B"/>
    <w:rsid w:val="008413B8"/>
    <w:rsid w:val="009611C0"/>
    <w:rsid w:val="009D556B"/>
    <w:rsid w:val="009E21C6"/>
    <w:rsid w:val="00A423C8"/>
    <w:rsid w:val="00AC0375"/>
    <w:rsid w:val="00AD1FDA"/>
    <w:rsid w:val="00AE1CAA"/>
    <w:rsid w:val="00AF7FBF"/>
    <w:rsid w:val="00BC7A3E"/>
    <w:rsid w:val="00BF46AE"/>
    <w:rsid w:val="00D8046B"/>
    <w:rsid w:val="00DF41E9"/>
    <w:rsid w:val="00E275C4"/>
    <w:rsid w:val="00E647DD"/>
    <w:rsid w:val="00E724DA"/>
    <w:rsid w:val="00EA16E5"/>
    <w:rsid w:val="00F462FF"/>
    <w:rsid w:val="00F6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4047"/>
  <w15:chartTrackingRefBased/>
  <w15:docId w15:val="{18750489-470E-4C71-B546-6C0E9449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aliases w:val="H3,Заголовок подпукта (1.1.1),Level 1 - 1,o"/>
    <w:basedOn w:val="a"/>
    <w:link w:val="31"/>
    <w:autoRedefine/>
    <w:qFormat/>
    <w:pPr>
      <w:widowControl w:val="0"/>
      <w:spacing w:before="120" w:after="120" w:line="240" w:lineRule="auto"/>
      <w:ind w:firstLine="567"/>
      <w:jc w:val="both"/>
      <w:outlineLvl w:val="2"/>
    </w:pPr>
    <w:rPr>
      <w:rFonts w:ascii="Garamond" w:eastAsia="Times New Roman" w:hAnsi="Garamond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List Paragraph"/>
    <w:basedOn w:val="a"/>
    <w:link w:val="a4"/>
    <w:uiPriority w:val="34"/>
    <w:qFormat/>
    <w:pPr>
      <w:spacing w:before="180" w:after="60" w:line="240" w:lineRule="auto"/>
      <w:ind w:left="720"/>
      <w:contextualSpacing/>
    </w:pPr>
    <w:rPr>
      <w:rFonts w:ascii="Garamond" w:eastAsia="Times New Roman" w:hAnsi="Garamond"/>
      <w:szCs w:val="20"/>
      <w:lang w:val="en-GB"/>
    </w:rPr>
  </w:style>
  <w:style w:type="paragraph" w:styleId="a5">
    <w:name w:val="Body Text"/>
    <w:aliases w:val="body text"/>
    <w:basedOn w:val="a"/>
    <w:link w:val="1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a6">
    <w:name w:val="Основной текст Знак"/>
    <w:basedOn w:val="a0"/>
    <w:uiPriority w:val="99"/>
    <w:semiHidden/>
    <w:rPr>
      <w:rFonts w:ascii="Calibri" w:eastAsia="Calibri" w:hAnsi="Calibri" w:cs="Times New Roman"/>
    </w:rPr>
  </w:style>
  <w:style w:type="character" w:customStyle="1" w:styleId="1">
    <w:name w:val="Основной текст Знак1"/>
    <w:aliases w:val="body text Знак"/>
    <w:link w:val="a5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11">
    <w:name w:val="Обычный + 11 пт"/>
    <w:aliases w:val="По ширине"/>
    <w:basedOn w:val="a"/>
    <w:pPr>
      <w:tabs>
        <w:tab w:val="num" w:pos="1680"/>
      </w:tabs>
      <w:spacing w:after="0" w:line="240" w:lineRule="auto"/>
      <w:ind w:left="1680" w:hanging="114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31">
    <w:name w:val="Заголовок 3 Знак1"/>
    <w:aliases w:val="H3 Знак,Заголовок подпукта (1.1.1) Знак,Level 1 - 1 Знак,o Знак"/>
    <w:link w:val="3"/>
    <w:locked/>
    <w:rPr>
      <w:rFonts w:ascii="Garamond" w:eastAsia="Times New Roman" w:hAnsi="Garamond" w:cs="Times New Roman"/>
      <w:b/>
      <w:color w:val="000000"/>
    </w:rPr>
  </w:style>
  <w:style w:type="character" w:customStyle="1" w:styleId="a4">
    <w:name w:val="Абзац списка Знак"/>
    <w:link w:val="a3"/>
    <w:uiPriority w:val="34"/>
    <w:rPr>
      <w:rFonts w:ascii="Garamond" w:eastAsia="Times New Roman" w:hAnsi="Garamond" w:cs="Times New Roman"/>
      <w:szCs w:val="20"/>
      <w:lang w:val="en-GB"/>
    </w:rPr>
  </w:style>
  <w:style w:type="character" w:customStyle="1" w:styleId="a7">
    <w:name w:val="Основной текст_"/>
    <w:basedOn w:val="a0"/>
    <w:link w:val="10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7"/>
    <w:pPr>
      <w:widowControl w:val="0"/>
      <w:spacing w:after="0" w:line="283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pPr>
      <w:spacing w:after="0" w:line="240" w:lineRule="auto"/>
    </w:pPr>
    <w:rPr>
      <w:rFonts w:ascii="Garamond" w:eastAsia="Times New Roman" w:hAnsi="Garamond"/>
      <w:sz w:val="20"/>
      <w:szCs w:val="20"/>
      <w:lang w:val="en-GB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Garamond" w:eastAsia="Times New Roman" w:hAnsi="Garamond" w:cs="Times New Roman"/>
      <w:sz w:val="20"/>
      <w:szCs w:val="20"/>
      <w:lang w:val="en-GB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b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21">
    <w:name w:val="Основной текст Знак2"/>
    <w:aliases w:val="body text Знак2,Основной текст Знак3"/>
    <w:rPr>
      <w:sz w:val="22"/>
      <w:lang w:val="en-GB" w:eastAsia="en-US" w:bidi="ar-SA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3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">
    <w:name w:val="Основной текст Знак4"/>
    <w:aliases w:val="body text Знак3"/>
    <w:rPr>
      <w:sz w:val="22"/>
      <w:lang w:val="en-GB" w:eastAsia="en-US" w:bidi="ar-SA"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6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герой</dc:creator>
  <cp:keywords/>
  <dc:description/>
  <cp:lastModifiedBy>Пряхина Ирина Игоревна</cp:lastModifiedBy>
  <cp:revision>7</cp:revision>
  <dcterms:created xsi:type="dcterms:W3CDTF">2022-07-21T15:39:00Z</dcterms:created>
  <dcterms:modified xsi:type="dcterms:W3CDTF">2022-07-26T06:42:00Z</dcterms:modified>
</cp:coreProperties>
</file>