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116A9" w14:textId="77777777" w:rsidR="00C83068" w:rsidRDefault="00C83068" w:rsidP="00C83068">
      <w:pPr>
        <w:widowControl w:val="0"/>
        <w:rPr>
          <w:rFonts w:ascii="Garamond" w:eastAsiaTheme="minorHAnsi" w:hAnsi="Garamond"/>
          <w:b/>
          <w:bCs/>
          <w:sz w:val="28"/>
          <w:szCs w:val="28"/>
          <w:lang w:eastAsia="en-US"/>
        </w:rPr>
      </w:pPr>
      <w:r>
        <w:rPr>
          <w:rFonts w:ascii="Garamond" w:eastAsiaTheme="minorHAnsi" w:hAnsi="Garamond"/>
          <w:b/>
          <w:bCs/>
          <w:sz w:val="28"/>
          <w:szCs w:val="28"/>
          <w:lang w:val="en-US" w:eastAsia="en-US"/>
        </w:rPr>
        <w:t>X</w:t>
      </w:r>
      <w:r w:rsidRPr="00D766C5">
        <w:rPr>
          <w:rFonts w:ascii="Garamond" w:eastAsiaTheme="minorHAnsi" w:hAnsi="Garamond"/>
          <w:b/>
          <w:bCs/>
          <w:sz w:val="28"/>
          <w:szCs w:val="28"/>
          <w:lang w:eastAsia="en-US"/>
        </w:rPr>
        <w:t xml:space="preserve">.1. </w:t>
      </w:r>
      <w:r>
        <w:rPr>
          <w:rFonts w:ascii="Garamond" w:eastAsiaTheme="minorHAnsi" w:hAnsi="Garamond"/>
          <w:b/>
          <w:bCs/>
          <w:sz w:val="28"/>
          <w:szCs w:val="28"/>
          <w:lang w:eastAsia="en-US"/>
        </w:rPr>
        <w:t>Изменения, связанные с присвоением правопреемнику статуса субъекта оптового рынка</w:t>
      </w:r>
    </w:p>
    <w:p w14:paraId="5C1F4CF3" w14:textId="77777777" w:rsidR="00C83068" w:rsidRPr="00CA6D21" w:rsidRDefault="00C83068" w:rsidP="00C83068">
      <w:pPr>
        <w:widowControl w:val="0"/>
        <w:ind w:right="-201"/>
        <w:jc w:val="right"/>
        <w:rPr>
          <w:rFonts w:ascii="Garamond" w:eastAsiaTheme="minorHAnsi" w:hAnsi="Garamond"/>
          <w:b/>
          <w:bCs/>
          <w:sz w:val="28"/>
          <w:szCs w:val="28"/>
          <w:lang w:eastAsia="en-US"/>
        </w:rPr>
      </w:pPr>
    </w:p>
    <w:p w14:paraId="37D7F446" w14:textId="77777777" w:rsidR="00C83068" w:rsidRPr="00D766C5" w:rsidRDefault="00C83068" w:rsidP="00655BE9">
      <w:pPr>
        <w:widowControl w:val="0"/>
        <w:ind w:right="82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eastAsiaTheme="minorHAnsi" w:hAnsi="Garamond"/>
          <w:b/>
          <w:bCs/>
          <w:sz w:val="28"/>
          <w:szCs w:val="28"/>
          <w:lang w:eastAsia="en-US"/>
        </w:rPr>
        <w:t xml:space="preserve">Приложение № </w:t>
      </w:r>
      <w:r>
        <w:rPr>
          <w:rFonts w:ascii="Garamond" w:eastAsiaTheme="minorHAnsi" w:hAnsi="Garamond"/>
          <w:b/>
          <w:bCs/>
          <w:sz w:val="28"/>
          <w:szCs w:val="28"/>
          <w:lang w:val="en-US" w:eastAsia="en-US"/>
        </w:rPr>
        <w:t>10.1</w:t>
      </w:r>
    </w:p>
    <w:p w14:paraId="716CFCC2" w14:textId="77777777" w:rsidR="00013366" w:rsidRDefault="00013366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013366" w14:paraId="0D5DEFC0" w14:textId="77777777" w:rsidTr="00655BE9">
        <w:trPr>
          <w:trHeight w:val="928"/>
        </w:trPr>
        <w:tc>
          <w:tcPr>
            <w:tcW w:w="14737" w:type="dxa"/>
          </w:tcPr>
          <w:p w14:paraId="7D29A14C" w14:textId="77777777" w:rsidR="00013366" w:rsidRDefault="002B648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 xml:space="preserve">Инициатор: </w:t>
            </w:r>
            <w:r>
              <w:rPr>
                <w:rFonts w:ascii="Garamond" w:hAnsi="Garamond"/>
              </w:rPr>
              <w:t xml:space="preserve">член Наблюдательного совета Ассоциации «НП Совет рынка» </w:t>
            </w:r>
            <w:proofErr w:type="spellStart"/>
            <w:r>
              <w:rPr>
                <w:rFonts w:ascii="Garamond" w:hAnsi="Garamond"/>
              </w:rPr>
              <w:t>М.М</w:t>
            </w:r>
            <w:proofErr w:type="spellEnd"/>
            <w:r>
              <w:rPr>
                <w:rFonts w:ascii="Garamond" w:hAnsi="Garamond"/>
              </w:rPr>
              <w:t>. Булыгин.</w:t>
            </w:r>
          </w:p>
          <w:p w14:paraId="411DE682" w14:textId="05E25DED" w:rsidR="00013366" w:rsidRDefault="002B6483">
            <w:pPr>
              <w:pStyle w:val="3"/>
              <w:keepNext w:val="0"/>
              <w:widowControl w:val="0"/>
              <w:spacing w:before="0" w:after="0"/>
              <w:jc w:val="both"/>
              <w:rPr>
                <w:rFonts w:ascii="Garamond" w:hAnsi="Garamond"/>
                <w:b w:val="0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Обоснование</w:t>
            </w:r>
            <w:r w:rsidRPr="00E46A47">
              <w:rPr>
                <w:rFonts w:ascii="Garamond" w:hAnsi="Garamond"/>
                <w:sz w:val="24"/>
                <w:szCs w:val="20"/>
              </w:rPr>
              <w:t>:</w:t>
            </w:r>
            <w:r>
              <w:rPr>
                <w:rFonts w:ascii="Garamond" w:hAnsi="Garamond"/>
                <w:b w:val="0"/>
                <w:sz w:val="24"/>
                <w:szCs w:val="20"/>
              </w:rPr>
              <w:t xml:space="preserve"> необходимо предусмотреть особенности процедуры правопреем</w:t>
            </w:r>
            <w:r w:rsidR="008F569A">
              <w:rPr>
                <w:rFonts w:ascii="Garamond" w:hAnsi="Garamond"/>
                <w:b w:val="0"/>
                <w:sz w:val="24"/>
                <w:szCs w:val="20"/>
              </w:rPr>
              <w:t>с</w:t>
            </w:r>
            <w:r>
              <w:rPr>
                <w:rFonts w:ascii="Garamond" w:hAnsi="Garamond"/>
                <w:b w:val="0"/>
                <w:sz w:val="24"/>
                <w:szCs w:val="20"/>
              </w:rPr>
              <w:t>тва для случая, когда правопредшественник является банкротом.</w:t>
            </w:r>
          </w:p>
          <w:p w14:paraId="3320D37B" w14:textId="16E97C30" w:rsidR="00013366" w:rsidRDefault="002B6483">
            <w:pPr>
              <w:pStyle w:val="3"/>
              <w:keepNext w:val="0"/>
              <w:widowControl w:val="0"/>
              <w:spacing w:before="0" w:after="0"/>
              <w:jc w:val="both"/>
            </w:pPr>
            <w:r>
              <w:rPr>
                <w:rFonts w:ascii="Garamond" w:hAnsi="Garamond"/>
                <w:bCs w:val="0"/>
                <w:sz w:val="24"/>
                <w:szCs w:val="20"/>
              </w:rPr>
              <w:t xml:space="preserve">Дата вступления в силу: </w:t>
            </w:r>
            <w:r w:rsidRPr="00C83068">
              <w:rPr>
                <w:rFonts w:ascii="Garamond" w:hAnsi="Garamond"/>
                <w:b w:val="0"/>
                <w:sz w:val="24"/>
                <w:szCs w:val="20"/>
              </w:rPr>
              <w:t>с 20 февраля 2026 года и распространяют свое действие на отношения сторон по Договору о присоединении к торговой системе оптового рынка, возникшие с 1 февраля 2026 года</w:t>
            </w:r>
            <w:r w:rsidR="0006510D">
              <w:rPr>
                <w:rFonts w:ascii="Garamond" w:hAnsi="Garamond"/>
                <w:b w:val="0"/>
                <w:sz w:val="24"/>
                <w:szCs w:val="20"/>
              </w:rPr>
              <w:t>,</w:t>
            </w:r>
            <w:r w:rsidRPr="00C83068">
              <w:rPr>
                <w:rFonts w:ascii="Garamond" w:hAnsi="Garamond"/>
                <w:b w:val="0"/>
                <w:sz w:val="24"/>
                <w:szCs w:val="20"/>
              </w:rPr>
              <w:t xml:space="preserve"> и действуют по 31 марта 2026 года (включительно).</w:t>
            </w:r>
          </w:p>
        </w:tc>
      </w:tr>
    </w:tbl>
    <w:p w14:paraId="67C358F6" w14:textId="77777777" w:rsidR="00013366" w:rsidRDefault="00013366">
      <w:pPr>
        <w:pStyle w:val="20"/>
        <w:keepNext w:val="0"/>
        <w:widowControl w:val="0"/>
        <w:jc w:val="both"/>
        <w:rPr>
          <w:rFonts w:ascii="Garamond" w:hAnsi="Garamond"/>
          <w:sz w:val="24"/>
          <w:szCs w:val="24"/>
        </w:rPr>
      </w:pPr>
      <w:bookmarkStart w:id="0" w:name="_Toc101261834"/>
      <w:bookmarkStart w:id="1" w:name="_Toc101672096"/>
      <w:bookmarkStart w:id="2" w:name="_Toc103055809"/>
      <w:bookmarkStart w:id="3" w:name="_Toc105228112"/>
      <w:bookmarkStart w:id="4" w:name="_Toc107045995"/>
    </w:p>
    <w:p w14:paraId="2D064B34" w14:textId="4816ACBD" w:rsidR="00013366" w:rsidRDefault="002B6483">
      <w:pPr>
        <w:pStyle w:val="20"/>
        <w:keepNext w:val="0"/>
        <w:widowControl w:val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Предложения по изменениям и дополнениям в </w:t>
      </w:r>
      <w:bookmarkEnd w:id="0"/>
      <w:bookmarkEnd w:id="1"/>
      <w:r>
        <w:rPr>
          <w:rFonts w:ascii="Garamond" w:hAnsi="Garamond"/>
          <w:sz w:val="26"/>
          <w:szCs w:val="26"/>
        </w:rPr>
        <w:t>ПОЛОЖЕНИЕ О ПОРЯДКЕ ПОЛУЧЕНИЯ СТАТУСА СУБЪЕКТА ОПТОВОГО РЫНКА И ВЕДЕНИЯ РЕЕСТРА СУБЪЕКТОВ ОПТОВОГО РЫНКА</w:t>
      </w:r>
      <w:r w:rsidR="00E46A47">
        <w:rPr>
          <w:rFonts w:ascii="Garamond" w:hAnsi="Garamond"/>
          <w:sz w:val="26"/>
          <w:szCs w:val="26"/>
        </w:rPr>
        <w:t xml:space="preserve"> (Приложение № 1.1 к Договору о </w:t>
      </w:r>
      <w:r>
        <w:rPr>
          <w:rFonts w:ascii="Garamond" w:hAnsi="Garamond"/>
          <w:sz w:val="26"/>
          <w:szCs w:val="26"/>
        </w:rPr>
        <w:t>присоединении к торговой системе оптового рынка)</w:t>
      </w:r>
      <w:bookmarkEnd w:id="2"/>
      <w:bookmarkEnd w:id="3"/>
      <w:bookmarkEnd w:id="4"/>
    </w:p>
    <w:p w14:paraId="657FE4C7" w14:textId="77777777" w:rsidR="00013366" w:rsidRDefault="00013366">
      <w:pPr>
        <w:widowControl w:val="0"/>
        <w:rPr>
          <w:rFonts w:ascii="Garamond" w:hAnsi="Garamond"/>
        </w:rPr>
      </w:pPr>
    </w:p>
    <w:tbl>
      <w:tblPr>
        <w:tblW w:w="148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662"/>
        <w:gridCol w:w="7229"/>
      </w:tblGrid>
      <w:tr w:rsidR="00013366" w14:paraId="16B0DD0A" w14:textId="77777777" w:rsidTr="00655BE9">
        <w:tc>
          <w:tcPr>
            <w:tcW w:w="918" w:type="dxa"/>
            <w:vAlign w:val="center"/>
          </w:tcPr>
          <w:p w14:paraId="76788CCB" w14:textId="77777777" w:rsidR="00013366" w:rsidRDefault="002B648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09BE342C" w14:textId="77777777" w:rsidR="00013366" w:rsidRDefault="002B648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62" w:type="dxa"/>
          </w:tcPr>
          <w:p w14:paraId="60E4292A" w14:textId="77777777" w:rsidR="00013366" w:rsidRDefault="002B6483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2C0C1E67" w14:textId="77777777" w:rsidR="00013366" w:rsidRDefault="002B6483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29" w:type="dxa"/>
          </w:tcPr>
          <w:p w14:paraId="67F72FB4" w14:textId="77777777" w:rsidR="00013366" w:rsidRDefault="002B648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10EE07E0" w14:textId="77777777" w:rsidR="00013366" w:rsidRDefault="002B6483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013366" w14:paraId="2071768D" w14:textId="77777777" w:rsidTr="00655BE9">
        <w:tc>
          <w:tcPr>
            <w:tcW w:w="918" w:type="dxa"/>
            <w:vAlign w:val="center"/>
          </w:tcPr>
          <w:p w14:paraId="1A1C991C" w14:textId="0020A7EE" w:rsidR="00013366" w:rsidRDefault="002B648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2</w:t>
            </w:r>
            <w:r w:rsidR="00E46A47">
              <w:rPr>
                <w:rFonts w:ascii="Garamond" w:hAnsi="Garamond"/>
                <w:b/>
                <w:sz w:val="22"/>
                <w:szCs w:val="22"/>
              </w:rPr>
              <w:t>, п. </w:t>
            </w:r>
          </w:p>
          <w:p w14:paraId="562A7DCB" w14:textId="77777777" w:rsidR="00013366" w:rsidRDefault="002B648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2.3.1</w:t>
            </w:r>
          </w:p>
        </w:tc>
        <w:tc>
          <w:tcPr>
            <w:tcW w:w="6662" w:type="dxa"/>
          </w:tcPr>
          <w:p w14:paraId="3728BE8C" w14:textId="77777777" w:rsidR="00013366" w:rsidRDefault="002B6483">
            <w:pPr>
              <w:pStyle w:val="11"/>
              <w:spacing w:before="120" w:after="120"/>
              <w:ind w:left="0" w:firstLine="600"/>
              <w:contextualSpacing w:val="0"/>
              <w:rPr>
                <w:szCs w:val="22"/>
              </w:rPr>
            </w:pPr>
            <w:r>
              <w:rPr>
                <w:szCs w:val="22"/>
              </w:rPr>
              <w:t>Коммерческий оператор в течение 3 (трех) рабочих дней с даты направления уведомления о соответствии пакета документов заявителя должен 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(за исключением случаев, предусмотренных п. 2.3.2 настоящего приложения).</w:t>
            </w:r>
          </w:p>
          <w:p w14:paraId="3122C69E" w14:textId="77777777" w:rsidR="00013366" w:rsidRDefault="002B6483">
            <w:pPr>
              <w:pStyle w:val="af8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В случае если комплект документов с заявлением по форме </w:t>
            </w:r>
            <w:proofErr w:type="spellStart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Х2</w:t>
            </w:r>
            <w:proofErr w:type="spellEnd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для целей перехода прав и обязанностей по договорам на модернизацию был предоставлен правопреемником на основании совершения сделки (-</w:t>
            </w:r>
            <w:proofErr w:type="spellStart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ок</w:t>
            </w:r>
            <w:proofErr w:type="spellEnd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) в отношении ГТП генерации, закрепленной за </w:t>
            </w:r>
            <w:proofErr w:type="spellStart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правопредшественником</w:t>
            </w:r>
            <w:proofErr w:type="spellEnd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– продавцом по договорам на модернизацию и относящейся к электрической станции, в состав которой включено генерирующее оборудование, в отношении которого планируется реализация мероприятий по модернизации и которое указано в приложении 4 к договорам на модернизацию, вышеуказанный пакет документов направляется Коммерческим оператором в Совет рынка одновременно:</w:t>
            </w:r>
          </w:p>
          <w:p w14:paraId="1E2A795C" w14:textId="77777777" w:rsidR="00013366" w:rsidRDefault="002B6483">
            <w:pPr>
              <w:pStyle w:val="af8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iCs/>
                <w:sz w:val="22"/>
                <w:szCs w:val="22"/>
              </w:rPr>
              <w:t xml:space="preserve">– 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по всем ГТП генерации, включающим генерирующее оборудование, функционирующее до реализации мероприятий по модернизации и указанное в приложении 4 к договорам на модернизацию (за исключением оборудования, выведенного из эксплуатации в рамках реализации мероприятий по модернизации);</w:t>
            </w:r>
          </w:p>
          <w:p w14:paraId="5E7E8FB8" w14:textId="77777777" w:rsidR="00013366" w:rsidRDefault="002B6483">
            <w:pPr>
              <w:pStyle w:val="af8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– по всем остальным ГТП генерации, относящимся к соответствующей (-им) электрической (-им) станции (-ям), к которой (-ым) относятся вышеуказанные ГТП генерации, –</w:t>
            </w:r>
          </w:p>
          <w:p w14:paraId="385C62C1" w14:textId="77777777" w:rsidR="00013366" w:rsidRDefault="002B6483">
            <w:pPr>
              <w:pStyle w:val="11"/>
              <w:spacing w:before="120" w:after="120"/>
              <w:ind w:left="0"/>
              <w:contextualSpacing w:val="0"/>
              <w:rPr>
                <w:szCs w:val="22"/>
              </w:rPr>
            </w:pPr>
            <w:r>
              <w:rPr>
                <w:szCs w:val="22"/>
              </w:rPr>
              <w:t>в течение 1 (одного) рабочего дня с даты направления уведомления о соответствии пакета документов правопреемника по последней из таких ГТП генерации.</w:t>
            </w:r>
          </w:p>
          <w:p w14:paraId="4B4568F1" w14:textId="77777777" w:rsidR="00013366" w:rsidRDefault="002B6483">
            <w:pPr>
              <w:pStyle w:val="11"/>
              <w:spacing w:before="120" w:after="120"/>
              <w:ind w:left="0" w:firstLine="600"/>
              <w:contextualSpacing w:val="0"/>
              <w:rPr>
                <w:szCs w:val="22"/>
              </w:rPr>
            </w:pPr>
            <w:r>
              <w:rPr>
                <w:szCs w:val="22"/>
              </w:rPr>
              <w:t xml:space="preserve">Рассмотрение Наблюдательным советом Совета рынка вопроса о присвоении правопреемнику статуса субъекта оптового рынка,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осуществляется на очередном заседании после получения Советом рынка соответствующего пакета документов с одновременным рассмотрением вопроса о лишении права участия в торговле правопредшественника по соответствующей ГТП. Статус субъекта оптового рынка присваивается правопреемнику одновременно с включением в реестр субъектов оптового рынка и регистрацией ГТП с даты принятия соответствующего решения Наблюдательным советом Совета рынка или с даты завершения реорганизации – в случае если статус субъекта оптового рынка присваивается правопреемнику, находящемуся в процессе реорганизации. </w:t>
            </w:r>
          </w:p>
          <w:p w14:paraId="40D7D5CB" w14:textId="77777777" w:rsidR="00013366" w:rsidRDefault="002B6483">
            <w:pPr>
              <w:pStyle w:val="11"/>
              <w:spacing w:before="120" w:after="120"/>
              <w:ind w:left="0" w:firstLine="600"/>
              <w:contextualSpacing w:val="0"/>
              <w:rPr>
                <w:szCs w:val="22"/>
              </w:rPr>
            </w:pPr>
            <w:r>
              <w:rPr>
                <w:szCs w:val="22"/>
              </w:rPr>
              <w:t xml:space="preserve">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правопредшественника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а также выполнения требования п. 2.10 </w:t>
            </w:r>
            <w:r>
              <w:rPr>
                <w:i/>
                <w:szCs w:val="22"/>
              </w:rPr>
              <w:t>Регламента допуска к торговой системе оптового рынка</w:t>
            </w:r>
            <w:r>
              <w:rPr>
                <w:szCs w:val="22"/>
              </w:rPr>
              <w:t xml:space="preserve"> (Приложение № 1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 xml:space="preserve">к </w:t>
            </w:r>
            <w:r>
              <w:rPr>
                <w:i/>
                <w:szCs w:val="22"/>
              </w:rPr>
              <w:t>Договору о присоединении к торговой системе оптового рынка</w:t>
            </w:r>
            <w:r>
              <w:rPr>
                <w:szCs w:val="22"/>
              </w:rPr>
              <w:t>) (у правопреемника, находящегося в процессе реорганизации, право участия в торговле электрической энергией и (или) мощностью по соответствующей ГТП правопредшественника возникает с даты завершения реорганизации и присвоения статуса субъекта оптового рынка).</w:t>
            </w:r>
          </w:p>
          <w:p w14:paraId="3331AA55" w14:textId="77777777" w:rsidR="00013366" w:rsidRDefault="002B6483">
            <w:pPr>
              <w:pStyle w:val="11"/>
              <w:spacing w:before="120" w:after="120"/>
              <w:ind w:left="0" w:firstLine="600"/>
              <w:contextualSpacing w:val="0"/>
              <w:rPr>
                <w:szCs w:val="22"/>
              </w:rPr>
            </w:pPr>
            <w:r>
              <w:rPr>
                <w:szCs w:val="22"/>
              </w:rPr>
              <w:t xml:space="preserve">При этом в случае, если правопреемник является организацией, образованной в результате реорганизации правопредшественника в форме присоединения или слияния, п. 2.10 </w:t>
            </w:r>
            <w:r>
              <w:rPr>
                <w:i/>
                <w:szCs w:val="22"/>
              </w:rPr>
              <w:t>Регламента допуска к торговой системе оптового рынка</w:t>
            </w:r>
            <w:r>
              <w:rPr>
                <w:szCs w:val="22"/>
              </w:rPr>
              <w:t xml:space="preserve"> (Приложение № 1 к </w:t>
            </w:r>
            <w:r>
              <w:rPr>
                <w:i/>
                <w:szCs w:val="22"/>
              </w:rPr>
              <w:t>Договору о присоединении к торговой системе оптового рынка</w:t>
            </w:r>
            <w:r>
              <w:rPr>
                <w:szCs w:val="22"/>
              </w:rPr>
              <w:t>) не применяется.</w:t>
            </w:r>
          </w:p>
          <w:p w14:paraId="136053B3" w14:textId="77777777" w:rsidR="00013366" w:rsidRDefault="00013366">
            <w:pPr>
              <w:pStyle w:val="11"/>
              <w:spacing w:before="120" w:after="120"/>
              <w:ind w:left="0" w:firstLine="600"/>
              <w:contextualSpacing w:val="0"/>
              <w:rPr>
                <w:szCs w:val="22"/>
              </w:rPr>
            </w:pPr>
          </w:p>
          <w:p w14:paraId="7177C52D" w14:textId="77777777" w:rsidR="00013366" w:rsidRDefault="002B6483">
            <w:pPr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...</w:t>
            </w:r>
          </w:p>
          <w:p w14:paraId="1AD456AC" w14:textId="77777777" w:rsidR="00013366" w:rsidRDefault="00013366">
            <w:pPr>
              <w:spacing w:before="120" w:after="120"/>
              <w:ind w:firstLine="60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5F0DB9C2" w14:textId="77777777" w:rsidR="00013366" w:rsidRDefault="00013366">
            <w:pPr>
              <w:spacing w:before="120" w:after="120"/>
              <w:ind w:firstLine="600"/>
              <w:jc w:val="both"/>
              <w:outlineLvl w:val="3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</w:tcPr>
          <w:p w14:paraId="2C9C26F0" w14:textId="77777777" w:rsidR="00013366" w:rsidRDefault="002B6483">
            <w:pPr>
              <w:pStyle w:val="11"/>
              <w:spacing w:before="120" w:after="120"/>
              <w:ind w:left="0" w:firstLine="600"/>
              <w:contextualSpacing w:val="0"/>
              <w:rPr>
                <w:szCs w:val="22"/>
              </w:rPr>
            </w:pPr>
            <w:r>
              <w:rPr>
                <w:szCs w:val="22"/>
              </w:rPr>
              <w:t>Коммерческий оператор в течение 3 (трех) рабочих дней с даты направления уведомления о соответствии пакета документов заявителя должен 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 и (или) рег</w:t>
            </w:r>
            <w:bookmarkStart w:id="5" w:name="_GoBack"/>
            <w:bookmarkEnd w:id="5"/>
            <w:r>
              <w:rPr>
                <w:szCs w:val="22"/>
              </w:rPr>
              <w:t>истрации группы точек поставки и предоставлении права участия в торговле электрической энергией и (или) мощностью на оптовом рынке (за исключением случаев, предусмотренных п. 2.3.2 настоящего приложения).</w:t>
            </w:r>
          </w:p>
          <w:p w14:paraId="7D8E8865" w14:textId="77777777" w:rsidR="00013366" w:rsidRDefault="002B6483">
            <w:pPr>
              <w:pStyle w:val="af8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В случае если комплект документов с заявлением по форме </w:t>
            </w:r>
            <w:proofErr w:type="spellStart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Х2</w:t>
            </w:r>
            <w:proofErr w:type="spellEnd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для целей перехода прав и обязанностей по договорам на модернизацию был предоставлен правопреемником на основании совершения сделки (-</w:t>
            </w:r>
            <w:proofErr w:type="spellStart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ок</w:t>
            </w:r>
            <w:proofErr w:type="spellEnd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) в отношении ГТП генерации, закрепленной за </w:t>
            </w:r>
            <w:proofErr w:type="spellStart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правопредшественником</w:t>
            </w:r>
            <w:proofErr w:type="spellEnd"/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– продавцом по договорам на модернизацию и относящейся к электрической станции, в состав которой включено генерирующее оборудование, в отношении которого планируется реализация мероприятий по модернизации и которое указано в приложении 4 к договорам на модернизацию, вышеуказанный пакет документов направляется Коммерческим оператором в Совет рынка одновременно:</w:t>
            </w:r>
          </w:p>
          <w:p w14:paraId="60138845" w14:textId="77777777" w:rsidR="00013366" w:rsidRDefault="002B6483">
            <w:pPr>
              <w:pStyle w:val="af8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iCs/>
                <w:sz w:val="22"/>
                <w:szCs w:val="22"/>
              </w:rPr>
              <w:t xml:space="preserve">– </w:t>
            </w: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по всем ГТП генерации, включающим генерирующее оборудование, функционирующее до реализации мероприятий по модернизации и указанное в приложении 4 к договорам на модернизацию (за исключением оборудования, выведенного из эксплуатации в рамках реализации мероприятий по модернизации);</w:t>
            </w:r>
          </w:p>
          <w:p w14:paraId="685FA963" w14:textId="77777777" w:rsidR="00013366" w:rsidRDefault="002B6483">
            <w:pPr>
              <w:pStyle w:val="af8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</w:rPr>
              <w:t>– по всем остальным ГТП генерации, относящимся к соответствующей (-им) электрической (-им) станции (-ям), к которой (-ым) относятся вышеуказанные ГТП генерации, –</w:t>
            </w:r>
          </w:p>
          <w:p w14:paraId="38F23181" w14:textId="77777777" w:rsidR="00013366" w:rsidRDefault="002B6483">
            <w:pPr>
              <w:pStyle w:val="11"/>
              <w:spacing w:before="120" w:after="120"/>
              <w:ind w:left="0"/>
              <w:contextualSpacing w:val="0"/>
              <w:rPr>
                <w:szCs w:val="22"/>
              </w:rPr>
            </w:pPr>
            <w:r>
              <w:rPr>
                <w:szCs w:val="22"/>
              </w:rPr>
              <w:t>в течение 1 (одного) рабочего дня с даты направления уведомления о соответствии пакета документов правопреемника по последней из таких ГТП генерации.</w:t>
            </w:r>
          </w:p>
          <w:p w14:paraId="3E61E2FA" w14:textId="77777777" w:rsidR="00013366" w:rsidRDefault="002B6483">
            <w:pPr>
              <w:pStyle w:val="11"/>
              <w:spacing w:before="120" w:after="120"/>
              <w:ind w:left="0" w:firstLine="600"/>
              <w:contextualSpacing w:val="0"/>
              <w:rPr>
                <w:szCs w:val="22"/>
              </w:rPr>
            </w:pPr>
            <w:r>
              <w:rPr>
                <w:szCs w:val="22"/>
              </w:rPr>
              <w:t xml:space="preserve">Рассмотрение Наблюдательным советом Совета рынка вопроса о присвоении правопреемнику статуса субъекта оптового рынка,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осуществляется на очередном заседании после получения Советом рынка соответствующего пакета документов с одновременным рассмотрением вопроса о лишении права участия в торговле правопредшественника по соответствующей ГТП. Статус субъекта оптового рынка присваивается правопреемнику одновременно с включением в реестр субъектов оптового рынка и регистрацией ГТП с даты принятия соответствующего решения Наблюдательным советом Совета рынка или с даты завершения реорганизации – в случае если статус субъекта оптового рынка присваивается правопреемнику, находящемуся в процессе реорганизации. </w:t>
            </w:r>
          </w:p>
          <w:p w14:paraId="4C4D64BD" w14:textId="77777777" w:rsidR="00013366" w:rsidRDefault="002B6483">
            <w:pPr>
              <w:pStyle w:val="11"/>
              <w:spacing w:before="120" w:after="120"/>
              <w:ind w:left="0" w:firstLine="600"/>
              <w:contextualSpacing w:val="0"/>
              <w:rPr>
                <w:szCs w:val="22"/>
              </w:rPr>
            </w:pPr>
            <w:r>
              <w:rPr>
                <w:szCs w:val="22"/>
              </w:rPr>
              <w:t xml:space="preserve">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правопредшественника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а также выполнения требования п. 2.10 </w:t>
            </w:r>
            <w:r>
              <w:rPr>
                <w:i/>
                <w:szCs w:val="22"/>
              </w:rPr>
              <w:t>Регламента допуска к торговой системе оптового рынка</w:t>
            </w:r>
            <w:r>
              <w:rPr>
                <w:szCs w:val="22"/>
              </w:rPr>
              <w:t xml:space="preserve"> (Приложение № 1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 xml:space="preserve">к </w:t>
            </w:r>
            <w:r>
              <w:rPr>
                <w:i/>
                <w:szCs w:val="22"/>
              </w:rPr>
              <w:t>Договору о присоединении к торговой системе оптового рынка</w:t>
            </w:r>
            <w:r>
              <w:rPr>
                <w:szCs w:val="22"/>
              </w:rPr>
              <w:t>) (у правопреемника, находящегося в процессе реорганизации, право участия в торговле электрической энергией и (или) мощностью по соответствующей ГТП правопредшественника возникает с даты завершения реорганизации и присвоения статуса субъекта оптового рынка).</w:t>
            </w:r>
          </w:p>
          <w:p w14:paraId="1A69B58B" w14:textId="77777777" w:rsidR="00013366" w:rsidRDefault="002B6483" w:rsidP="0006510D">
            <w:pPr>
              <w:pStyle w:val="11"/>
              <w:spacing w:before="120" w:after="120"/>
              <w:ind w:left="0" w:firstLine="600"/>
              <w:contextualSpacing w:val="0"/>
              <w:rPr>
                <w:szCs w:val="22"/>
              </w:rPr>
            </w:pPr>
            <w:r>
              <w:rPr>
                <w:szCs w:val="22"/>
              </w:rPr>
              <w:t xml:space="preserve">При этом в случае, если правопреемник является организацией, образованной в результате реорганизации правопредшественника в форме присоединения или слияния, </w:t>
            </w:r>
            <w:r>
              <w:rPr>
                <w:szCs w:val="22"/>
                <w:highlight w:val="yellow"/>
              </w:rPr>
              <w:t xml:space="preserve">а </w:t>
            </w:r>
            <w:r w:rsidRPr="0006510D">
              <w:rPr>
                <w:szCs w:val="22"/>
                <w:highlight w:val="yellow"/>
              </w:rPr>
              <w:t>также в</w:t>
            </w:r>
            <w:r>
              <w:rPr>
                <w:szCs w:val="22"/>
                <w:highlight w:val="yellow"/>
              </w:rPr>
              <w:t xml:space="preserve"> случае</w:t>
            </w:r>
            <w:r w:rsidR="0006510D">
              <w:rPr>
                <w:szCs w:val="22"/>
                <w:highlight w:val="yellow"/>
              </w:rPr>
              <w:t>,</w:t>
            </w:r>
            <w:r>
              <w:rPr>
                <w:szCs w:val="22"/>
                <w:highlight w:val="yellow"/>
              </w:rPr>
              <w:t xml:space="preserve"> если правопредшественник – поставщик электрической энергии (мощности) по состоянию на 15-е число месяца, предшествующего месяцу, с 1 (первого) числа которого правопреемник намеривается участвовать в торговле электрической энергией и мощностью на оптовом рынке, включен в реестр участников оптового рынка, признанных в соответствии с законодательством Российской Федерации несостоятельными (банкротами), в отношении которых открыто конкурсное производство (приложение </w:t>
            </w:r>
            <w:proofErr w:type="spellStart"/>
            <w:r>
              <w:rPr>
                <w:szCs w:val="22"/>
                <w:highlight w:val="yellow"/>
              </w:rPr>
              <w:t>113г</w:t>
            </w:r>
            <w:proofErr w:type="spellEnd"/>
            <w:r>
              <w:rPr>
                <w:szCs w:val="22"/>
                <w:highlight w:val="yellow"/>
              </w:rPr>
              <w:t xml:space="preserve"> к </w:t>
            </w:r>
            <w:r w:rsidRPr="00E46A47">
              <w:rPr>
                <w:i/>
                <w:szCs w:val="22"/>
                <w:highlight w:val="yellow"/>
              </w:rPr>
              <w:t xml:space="preserve">Регламенту финансовых расчетов на оптовом рынке электроэнергии </w:t>
            </w:r>
            <w:r>
              <w:rPr>
                <w:szCs w:val="22"/>
                <w:highlight w:val="yellow"/>
              </w:rPr>
              <w:t>(Приложение №</w:t>
            </w:r>
            <w:r w:rsidR="00E46A47">
              <w:rPr>
                <w:szCs w:val="22"/>
                <w:highlight w:val="yellow"/>
              </w:rPr>
              <w:t> </w:t>
            </w:r>
            <w:r>
              <w:rPr>
                <w:szCs w:val="22"/>
                <w:highlight w:val="yellow"/>
              </w:rPr>
              <w:t xml:space="preserve">16 к </w:t>
            </w:r>
            <w:r w:rsidRPr="00E46A47">
              <w:rPr>
                <w:i/>
                <w:szCs w:val="22"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szCs w:val="22"/>
                <w:highlight w:val="yellow"/>
              </w:rPr>
              <w:t>))</w:t>
            </w:r>
            <w:r>
              <w:rPr>
                <w:szCs w:val="22"/>
              </w:rPr>
              <w:t xml:space="preserve">, п. 2.10 </w:t>
            </w:r>
            <w:r>
              <w:rPr>
                <w:i/>
                <w:szCs w:val="22"/>
              </w:rPr>
              <w:t>Регламента допуска к торговой системе оптового рынка</w:t>
            </w:r>
            <w:r>
              <w:rPr>
                <w:szCs w:val="22"/>
              </w:rPr>
              <w:t xml:space="preserve"> (Приложение № 1 к </w:t>
            </w:r>
            <w:r>
              <w:rPr>
                <w:i/>
                <w:szCs w:val="22"/>
              </w:rPr>
              <w:t>Договору о присоединении к торговой системе оптового рынка</w:t>
            </w:r>
            <w:r>
              <w:rPr>
                <w:szCs w:val="22"/>
              </w:rPr>
              <w:t>) не применяется.</w:t>
            </w:r>
          </w:p>
          <w:p w14:paraId="6BAB29DA" w14:textId="0BA1C545" w:rsidR="00655BE9" w:rsidRPr="00E46A47" w:rsidRDefault="00655BE9" w:rsidP="0006510D">
            <w:pPr>
              <w:pStyle w:val="11"/>
              <w:spacing w:before="120" w:after="120"/>
              <w:ind w:left="0" w:firstLine="600"/>
              <w:contextualSpacing w:val="0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</w:tr>
    </w:tbl>
    <w:p w14:paraId="3BDDB77F" w14:textId="77777777" w:rsidR="00013366" w:rsidRDefault="002B6483">
      <w:pPr>
        <w:rPr>
          <w:rFonts w:ascii="Garamond" w:hAnsi="Garamond"/>
          <w:i/>
        </w:rPr>
      </w:pPr>
      <w:r>
        <w:rPr>
          <w:sz w:val="28"/>
          <w:szCs w:val="28"/>
        </w:rPr>
        <w:t xml:space="preserve"> </w:t>
      </w:r>
    </w:p>
    <w:sectPr w:rsidR="00013366">
      <w:footerReference w:type="default" r:id="rId7"/>
      <w:pgSz w:w="16838" w:h="11906" w:orient="landscape" w:code="9"/>
      <w:pgMar w:top="1134" w:right="851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8A2FA" w14:textId="77777777" w:rsidR="000C4DBB" w:rsidRDefault="000C4DBB">
      <w:r>
        <w:separator/>
      </w:r>
    </w:p>
  </w:endnote>
  <w:endnote w:type="continuationSeparator" w:id="0">
    <w:p w14:paraId="2E860385" w14:textId="77777777" w:rsidR="000C4DBB" w:rsidRDefault="000C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29F85" w14:textId="77777777" w:rsidR="00013366" w:rsidRDefault="00013366">
    <w:pPr>
      <w:pStyle w:val="a7"/>
      <w:jc w:val="right"/>
      <w:rPr>
        <w:rFonts w:ascii="Garamond" w:hAnsi="Garamond"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1DE8A" w14:textId="77777777" w:rsidR="000C4DBB" w:rsidRDefault="000C4DBB">
      <w:r>
        <w:separator/>
      </w:r>
    </w:p>
  </w:footnote>
  <w:footnote w:type="continuationSeparator" w:id="0">
    <w:p w14:paraId="11AB7F45" w14:textId="77777777" w:rsidR="000C4DBB" w:rsidRDefault="000C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4C1FF1"/>
    <w:multiLevelType w:val="multilevel"/>
    <w:tmpl w:val="171603BC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83"/>
        </w:tabs>
        <w:ind w:left="783" w:hanging="357"/>
      </w:pPr>
      <w:rPr>
        <w:rFonts w:cs="Times New Roman"/>
        <w:b/>
      </w:rPr>
    </w:lvl>
    <w:lvl w:ilvl="2">
      <w:start w:val="8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1560" w:hanging="567"/>
      </w:pPr>
      <w:rPr>
        <w:rFonts w:ascii="Garamond" w:hAnsi="Garamond" w:cs="Times New Roman" w:hint="default"/>
        <w:b w:val="0"/>
        <w:i w:val="0"/>
      </w:rPr>
    </w:lvl>
    <w:lvl w:ilvl="4">
      <w:start w:val="1"/>
      <w:numFmt w:val="decimal"/>
      <w:lvlText w:val="%5.1.1.1."/>
      <w:lvlJc w:val="left"/>
      <w:pPr>
        <w:tabs>
          <w:tab w:val="num" w:pos="1134"/>
        </w:tabs>
        <w:ind w:left="1134" w:hanging="566"/>
      </w:pPr>
      <w:rPr>
        <w:rFonts w:ascii="Garamond" w:hAnsi="Garamond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9565BE9"/>
    <w:multiLevelType w:val="hybridMultilevel"/>
    <w:tmpl w:val="5884508C"/>
    <w:lvl w:ilvl="0" w:tplc="6E4A9A6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9FC84DD4">
      <w:start w:val="1"/>
      <w:numFmt w:val="decimal"/>
      <w:lvlText w:val="%2)"/>
      <w:lvlJc w:val="left"/>
      <w:pPr>
        <w:tabs>
          <w:tab w:val="num" w:pos="2085"/>
        </w:tabs>
        <w:ind w:left="2085" w:hanging="825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0D3288"/>
    <w:multiLevelType w:val="hybridMultilevel"/>
    <w:tmpl w:val="7044641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F92B1C"/>
    <w:multiLevelType w:val="hybridMultilevel"/>
    <w:tmpl w:val="05223F16"/>
    <w:lvl w:ilvl="0" w:tplc="53BA9AB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5599A"/>
    <w:multiLevelType w:val="hybridMultilevel"/>
    <w:tmpl w:val="6DBC53FA"/>
    <w:lvl w:ilvl="0" w:tplc="50984056">
      <w:start w:val="5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BE9780A"/>
    <w:multiLevelType w:val="hybridMultilevel"/>
    <w:tmpl w:val="EC6A39DC"/>
    <w:lvl w:ilvl="0" w:tplc="FBF2017C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97899"/>
    <w:multiLevelType w:val="multilevel"/>
    <w:tmpl w:val="27461B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4A63CCA"/>
    <w:multiLevelType w:val="hybridMultilevel"/>
    <w:tmpl w:val="B9F0D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325274"/>
    <w:multiLevelType w:val="hybridMultilevel"/>
    <w:tmpl w:val="DDF80E6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C5155A4"/>
    <w:multiLevelType w:val="hybridMultilevel"/>
    <w:tmpl w:val="2312EAB2"/>
    <w:lvl w:ilvl="0" w:tplc="C760221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2F3F52A8"/>
    <w:multiLevelType w:val="hybridMultilevel"/>
    <w:tmpl w:val="6C28AF2E"/>
    <w:lvl w:ilvl="0" w:tplc="FFFFFFFF">
      <w:numFmt w:val="bullet"/>
      <w:lvlText w:val="–"/>
      <w:lvlJc w:val="left"/>
      <w:pPr>
        <w:ind w:left="1307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2" w15:restartNumberingAfterBreak="0">
    <w:nsid w:val="334F2319"/>
    <w:multiLevelType w:val="hybridMultilevel"/>
    <w:tmpl w:val="1F2C3A4C"/>
    <w:lvl w:ilvl="0" w:tplc="4E905A0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C266741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84484"/>
    <w:multiLevelType w:val="hybridMultilevel"/>
    <w:tmpl w:val="5698700E"/>
    <w:lvl w:ilvl="0" w:tplc="D03C4C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5120A6"/>
    <w:multiLevelType w:val="hybridMultilevel"/>
    <w:tmpl w:val="5A284B02"/>
    <w:lvl w:ilvl="0" w:tplc="041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44CB736D"/>
    <w:multiLevelType w:val="multilevel"/>
    <w:tmpl w:val="A9A4A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B1244E7"/>
    <w:multiLevelType w:val="multilevel"/>
    <w:tmpl w:val="CCC07E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 w15:restartNumberingAfterBreak="0">
    <w:nsid w:val="50DD7B4D"/>
    <w:multiLevelType w:val="multilevel"/>
    <w:tmpl w:val="5E4ADAD2"/>
    <w:lvl w:ilvl="0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1A7332D"/>
    <w:multiLevelType w:val="multilevel"/>
    <w:tmpl w:val="10B0B1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89B7926"/>
    <w:multiLevelType w:val="multilevel"/>
    <w:tmpl w:val="9738E7D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0" w15:restartNumberingAfterBreak="0">
    <w:nsid w:val="5F0807C6"/>
    <w:multiLevelType w:val="hybridMultilevel"/>
    <w:tmpl w:val="72186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D2CD3"/>
    <w:multiLevelType w:val="multilevel"/>
    <w:tmpl w:val="67D60A8E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783"/>
        </w:tabs>
        <w:ind w:left="783" w:hanging="357"/>
      </w:pPr>
      <w:rPr>
        <w:rFonts w:cs="Times New Roman" w:hint="default"/>
      </w:rPr>
    </w:lvl>
    <w:lvl w:ilvl="2">
      <w:start w:val="5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1560" w:hanging="567"/>
      </w:pPr>
      <w:rPr>
        <w:rFonts w:cs="Times New Roman" w:hint="default"/>
        <w:b/>
        <w:i w:val="0"/>
      </w:rPr>
    </w:lvl>
    <w:lvl w:ilvl="4">
      <w:start w:val="1"/>
      <w:numFmt w:val="decimal"/>
      <w:lvlText w:val="%5.1.1.1."/>
      <w:lvlJc w:val="left"/>
      <w:pPr>
        <w:tabs>
          <w:tab w:val="num" w:pos="1134"/>
        </w:tabs>
        <w:ind w:left="1134" w:hanging="566"/>
      </w:pPr>
      <w:rPr>
        <w:rFonts w:ascii="Garamond" w:hAnsi="Garamond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2" w15:restartNumberingAfterBreak="0">
    <w:nsid w:val="607824EE"/>
    <w:multiLevelType w:val="hybridMultilevel"/>
    <w:tmpl w:val="FA5C5322"/>
    <w:lvl w:ilvl="0" w:tplc="01D23F64">
      <w:start w:val="1"/>
      <w:numFmt w:val="bullet"/>
      <w:lvlText w:val="−"/>
      <w:lvlJc w:val="left"/>
      <w:pPr>
        <w:ind w:left="13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A9E06C0"/>
    <w:multiLevelType w:val="multilevel"/>
    <w:tmpl w:val="27461B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DA51570"/>
    <w:multiLevelType w:val="hybridMultilevel"/>
    <w:tmpl w:val="AD02D0E8"/>
    <w:lvl w:ilvl="0" w:tplc="27E4E0CC">
      <w:start w:val="2"/>
      <w:numFmt w:val="bullet"/>
      <w:lvlText w:val="−"/>
      <w:lvlJc w:val="left"/>
      <w:pPr>
        <w:ind w:left="1425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1761DF0"/>
    <w:multiLevelType w:val="hybridMultilevel"/>
    <w:tmpl w:val="7E480D60"/>
    <w:lvl w:ilvl="0" w:tplc="04190001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7AB700B0"/>
    <w:multiLevelType w:val="multilevel"/>
    <w:tmpl w:val="6D54AEF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1609A4"/>
    <w:multiLevelType w:val="hybridMultilevel"/>
    <w:tmpl w:val="29503ACE"/>
    <w:lvl w:ilvl="0" w:tplc="DF72C50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17"/>
  </w:num>
  <w:num w:numId="5">
    <w:abstractNumId w:val="23"/>
  </w:num>
  <w:num w:numId="6">
    <w:abstractNumId w:val="7"/>
  </w:num>
  <w:num w:numId="7">
    <w:abstractNumId w:val="0"/>
  </w:num>
  <w:num w:numId="8">
    <w:abstractNumId w:val="26"/>
  </w:num>
  <w:num w:numId="9">
    <w:abstractNumId w:val="18"/>
  </w:num>
  <w:num w:numId="10">
    <w:abstractNumId w:val="14"/>
  </w:num>
  <w:num w:numId="11">
    <w:abstractNumId w:val="16"/>
  </w:num>
  <w:num w:numId="12">
    <w:abstractNumId w:val="2"/>
  </w:num>
  <w:num w:numId="13">
    <w:abstractNumId w:val="19"/>
  </w:num>
  <w:num w:numId="14">
    <w:abstractNumId w:val="19"/>
  </w:num>
  <w:num w:numId="15">
    <w:abstractNumId w:val="19"/>
  </w:num>
  <w:num w:numId="16">
    <w:abstractNumId w:val="15"/>
  </w:num>
  <w:num w:numId="17">
    <w:abstractNumId w:val="15"/>
  </w:num>
  <w:num w:numId="18">
    <w:abstractNumId w:val="6"/>
  </w:num>
  <w:num w:numId="19">
    <w:abstractNumId w:val="21"/>
  </w:num>
  <w:num w:numId="20">
    <w:abstractNumId w:val="10"/>
  </w:num>
  <w:num w:numId="21">
    <w:abstractNumId w:val="11"/>
  </w:num>
  <w:num w:numId="22">
    <w:abstractNumId w:val="5"/>
  </w:num>
  <w:num w:numId="23">
    <w:abstractNumId w:val="4"/>
  </w:num>
  <w:num w:numId="24">
    <w:abstractNumId w:val="20"/>
  </w:num>
  <w:num w:numId="25">
    <w:abstractNumId w:val="27"/>
  </w:num>
  <w:num w:numId="26">
    <w:abstractNumId w:val="1"/>
    <w:lvlOverride w:ilvl="0">
      <w:startOverride w:val="3"/>
    </w:lvlOverride>
    <w:lvlOverride w:ilvl="1">
      <w:startOverride w:val="4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5"/>
  </w:num>
  <w:num w:numId="29">
    <w:abstractNumId w:val="24"/>
  </w:num>
  <w:num w:numId="30">
    <w:abstractNumId w:val="1"/>
  </w:num>
  <w:num w:numId="31">
    <w:abstractNumId w:val="8"/>
  </w:num>
  <w:num w:numId="32">
    <w:abstractNumId w:val="13"/>
  </w:num>
  <w:num w:numId="33">
    <w:abstractNumId w:val="3"/>
  </w:num>
  <w:num w:numId="34">
    <w:abstractNumId w:val="9"/>
  </w:num>
  <w:num w:numId="35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66"/>
    <w:rsid w:val="00013366"/>
    <w:rsid w:val="0006510D"/>
    <w:rsid w:val="000C4DBB"/>
    <w:rsid w:val="002B6483"/>
    <w:rsid w:val="00655BE9"/>
    <w:rsid w:val="00676D2C"/>
    <w:rsid w:val="008F569A"/>
    <w:rsid w:val="00C83068"/>
    <w:rsid w:val="00E3193C"/>
    <w:rsid w:val="00E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7F0E9"/>
  <w15:docId w15:val="{68D651BC-7581-4720-9A96-B9000A37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Заголовок параграфа (1.),Section,level2 hdg,111"/>
    <w:basedOn w:val="a1"/>
    <w:next w:val="a1"/>
    <w:qFormat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qFormat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basedOn w:val="a1"/>
    <w:next w:val="a1"/>
    <w:link w:val="30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Список_в_таблице_маркированный"/>
    <w:basedOn w:val="a1"/>
    <w:next w:val="a1"/>
    <w:pPr>
      <w:numPr>
        <w:numId w:val="1"/>
      </w:numPr>
      <w:tabs>
        <w:tab w:val="left" w:pos="170"/>
      </w:tabs>
    </w:pPr>
    <w:rPr>
      <w:sz w:val="20"/>
      <w:szCs w:val="20"/>
    </w:rPr>
  </w:style>
  <w:style w:type="paragraph" w:customStyle="1" w:styleId="a0">
    <w:name w:val="Пункт_нормативн_документа"/>
    <w:basedOn w:val="a5"/>
    <w:pPr>
      <w:numPr>
        <w:ilvl w:val="1"/>
        <w:numId w:val="2"/>
      </w:numPr>
      <w:tabs>
        <w:tab w:val="left" w:pos="567"/>
      </w:tabs>
      <w:spacing w:before="60" w:after="0"/>
      <w:jc w:val="both"/>
    </w:pPr>
  </w:style>
  <w:style w:type="paragraph" w:styleId="a5">
    <w:name w:val="Body Text"/>
    <w:basedOn w:val="a1"/>
    <w:pPr>
      <w:spacing w:after="120"/>
    </w:pPr>
  </w:style>
  <w:style w:type="paragraph" w:styleId="a6">
    <w:name w:val="Title"/>
    <w:basedOn w:val="a1"/>
    <w:qFormat/>
    <w:pPr>
      <w:jc w:val="center"/>
    </w:pPr>
    <w:rPr>
      <w:sz w:val="28"/>
      <w:szCs w:val="28"/>
    </w:rPr>
  </w:style>
  <w:style w:type="paragraph" w:styleId="22">
    <w:name w:val="Body Text Indent 2"/>
    <w:basedOn w:val="a1"/>
    <w:pPr>
      <w:ind w:firstLine="708"/>
      <w:jc w:val="both"/>
    </w:pPr>
    <w:rPr>
      <w:i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</w:style>
  <w:style w:type="paragraph" w:styleId="31">
    <w:name w:val="Body Text Indent 3"/>
    <w:basedOn w:val="a1"/>
    <w:pPr>
      <w:ind w:left="2160" w:hanging="720"/>
      <w:jc w:val="both"/>
    </w:pPr>
  </w:style>
  <w:style w:type="paragraph" w:styleId="a9">
    <w:name w:val="Body Text Indent"/>
    <w:basedOn w:val="a1"/>
    <w:pPr>
      <w:ind w:left="1416" w:firstLine="24"/>
      <w:jc w:val="both"/>
    </w:pPr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1"/>
    <w:semiHidden/>
    <w:rPr>
      <w:sz w:val="20"/>
      <w:szCs w:val="20"/>
    </w:rPr>
  </w:style>
  <w:style w:type="character" w:styleId="ac">
    <w:name w:val="page number"/>
    <w:basedOn w:val="a2"/>
  </w:style>
  <w:style w:type="paragraph" w:styleId="2">
    <w:name w:val="List Number 2"/>
    <w:basedOn w:val="a1"/>
    <w:pPr>
      <w:keepNext/>
      <w:keepLines/>
      <w:numPr>
        <w:numId w:val="7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10">
    <w:name w:val="Заголовок 1. Предложения"/>
    <w:aliases w:val="связанные"/>
    <w:basedOn w:val="1"/>
    <w:autoRedefine/>
    <w:pPr>
      <w:numPr>
        <w:numId w:val="8"/>
      </w:numPr>
      <w:spacing w:before="0" w:after="0"/>
    </w:pPr>
    <w:rPr>
      <w:kern w:val="0"/>
      <w:sz w:val="28"/>
      <w:szCs w:val="26"/>
    </w:rPr>
  </w:style>
  <w:style w:type="paragraph" w:customStyle="1" w:styleId="100">
    <w:name w:val="Стиль Пункт_нормативн_документа + 10 пт"/>
    <w:basedOn w:val="a0"/>
    <w:pPr>
      <w:spacing w:before="120"/>
      <w:ind w:left="1333" w:hanging="431"/>
    </w:pPr>
    <w:rPr>
      <w:sz w:val="20"/>
    </w:rPr>
  </w:style>
  <w:style w:type="paragraph" w:styleId="ad">
    <w:name w:val="Balloon Text"/>
    <w:basedOn w:val="a1"/>
    <w:link w:val="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Pr>
      <w:rFonts w:ascii="Tahoma" w:hAnsi="Tahoma" w:cs="Tahoma"/>
      <w:sz w:val="16"/>
      <w:szCs w:val="16"/>
    </w:rPr>
  </w:style>
  <w:style w:type="paragraph" w:styleId="af">
    <w:name w:val="header"/>
    <w:basedOn w:val="a1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Pr>
      <w:sz w:val="24"/>
      <w:szCs w:val="24"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1"/>
    <w:link w:val="af3"/>
    <w:uiPriority w:val="34"/>
    <w:qFormat/>
    <w:pPr>
      <w:ind w:left="708"/>
    </w:pPr>
  </w:style>
  <w:style w:type="character" w:customStyle="1" w:styleId="21">
    <w:name w:val="Заголовок 2 Знак"/>
    <w:link w:val="20"/>
    <w:rPr>
      <w:b/>
      <w:bCs/>
    </w:rPr>
  </w:style>
  <w:style w:type="character" w:customStyle="1" w:styleId="30">
    <w:name w:val="Заголовок 3 Знак"/>
    <w:link w:val="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f3">
    <w:name w:val="Абзац списка Знак"/>
    <w:link w:val="af2"/>
    <w:uiPriority w:val="34"/>
    <w:rPr>
      <w:sz w:val="24"/>
      <w:szCs w:val="24"/>
    </w:rPr>
  </w:style>
  <w:style w:type="paragraph" w:styleId="af4">
    <w:name w:val="Revision"/>
    <w:hidden/>
    <w:uiPriority w:val="99"/>
    <w:semiHidden/>
    <w:rPr>
      <w:sz w:val="24"/>
      <w:szCs w:val="24"/>
    </w:rPr>
  </w:style>
  <w:style w:type="character" w:styleId="af5">
    <w:name w:val="annotation reference"/>
    <w:rPr>
      <w:sz w:val="16"/>
      <w:szCs w:val="16"/>
    </w:rPr>
  </w:style>
  <w:style w:type="paragraph" w:styleId="af6">
    <w:name w:val="annotation text"/>
    <w:basedOn w:val="a1"/>
    <w:link w:val="af7"/>
    <w:rPr>
      <w:sz w:val="20"/>
      <w:szCs w:val="20"/>
    </w:rPr>
  </w:style>
  <w:style w:type="character" w:customStyle="1" w:styleId="af7">
    <w:name w:val="Текст примечания Знак"/>
    <w:basedOn w:val="a2"/>
    <w:link w:val="af6"/>
  </w:style>
  <w:style w:type="paragraph" w:styleId="af8">
    <w:name w:val="annotation subject"/>
    <w:basedOn w:val="af6"/>
    <w:next w:val="af6"/>
    <w:link w:val="af9"/>
    <w:uiPriority w:val="99"/>
    <w:rPr>
      <w:b/>
      <w:bCs/>
    </w:rPr>
  </w:style>
  <w:style w:type="character" w:customStyle="1" w:styleId="af9">
    <w:name w:val="Тема примечания Знак"/>
    <w:link w:val="af8"/>
    <w:uiPriority w:val="99"/>
    <w:rPr>
      <w:b/>
      <w:bCs/>
    </w:rPr>
  </w:style>
  <w:style w:type="character" w:customStyle="1" w:styleId="40">
    <w:name w:val="Заголовок 4 Знак"/>
    <w:basedOn w:val="a2"/>
    <w:link w:val="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8">
    <w:name w:val="Нижний колонтитул Знак"/>
    <w:basedOn w:val="a2"/>
    <w:link w:val="a7"/>
    <w:uiPriority w:val="99"/>
    <w:rPr>
      <w:sz w:val="24"/>
      <w:szCs w:val="24"/>
    </w:rPr>
  </w:style>
  <w:style w:type="paragraph" w:customStyle="1" w:styleId="11">
    <w:name w:val="Абзац списка1"/>
    <w:basedOn w:val="a1"/>
    <w:pPr>
      <w:ind w:left="720"/>
      <w:contextualSpacing/>
      <w:jc w:val="both"/>
    </w:pPr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1193</Words>
  <Characters>8193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vera_k</dc:creator>
  <cp:lastModifiedBy>Пряхина Ирина Игоревна</cp:lastModifiedBy>
  <cp:revision>8</cp:revision>
  <cp:lastPrinted>2026-01-19T07:40:00Z</cp:lastPrinted>
  <dcterms:created xsi:type="dcterms:W3CDTF">2026-02-17T08:38:00Z</dcterms:created>
  <dcterms:modified xsi:type="dcterms:W3CDTF">2026-02-18T11:10:00Z</dcterms:modified>
</cp:coreProperties>
</file>