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AC7E0" w14:textId="5422E56A" w:rsidR="00B517FA" w:rsidRPr="004A4B3F" w:rsidRDefault="00B517FA" w:rsidP="0066768D">
      <w:pPr>
        <w:pStyle w:val="20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  <w:lang w:val="en-US"/>
        </w:rPr>
        <w:t>IX</w:t>
      </w:r>
      <w:r w:rsidR="001E1A46">
        <w:rPr>
          <w:rFonts w:ascii="Garamond" w:hAnsi="Garamond"/>
          <w:sz w:val="28"/>
          <w:szCs w:val="28"/>
        </w:rPr>
        <w:t>.1.</w:t>
      </w:r>
      <w:r w:rsidRPr="004A4B3F">
        <w:rPr>
          <w:rFonts w:ascii="Garamond" w:hAnsi="Garamond"/>
          <w:sz w:val="28"/>
          <w:szCs w:val="28"/>
        </w:rPr>
        <w:t xml:space="preserve"> Изменения, связанные с техническими и уточняющими правками</w:t>
      </w:r>
    </w:p>
    <w:p w14:paraId="7AC2BB4E" w14:textId="20641A84" w:rsidR="00B517FA" w:rsidRDefault="00B517FA" w:rsidP="0066768D">
      <w:pPr>
        <w:pStyle w:val="20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</w:rPr>
        <w:t>Приложение № 9.1</w:t>
      </w:r>
      <w:r w:rsidR="00FE5A79">
        <w:rPr>
          <w:rFonts w:ascii="Garamond" w:hAnsi="Garamond"/>
          <w:sz w:val="28"/>
          <w:szCs w:val="28"/>
        </w:rPr>
        <w:t>.1</w:t>
      </w:r>
    </w:p>
    <w:p w14:paraId="475808B6" w14:textId="77777777" w:rsidR="0066768D" w:rsidRDefault="0066768D" w:rsidP="0066768D">
      <w:pPr>
        <w:pStyle w:val="20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</w:p>
    <w:p w14:paraId="1B98A4DC" w14:textId="77777777" w:rsidR="00B517FA" w:rsidRDefault="00B517FA" w:rsidP="006676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Инициатор: </w:t>
      </w:r>
      <w:r w:rsidRPr="005D4871">
        <w:rPr>
          <w:rFonts w:ascii="Garamond" w:hAnsi="Garamond" w:cs="Garamond"/>
          <w:bCs/>
        </w:rPr>
        <w:t>Ассоциация «НП Совет рынка».</w:t>
      </w:r>
    </w:p>
    <w:p w14:paraId="6AB6058A" w14:textId="64FB0F7B" w:rsidR="00D94AC9" w:rsidRPr="008029DB" w:rsidRDefault="00B517FA" w:rsidP="006676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F8013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Garamond"/>
          <w:b/>
          <w:bCs/>
        </w:rPr>
        <w:t xml:space="preserve"> </w:t>
      </w:r>
      <w:r w:rsidR="00D94AC9" w:rsidRPr="005D4871">
        <w:rPr>
          <w:rFonts w:ascii="Garamond" w:hAnsi="Garamond"/>
        </w:rPr>
        <w:t>для корректности текстов регламентов требуется в</w:t>
      </w:r>
      <w:r w:rsidR="00D94AC9">
        <w:rPr>
          <w:rFonts w:ascii="Garamond" w:hAnsi="Garamond"/>
        </w:rPr>
        <w:t xml:space="preserve">нести </w:t>
      </w:r>
      <w:r w:rsidR="00D94AC9" w:rsidRPr="001A59CD">
        <w:rPr>
          <w:rFonts w:ascii="Garamond" w:hAnsi="Garamond"/>
        </w:rPr>
        <w:t xml:space="preserve">уточняющие изменения в порядок </w:t>
      </w:r>
      <w:r w:rsidR="00D94AC9" w:rsidRPr="00F56EAD">
        <w:rPr>
          <w:rFonts w:ascii="Garamond" w:hAnsi="Garamond"/>
        </w:rPr>
        <w:t xml:space="preserve">направления участникам оптового рынка отчета </w:t>
      </w:r>
      <w:r w:rsidR="00D94AC9">
        <w:rPr>
          <w:rFonts w:ascii="Garamond" w:hAnsi="Garamond"/>
        </w:rPr>
        <w:t>о</w:t>
      </w:r>
      <w:r w:rsidR="00D94AC9" w:rsidRPr="00F56EAD">
        <w:rPr>
          <w:rFonts w:ascii="Garamond" w:hAnsi="Garamond"/>
        </w:rPr>
        <w:t xml:space="preserve"> состоянии </w:t>
      </w:r>
      <w:bookmarkStart w:id="0" w:name="_GoBack"/>
      <w:bookmarkEnd w:id="0"/>
      <w:r w:rsidR="00D94AC9" w:rsidRPr="00F56EAD">
        <w:rPr>
          <w:rFonts w:ascii="Garamond" w:hAnsi="Garamond"/>
        </w:rPr>
        <w:t>обязательств по матрице прикреплений</w:t>
      </w:r>
      <w:r w:rsidR="00D94AC9" w:rsidRPr="001A59CD">
        <w:rPr>
          <w:rFonts w:ascii="Garamond" w:hAnsi="Garamond"/>
        </w:rPr>
        <w:t>, а также технические изменения, направленные на актуализацию применяемых в ре</w:t>
      </w:r>
      <w:r w:rsidR="00D94AC9">
        <w:rPr>
          <w:rFonts w:ascii="Garamond" w:hAnsi="Garamond"/>
        </w:rPr>
        <w:t>гламентах оптового рынка ссылок;</w:t>
      </w:r>
      <w:r w:rsidR="00D94AC9" w:rsidRPr="001A59CD">
        <w:rPr>
          <w:rFonts w:ascii="Garamond" w:hAnsi="Garamond"/>
        </w:rPr>
        <w:t xml:space="preserve"> уточнение наименований регламентов, упоминаемых в тексте и содержащих ошибки</w:t>
      </w:r>
      <w:r w:rsidR="00D94AC9">
        <w:rPr>
          <w:rFonts w:ascii="Garamond" w:hAnsi="Garamond"/>
        </w:rPr>
        <w:t>;</w:t>
      </w:r>
      <w:r w:rsidR="00D94AC9" w:rsidRPr="001A59CD">
        <w:rPr>
          <w:rFonts w:ascii="Garamond" w:hAnsi="Garamond"/>
        </w:rPr>
        <w:t xml:space="preserve"> </w:t>
      </w:r>
      <w:r w:rsidR="00D94AC9">
        <w:rPr>
          <w:rFonts w:ascii="Garamond" w:hAnsi="Garamond"/>
        </w:rPr>
        <w:t>устранение описок и неточностей;</w:t>
      </w:r>
      <w:r w:rsidR="00D94AC9" w:rsidRPr="001A59CD">
        <w:rPr>
          <w:rFonts w:ascii="Garamond" w:hAnsi="Garamond"/>
        </w:rPr>
        <w:t xml:space="preserve"> исключение неактуальных определений</w:t>
      </w:r>
      <w:r w:rsidR="00D94AC9">
        <w:rPr>
          <w:rFonts w:ascii="Garamond" w:hAnsi="Garamond"/>
        </w:rPr>
        <w:t>; уточнение кодов форм и наименований электронных документов, обращающихся в системе ЭДО.</w:t>
      </w:r>
    </w:p>
    <w:p w14:paraId="7DF5D033" w14:textId="6BEF653C" w:rsidR="00B517FA" w:rsidRDefault="00B517FA" w:rsidP="006676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 w:rsidRPr="005D4871">
        <w:rPr>
          <w:rFonts w:ascii="Garamond" w:hAnsi="Garamond" w:cs="Garamond"/>
          <w:bCs/>
        </w:rPr>
        <w:t>1</w:t>
      </w:r>
      <w:r w:rsidR="003B1880">
        <w:rPr>
          <w:rFonts w:ascii="Garamond" w:hAnsi="Garamond" w:cs="Garamond"/>
          <w:bCs/>
        </w:rPr>
        <w:t xml:space="preserve"> ию</w:t>
      </w:r>
      <w:r w:rsidR="0023510C">
        <w:rPr>
          <w:rFonts w:ascii="Garamond" w:hAnsi="Garamond" w:cs="Garamond"/>
          <w:bCs/>
        </w:rPr>
        <w:t>ля</w:t>
      </w:r>
      <w:r>
        <w:rPr>
          <w:rFonts w:ascii="Garamond" w:hAnsi="Garamond" w:cs="Garamond"/>
          <w:bCs/>
        </w:rPr>
        <w:t xml:space="preserve"> 2021</w:t>
      </w:r>
      <w:r w:rsidRPr="005D4871">
        <w:rPr>
          <w:rFonts w:ascii="Garamond" w:hAnsi="Garamond" w:cs="Garamond"/>
          <w:bCs/>
        </w:rPr>
        <w:t xml:space="preserve"> года.</w:t>
      </w:r>
    </w:p>
    <w:p w14:paraId="78B0B932" w14:textId="77777777" w:rsidR="001F65E2" w:rsidRDefault="001F65E2" w:rsidP="0066768D">
      <w:pPr>
        <w:ind w:right="-314"/>
        <w:rPr>
          <w:rFonts w:ascii="Garamond" w:hAnsi="Garamond"/>
          <w:b/>
          <w:sz w:val="22"/>
          <w:szCs w:val="22"/>
        </w:rPr>
      </w:pPr>
    </w:p>
    <w:p w14:paraId="0ABBDA1D" w14:textId="36909A42" w:rsidR="001F65E2" w:rsidRDefault="001F65E2" w:rsidP="0066768D">
      <w:pPr>
        <w:ind w:right="-314"/>
        <w:rPr>
          <w:rFonts w:ascii="Garamond" w:hAnsi="Garamond"/>
          <w:b/>
          <w:sz w:val="26"/>
          <w:szCs w:val="26"/>
        </w:rPr>
      </w:pPr>
      <w:r w:rsidRPr="001F65E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F65E2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1F65E2">
        <w:rPr>
          <w:rFonts w:ascii="Garamond" w:hAnsi="Garamond"/>
          <w:b/>
          <w:sz w:val="26"/>
          <w:szCs w:val="26"/>
        </w:rPr>
        <w:t>Приложение № 16 к Договору о присоединении к торговой системе оптового рынка)</w:t>
      </w:r>
    </w:p>
    <w:p w14:paraId="3F3507DC" w14:textId="77777777" w:rsidR="001F65E2" w:rsidRPr="001F65E2" w:rsidRDefault="001F65E2" w:rsidP="0066768D">
      <w:pPr>
        <w:ind w:right="-314"/>
        <w:rPr>
          <w:rFonts w:ascii="Garamond" w:hAnsi="Garamond"/>
          <w:b/>
          <w:bCs/>
          <w:sz w:val="26"/>
          <w:szCs w:val="26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540B1D" w14:paraId="6C0B4A57" w14:textId="77777777" w:rsidTr="00047D00">
        <w:trPr>
          <w:jc w:val="center"/>
        </w:trPr>
        <w:tc>
          <w:tcPr>
            <w:tcW w:w="993" w:type="dxa"/>
            <w:vAlign w:val="center"/>
          </w:tcPr>
          <w:p w14:paraId="4F80636D" w14:textId="77777777" w:rsidR="00540B1D" w:rsidRDefault="00540B1D" w:rsidP="0066768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0B733055" w14:textId="77777777" w:rsidR="00540B1D" w:rsidRDefault="00540B1D" w:rsidP="0066768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5D11D749" w14:textId="77777777" w:rsidR="00540B1D" w:rsidRDefault="00540B1D" w:rsidP="0066768D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07D0462" w14:textId="77777777" w:rsidR="00540B1D" w:rsidRDefault="00540B1D" w:rsidP="0066768D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271DD68E" w14:textId="77777777" w:rsidR="00540B1D" w:rsidRDefault="00540B1D" w:rsidP="0066768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3EBCCCD8" w14:textId="77777777" w:rsidR="00540B1D" w:rsidRDefault="00540B1D" w:rsidP="0066768D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40B1D" w14:paraId="740725ED" w14:textId="77777777" w:rsidTr="00047D00">
        <w:trPr>
          <w:trHeight w:val="561"/>
          <w:jc w:val="center"/>
        </w:trPr>
        <w:tc>
          <w:tcPr>
            <w:tcW w:w="993" w:type="dxa"/>
            <w:vAlign w:val="center"/>
          </w:tcPr>
          <w:p w14:paraId="082FDD93" w14:textId="77777777" w:rsidR="00540B1D" w:rsidRDefault="00540B1D" w:rsidP="00047D0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9.1</w:t>
            </w:r>
          </w:p>
        </w:tc>
        <w:tc>
          <w:tcPr>
            <w:tcW w:w="6974" w:type="dxa"/>
          </w:tcPr>
          <w:p w14:paraId="2F540E85" w14:textId="77777777" w:rsidR="00540B1D" w:rsidRDefault="00540B1D" w:rsidP="00047D00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46BDCE0C" w14:textId="77777777" w:rsidR="00540B1D" w:rsidRDefault="00540B1D" w:rsidP="00047D00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Отчет о состоянии обязательств по матрице прикреплений, сформированной в соответствии с приложением 53.2 к настоящему Регламенту, публикуется ЦФР для каждого участника оптового рынка и ФСК на сайте КО по итогам расчетов за рабочий день, в который ЦФР проводились торговые сессии с уполномоченной кредитной организацией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: за текущий расчетный период –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даты платежа 14, 28-го числа и в последний рабочий день месяца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 за предыдущий расчетный период – 17, 21-го числа и в последний рабочий день месяца – персонально для каждого участника оптового рынка по форме, установленной приложением 67 к настоящему Регламенту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. Публикация отчета проводится в указанные даты или в первый рабочий день, следующий за датой, если она приходится на нерабочий день. Отчет содержит информацию о размере платежных обязательств, сформированных по матрице прикреплений на каждую дату платежа, информацию об исполнении и размере задолженности по оплате указанных обязательств за соответствующий расчетный период по состоянию на конец рабочего дня, за который формируется отчет.</w:t>
            </w:r>
          </w:p>
          <w:p w14:paraId="7A967201" w14:textId="77777777" w:rsidR="00540B1D" w:rsidRDefault="00540B1D" w:rsidP="00047D0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Отчет по обязательствам на дату платежа публикуется ЦФР на сайте КО к датам платежа (14, 21, 28-го числа каждого месяца) персонально для каждого участника оптового рынка, ФСК и СО по форме, установленной приложением 25 к настоящему Регламенту. Отчет по обязательствам на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дату платежа содержит информацию о размере обязательств по договорам, заключенным на оптовом рынке, подлежащих оплате/получению в дату платежа (14, 21, 28-го числа каждого месяца). Отчеты публикуются 10, 17, 24-го числа месяца и обновляются по мере поступления реестров обязательств от КО и реестра обязательств за услуги по ОДУ в части обеспечения надежности функционирования электроэнергетики от СО. Публикация отчета проводится в указанные даты или в первый рабочий день, следующий за датой, если она приходится на нерабочий день. </w:t>
            </w:r>
          </w:p>
          <w:p w14:paraId="4DA9A4D6" w14:textId="77777777" w:rsidR="00540B1D" w:rsidRDefault="00540B1D" w:rsidP="00047D00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14:paraId="002582CF" w14:textId="77777777" w:rsidR="00540B1D" w:rsidRDefault="00540B1D" w:rsidP="00047D00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3A17E33E" w14:textId="77777777" w:rsidR="00540B1D" w:rsidRDefault="00540B1D" w:rsidP="00047D00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14:paraId="4175832A" w14:textId="4271ED4F" w:rsidR="00540B1D" w:rsidRDefault="00540B1D" w:rsidP="00047D0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Отчет о состоянии обязательств по матрице прикреплений, сформированной в соответствии с приложением 53.2 к настоящему Регламенту, публикуется ЦФР для каждого участника оптового рынка и ФСК на сайте КО по итогам расчетов за рабочий день, в который ЦФР проводились торговые сессии с уполномоченной кредитной организацией</w:t>
            </w:r>
            <w:r w:rsidR="0066768D" w:rsidRPr="0066768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даты платежа 14,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21 и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28-го числа и в последн</w:t>
            </w:r>
            <w:r w:rsidR="0066768D">
              <w:rPr>
                <w:rFonts w:ascii="Garamond" w:hAnsi="Garamond"/>
                <w:sz w:val="22"/>
                <w:szCs w:val="22"/>
                <w:lang w:eastAsia="en-US"/>
              </w:rPr>
              <w:t>ий рабочий день месяца.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Отчет публикуется за те расчетные периоды, обязательства за которые подлежали оплате в соответствующую дату платежа, </w:t>
            </w:r>
            <w:r w:rsidR="0041321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а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последний рабочий день </w:t>
            </w:r>
            <w:r w:rsidR="0041321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–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отношении предыдущего расчетного периода.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Публикация отчета проводится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персонально для каждого участника оптового рынка по форме, установленной приложением 67 к настоящему Регламенту,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в указанные даты или в первый рабочий день, следующий за датой, если она приходится на нерабочий день. Отчет содержит информацию о размере платежных обязательств, сформированных по матрице прикреплений на каждую дату платежа, информацию об исполнении и размере задолженности по оплате указанных обязательств за соответствующий расчетный период по состоянию на конец рабочего дня, за который формируется отчет.</w:t>
            </w:r>
          </w:p>
          <w:p w14:paraId="5435A89D" w14:textId="77777777" w:rsidR="00540B1D" w:rsidRDefault="00540B1D" w:rsidP="00047D0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Отчет по обязательствам на дату платежа публикуется ЦФР на сайте КО к датам платежа (14, 21, 28-го числа каждого месяца) персонально для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каждого участника оптового рынка, ФСК и СО по форме, установленной приложением 25 к настоящему Регламенту. Отчет по обязательствам на дату платежа содержит информацию о размере обязательств по договорам, заключенным на оптовом рынке, подлежащих оплате/получению в дату платежа (14, 21, 28-го числа каждого месяца)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Отчеты публикуются 10, 17, 24-го числа месяца и обновляются по мере поступления реестров обязательств от КО и реестра обязательств за услуги по ОДУ в части обеспечения надежности функционирования электроэнергетики от СО. Публикация отчета проводится в указанные даты или в первый рабочий день, следующий за датой, если она приходится на нерабочий день. </w:t>
            </w:r>
          </w:p>
          <w:p w14:paraId="29927E61" w14:textId="77777777" w:rsidR="00540B1D" w:rsidRDefault="00540B1D" w:rsidP="00047D00">
            <w:pPr>
              <w:pStyle w:val="ab"/>
              <w:ind w:firstLine="567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1752F7D9" w14:textId="77777777" w:rsidR="0066768D" w:rsidRDefault="0066768D" w:rsidP="008B4801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p w14:paraId="782762D5" w14:textId="7682427A" w:rsidR="008B4801" w:rsidRDefault="008B4801" w:rsidP="008B4801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E06F3B">
        <w:rPr>
          <w:rFonts w:ascii="Garamond" w:hAnsi="Garamond"/>
          <w:b/>
          <w:sz w:val="26"/>
          <w:szCs w:val="26"/>
        </w:rPr>
        <w:t>Предложения по изменениям и дополнениям в ПЕРЕЧЕНЬ ОПРЕДЕЛЕНИЙ И ПРИНЯТЫХ СОКРАЩЕНИЙ (Приложение № 17 к Договору о присоединении к торговой системе оптового рынка)</w:t>
      </w:r>
    </w:p>
    <w:p w14:paraId="7E3D4C69" w14:textId="77777777" w:rsidR="008B4801" w:rsidRDefault="008B4801" w:rsidP="008B4801">
      <w:pPr>
        <w:tabs>
          <w:tab w:val="left" w:pos="709"/>
        </w:tabs>
        <w:rPr>
          <w:rFonts w:ascii="Garamond" w:hAnsi="Garamond"/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247"/>
        <w:gridCol w:w="5142"/>
        <w:gridCol w:w="2469"/>
        <w:gridCol w:w="4580"/>
      </w:tblGrid>
      <w:tr w:rsidR="00A756B4" w:rsidRPr="00C16521" w14:paraId="6D01C174" w14:textId="77777777" w:rsidTr="00DB781E">
        <w:trPr>
          <w:trHeight w:val="416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29D5E50D" w14:textId="77777777" w:rsidR="00A756B4" w:rsidRPr="00C16521" w:rsidRDefault="00A756B4" w:rsidP="00A756B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6F30BD17" w14:textId="0DC0EF1B" w:rsidR="00A756B4" w:rsidRPr="00C16521" w:rsidRDefault="00A756B4" w:rsidP="00A756B4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F38" w14:textId="77777777" w:rsidR="00A756B4" w:rsidRPr="00C16521" w:rsidRDefault="00A756B4" w:rsidP="00A756B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14:paraId="2DA6E52F" w14:textId="0DECD839" w:rsidR="00A756B4" w:rsidRPr="00C16521" w:rsidRDefault="00A756B4" w:rsidP="00A756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C964E" w14:textId="77777777" w:rsidR="00A756B4" w:rsidRPr="00C16521" w:rsidRDefault="00A756B4" w:rsidP="00A756B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4A745C32" w14:textId="6A6F2432" w:rsidR="00A756B4" w:rsidRPr="00C16521" w:rsidRDefault="00A756B4" w:rsidP="00A756B4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C16521">
              <w:rPr>
                <w:rFonts w:ascii="Garamond" w:hAnsi="Garamond" w:cs="Garamond"/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2730F0" w:rsidRPr="00C16521" w14:paraId="4A470851" w14:textId="77777777" w:rsidTr="00A756B4">
        <w:trPr>
          <w:trHeight w:val="416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14C70507" w14:textId="77777777" w:rsidR="002730F0" w:rsidRPr="00C16521" w:rsidRDefault="002730F0" w:rsidP="002730F0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88EEC" w14:textId="65397EF5" w:rsidR="002730F0" w:rsidRPr="00C16521" w:rsidRDefault="002730F0" w:rsidP="002730F0">
            <w:pPr>
              <w:spacing w:before="120" w:after="120"/>
              <w:ind w:left="33" w:hanging="33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highlight w:val="yellow"/>
              </w:rPr>
              <w:t>Вынужденный режим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FC21B" w14:textId="69C875A3" w:rsidR="002730F0" w:rsidRPr="00C16521" w:rsidRDefault="002730F0" w:rsidP="002730F0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Технологические параметры работы генерирующих мощностей в теплофикационном режиме, атомных электростанций, а также гидроэлектростанций в условиях технологического пропуска воды.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3685DD" w14:textId="77777777" w:rsidR="002730F0" w:rsidRPr="00C16521" w:rsidRDefault="002730F0" w:rsidP="002730F0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BA3318" w14:textId="6BDCCCB5" w:rsidR="002730F0" w:rsidRPr="00C16521" w:rsidRDefault="002730F0" w:rsidP="002730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Удалить определение</w:t>
            </w:r>
          </w:p>
        </w:tc>
      </w:tr>
      <w:tr w:rsidR="00A756B4" w:rsidRPr="00C16521" w14:paraId="6C28DEBB" w14:textId="77777777" w:rsidTr="00A756B4">
        <w:trPr>
          <w:trHeight w:val="416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19F01B41" w14:textId="77777777" w:rsidR="00A756B4" w:rsidRPr="00C16521" w:rsidRDefault="00A756B4" w:rsidP="00A756B4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2463C" w14:textId="074030C9" w:rsidR="00A756B4" w:rsidRPr="00C16521" w:rsidRDefault="00A756B4" w:rsidP="00A756B4">
            <w:pPr>
              <w:spacing w:before="120" w:after="120"/>
              <w:ind w:left="33" w:hanging="33"/>
              <w:rPr>
                <w:rFonts w:ascii="Garamond" w:hAnsi="Garamond"/>
                <w:b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Генерирующий объект, поставляющ</w:t>
            </w:r>
            <w:r w:rsidRPr="00C16521">
              <w:rPr>
                <w:rFonts w:ascii="Garamond" w:hAnsi="Garamond"/>
                <w:b/>
                <w:sz w:val="22"/>
                <w:szCs w:val="22"/>
                <w:highlight w:val="yellow"/>
              </w:rPr>
              <w:t>ая</w:t>
            </w:r>
            <w:r w:rsidRPr="00C16521">
              <w:rPr>
                <w:rFonts w:ascii="Garamond" w:hAnsi="Garamond"/>
                <w:b/>
                <w:sz w:val="22"/>
                <w:szCs w:val="22"/>
              </w:rPr>
              <w:t xml:space="preserve"> мощность в вынужденном режиме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D396D" w14:textId="449C3C0D" w:rsidR="00A756B4" w:rsidRPr="00C16521" w:rsidRDefault="00A756B4" w:rsidP="00A756B4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sz w:val="22"/>
                <w:szCs w:val="22"/>
              </w:rPr>
              <w:t>Генерирующий объект, с использованием которого осуществляется поставка мощности на оптовый рынок в период, на который мощность такого объекта не была отобрана по результатам конкурентного отбора мощности, в случае необходимости поддержания данного объекта в работоспособном состоянии для обеспечения допустимых режимов работы ЕЭС России, систем жизнеобеспечения, режимов водопользования, а также в случаях, установленных Правилами оптового рынка электрической энергии (мощности).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37C3A3" w14:textId="77777777" w:rsidR="00A756B4" w:rsidRPr="00C16521" w:rsidRDefault="00A756B4" w:rsidP="00A756B4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  <w:p w14:paraId="60BABFD6" w14:textId="77777777" w:rsidR="008C7664" w:rsidRPr="00C16521" w:rsidRDefault="008C7664" w:rsidP="00A756B4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  <w:p w14:paraId="7B4C5584" w14:textId="77777777" w:rsidR="008C7664" w:rsidRPr="00C16521" w:rsidRDefault="008C7664" w:rsidP="00A756B4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  <w:p w14:paraId="697AA858" w14:textId="77777777" w:rsidR="008C7664" w:rsidRPr="00C16521" w:rsidRDefault="008C7664" w:rsidP="00A756B4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  <w:p w14:paraId="2970C4F8" w14:textId="63D6F174" w:rsidR="00A756B4" w:rsidRPr="00C16521" w:rsidRDefault="00A756B4" w:rsidP="00A756B4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Генерирующий объект, поставляющ</w:t>
            </w:r>
            <w:r w:rsidRPr="00C16521">
              <w:rPr>
                <w:rFonts w:ascii="Garamond" w:hAnsi="Garamond"/>
                <w:b/>
                <w:sz w:val="22"/>
                <w:szCs w:val="22"/>
                <w:highlight w:val="yellow"/>
              </w:rPr>
              <w:t>ий</w:t>
            </w:r>
            <w:r w:rsidRPr="00C16521">
              <w:rPr>
                <w:rFonts w:ascii="Garamond" w:hAnsi="Garamond"/>
                <w:b/>
                <w:sz w:val="22"/>
                <w:szCs w:val="22"/>
              </w:rPr>
              <w:t xml:space="preserve"> мощность в вынужденном режиме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2CB3FE" w14:textId="3C271593" w:rsidR="00A756B4" w:rsidRPr="00C16521" w:rsidRDefault="00A756B4" w:rsidP="00A756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A522A">
              <w:rPr>
                <w:rFonts w:ascii="Garamond" w:hAnsi="Garamond"/>
                <w:sz w:val="22"/>
                <w:szCs w:val="22"/>
                <w:highlight w:val="yellow"/>
              </w:rPr>
              <w:t xml:space="preserve">Поместить определение после </w:t>
            </w:r>
            <w:r w:rsidR="008C7664" w:rsidRPr="00CA522A">
              <w:rPr>
                <w:rFonts w:ascii="Garamond" w:hAnsi="Garamond"/>
                <w:sz w:val="22"/>
                <w:szCs w:val="22"/>
                <w:highlight w:val="yellow"/>
              </w:rPr>
              <w:t>определения «</w:t>
            </w:r>
            <w:r w:rsidR="008C7664" w:rsidRPr="00CA522A">
              <w:rPr>
                <w:rFonts w:ascii="Garamond" w:eastAsia="Calibri" w:hAnsi="Garamond"/>
                <w:b/>
                <w:sz w:val="22"/>
                <w:szCs w:val="22"/>
                <w:highlight w:val="yellow"/>
              </w:rPr>
              <w:t>Генерирующее оборудование КОММод, функционирующее после реализации мероприятий по модернизации</w:t>
            </w:r>
            <w:r w:rsidR="008C7664" w:rsidRPr="00CA522A">
              <w:rPr>
                <w:rFonts w:ascii="Garamond" w:eastAsia="Calibri" w:hAnsi="Garamond"/>
                <w:sz w:val="22"/>
                <w:szCs w:val="22"/>
                <w:highlight w:val="yellow"/>
              </w:rPr>
              <w:t>»</w:t>
            </w:r>
          </w:p>
          <w:p w14:paraId="52332A3D" w14:textId="596E5F81" w:rsidR="008C7664" w:rsidRPr="00C16521" w:rsidRDefault="008C7664" w:rsidP="00A756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64124AD" w14:textId="55594158" w:rsidR="00A756B4" w:rsidRPr="00C16521" w:rsidRDefault="00A756B4" w:rsidP="00A756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sz w:val="22"/>
                <w:szCs w:val="22"/>
              </w:rPr>
              <w:t xml:space="preserve">Генерирующий объект, с использованием которого осуществляется поставка мощности на оптовый рынок в период, на который мощность такого объекта не была отобрана по результатам конкурентного отбора мощности, в случае необходимости поддержания данного объекта в работоспособном состоянии для обеспечения допустимых режимов работы ЕЭС России, систем жизнеобеспечения, режимов </w:t>
            </w:r>
            <w:r w:rsidRPr="00C16521">
              <w:rPr>
                <w:rFonts w:ascii="Garamond" w:hAnsi="Garamond"/>
                <w:sz w:val="22"/>
                <w:szCs w:val="22"/>
              </w:rPr>
              <w:lastRenderedPageBreak/>
              <w:t>водопользования, а также в случаях, установленных Правилами оптового рынка электрической энергии (мощности).</w:t>
            </w:r>
          </w:p>
        </w:tc>
      </w:tr>
      <w:tr w:rsidR="008B4801" w:rsidRPr="00C16521" w14:paraId="495665C6" w14:textId="77777777" w:rsidTr="00A756B4">
        <w:trPr>
          <w:trHeight w:val="416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66E3C72E" w14:textId="77777777" w:rsidR="008B4801" w:rsidRPr="00C16521" w:rsidRDefault="008B4801" w:rsidP="008B4801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D27F8" w14:textId="77777777" w:rsidR="008B4801" w:rsidRPr="00C16521" w:rsidRDefault="008B4801" w:rsidP="008B4801">
            <w:pPr>
              <w:spacing w:before="120" w:after="120"/>
              <w:ind w:left="33" w:hanging="33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Группа точек поставки потребления типа «нагрузка»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34363" w14:textId="77777777" w:rsidR="008B4801" w:rsidRPr="00C16521" w:rsidRDefault="008B4801" w:rsidP="008B4801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sz w:val="22"/>
                <w:szCs w:val="22"/>
              </w:rPr>
              <w:t>Группа точек поставки потребления, соответствующая потреблению энергопотребляющего оборудования Участника оптового рынка, отнесенная СО коэффициентов отнесения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определенных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в соответствии с требованиями </w:t>
            </w:r>
            <w:r w:rsidRPr="00C16521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 xml:space="preserve">Регламента допуска </w:t>
            </w:r>
            <w:bookmarkStart w:id="1" w:name="_Toc45963359"/>
            <w:r w:rsidRPr="00C16521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 xml:space="preserve">к торговой системе </w:t>
            </w:r>
            <w:bookmarkEnd w:id="1"/>
            <w:r w:rsidRPr="00C16521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оптового рынка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C16521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Регламента актуализации расчетной модели.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CD1530" w14:textId="77777777" w:rsidR="008B4801" w:rsidRPr="00C16521" w:rsidRDefault="008B4801" w:rsidP="008B4801">
            <w:pPr>
              <w:pStyle w:val="a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Группа точек поставки потребления типа «нагрузка»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B2C5AE" w14:textId="0EEEAE53" w:rsidR="008B4801" w:rsidRPr="007209C7" w:rsidRDefault="007209C7" w:rsidP="008C27C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7209C7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потребления, соответствующая потреблению энергопотребляющего оборудования Участника оптового рынка, отнесенная СО </w:t>
            </w:r>
            <w:r w:rsidRPr="007209C7">
              <w:rPr>
                <w:rFonts w:ascii="Garamond" w:hAnsi="Garamond"/>
                <w:sz w:val="22"/>
                <w:szCs w:val="22"/>
                <w:highlight w:val="yellow"/>
              </w:rPr>
              <w:t xml:space="preserve">к узлам расчетной модели с учетом </w:t>
            </w:r>
            <w:r w:rsidRPr="007209C7">
              <w:rPr>
                <w:rFonts w:ascii="Garamond" w:hAnsi="Garamond"/>
                <w:sz w:val="22"/>
                <w:szCs w:val="22"/>
              </w:rPr>
              <w:t xml:space="preserve">коэффициентов отнесения </w:t>
            </w:r>
            <w:r w:rsidRPr="008C27C0">
              <w:rPr>
                <w:rFonts w:ascii="Garamond" w:hAnsi="Garamond"/>
                <w:sz w:val="22"/>
                <w:szCs w:val="22"/>
                <w:highlight w:val="yellow"/>
              </w:rPr>
              <w:t xml:space="preserve">к узлам расчетной модели, указанных в </w:t>
            </w:r>
            <w:r w:rsidRPr="008C27C0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 xml:space="preserve">Акте о согласовании </w:t>
            </w:r>
            <w:r w:rsidRPr="008C27C0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групп точек поставки субъекта оптового рынка и отнесении их к узлам расчетной модели (приложении к указанному акту)</w:t>
            </w:r>
            <w:r w:rsidRPr="008C27C0">
              <w:rPr>
                <w:rFonts w:ascii="Garamond" w:hAnsi="Garamond"/>
                <w:iCs/>
                <w:sz w:val="22"/>
                <w:szCs w:val="22"/>
                <w:highlight w:val="yellow"/>
              </w:rPr>
              <w:t>,</w:t>
            </w:r>
            <w:r w:rsidRPr="008C27C0">
              <w:rPr>
                <w:rFonts w:ascii="Garamond" w:hAnsi="Garamond"/>
                <w:sz w:val="22"/>
                <w:szCs w:val="22"/>
              </w:rPr>
              <w:t> </w:t>
            </w:r>
            <w:r w:rsidRPr="007209C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209C7">
              <w:rPr>
                <w:rFonts w:ascii="Garamond" w:hAnsi="Garamond"/>
                <w:color w:val="000000"/>
                <w:sz w:val="22"/>
                <w:szCs w:val="22"/>
              </w:rPr>
              <w:t>в соответствии с требованиями</w:t>
            </w:r>
            <w:r w:rsidRPr="007209C7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 Положения о порядке получения статуса субъекта оптового рынка и ведения р</w:t>
            </w:r>
            <w:r w:rsidR="008C27C0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еестра субъектов оптового рынка </w:t>
            </w:r>
            <w:r w:rsidRPr="007209C7">
              <w:rPr>
                <w:rFonts w:ascii="Garamond" w:hAnsi="Garamond"/>
                <w:sz w:val="22"/>
                <w:szCs w:val="22"/>
                <w:highlight w:val="yellow"/>
                <w:lang w:eastAsia="ko-KR"/>
              </w:rPr>
              <w:t>(Приложение</w:t>
            </w:r>
            <w:r w:rsidRPr="007209C7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7209C7">
              <w:rPr>
                <w:rFonts w:ascii="Garamond" w:hAnsi="Garamond"/>
                <w:sz w:val="22"/>
                <w:szCs w:val="22"/>
                <w:highlight w:val="yellow"/>
                <w:lang w:eastAsia="ko-KR"/>
              </w:rPr>
              <w:t xml:space="preserve">№ 1.1 к </w:t>
            </w:r>
            <w:r w:rsidRPr="007209C7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ko-KR"/>
              </w:rPr>
              <w:t>Договору о присоединении к торговой системе оптового рынка</w:t>
            </w:r>
            <w:r w:rsidRPr="007209C7">
              <w:rPr>
                <w:rFonts w:ascii="Garamond" w:hAnsi="Garamond"/>
                <w:sz w:val="22"/>
                <w:szCs w:val="22"/>
                <w:highlight w:val="yellow"/>
                <w:lang w:eastAsia="ko-KR"/>
              </w:rPr>
              <w:t>)</w:t>
            </w:r>
            <w:r w:rsidRPr="007209C7">
              <w:rPr>
                <w:rFonts w:ascii="Garamond" w:hAnsi="Garamond"/>
                <w:sz w:val="22"/>
                <w:szCs w:val="22"/>
                <w:lang w:eastAsia="ko-KR"/>
              </w:rPr>
              <w:t xml:space="preserve"> </w:t>
            </w:r>
            <w:r w:rsidRPr="007209C7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7209C7">
              <w:rPr>
                <w:rFonts w:ascii="Garamond" w:hAnsi="Garamond"/>
                <w:i/>
                <w:iCs/>
                <w:sz w:val="22"/>
                <w:szCs w:val="22"/>
              </w:rPr>
              <w:t>Регламента</w:t>
            </w:r>
            <w:r w:rsidRPr="007209C7">
              <w:rPr>
                <w:rFonts w:ascii="Garamond" w:hAnsi="Garamond"/>
                <w:i/>
                <w:iCs/>
                <w:color w:val="1F497D"/>
                <w:sz w:val="22"/>
                <w:szCs w:val="22"/>
              </w:rPr>
              <w:t xml:space="preserve"> </w:t>
            </w:r>
            <w:r w:rsidRPr="007209C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актуализации расчетной модели</w:t>
            </w:r>
            <w:r w:rsidRPr="007209C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7209C7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 3 к </w:t>
            </w:r>
            <w:r w:rsidRPr="007209C7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7209C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7209C7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8B4801" w:rsidRPr="00C16521" w14:paraId="49CEBAAB" w14:textId="77777777" w:rsidTr="00A756B4">
        <w:trPr>
          <w:trHeight w:val="345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128B344D" w14:textId="77777777" w:rsidR="008B4801" w:rsidRPr="00C16521" w:rsidRDefault="008B4801" w:rsidP="008B4801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21983" w14:textId="77777777" w:rsidR="008B4801" w:rsidRPr="00C16521" w:rsidRDefault="008B4801" w:rsidP="008B4801">
            <w:pPr>
              <w:spacing w:before="120" w:after="120"/>
              <w:ind w:left="33" w:hanging="33"/>
              <w:rPr>
                <w:rFonts w:ascii="Garamond" w:hAnsi="Garamond"/>
                <w:b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Группа точек поставки потребления типа «система»</w:t>
            </w:r>
          </w:p>
          <w:p w14:paraId="2B795829" w14:textId="77777777" w:rsidR="008B4801" w:rsidRPr="00C16521" w:rsidRDefault="008B4801" w:rsidP="008B4801">
            <w:pPr>
              <w:spacing w:before="120" w:after="120"/>
              <w:ind w:left="33" w:hanging="33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7DEC1" w14:textId="77777777" w:rsidR="008B4801" w:rsidRPr="00C16521" w:rsidRDefault="008B4801" w:rsidP="008B4801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потребления, соответствующая совокупному потреблению энергопотребляющего оборудования Участника оптового рынка, а также объектов электросетевого хозяйства, отнесенная СО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к узлам расчетной модели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в соответствии с </w:t>
            </w:r>
            <w:r w:rsidRPr="00C16521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Регламентом допуска к торговой системе оптового рынка</w:t>
            </w:r>
            <w:r w:rsidRPr="008C27C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коэффициент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отнесения </w:t>
            </w:r>
            <w:r w:rsidRPr="00C97A8C">
              <w:rPr>
                <w:rFonts w:ascii="Garamond" w:hAnsi="Garamond"/>
                <w:sz w:val="22"/>
                <w:szCs w:val="22"/>
              </w:rPr>
              <w:t>к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97A8C">
              <w:rPr>
                <w:rFonts w:ascii="Garamond" w:hAnsi="Garamond"/>
                <w:sz w:val="22"/>
                <w:szCs w:val="22"/>
                <w:highlight w:val="yellow"/>
              </w:rPr>
              <w:t>которым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определяются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на основе прогнозного диспетчерского графика в соответствии с </w:t>
            </w:r>
            <w:r w:rsidRPr="00C16521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Регламентом актуализации расчетной модели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990DB" w14:textId="77777777" w:rsidR="008B4801" w:rsidRPr="00C16521" w:rsidRDefault="008B4801" w:rsidP="008B4801">
            <w:pPr>
              <w:pStyle w:val="a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</w:rPr>
              <w:t>Группа точек поставки потребления типа «система»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E6F195" w14:textId="4649A4C5" w:rsidR="008B4801" w:rsidRPr="00C16521" w:rsidRDefault="008B4801" w:rsidP="0021456E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потребления, соответствующая совокупному потреблению энергопотребляющего оборудования Участника оптового рынка, а также объектов электросетевого хозяйства, отнесенная СО в соответствии с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требованиями </w:t>
            </w:r>
            <w:r w:rsidRPr="00C16521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C1652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(Приложение</w:t>
            </w:r>
            <w:r w:rsidRPr="00C16521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C16521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 xml:space="preserve">№ 1.1 к </w:t>
            </w:r>
            <w:r w:rsidRPr="00C16521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ko-KR"/>
              </w:rPr>
              <w:t>Договору о присоединении к торговой системе оптового рынка</w:t>
            </w:r>
            <w:r w:rsidRPr="0021456E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 xml:space="preserve">) и </w:t>
            </w:r>
            <w:r w:rsidRPr="0021456E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Регламент</w:t>
            </w:r>
            <w:r w:rsidRPr="008C27C0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а актуализации расчетной модели </w:t>
            </w:r>
            <w:r w:rsidRPr="008C27C0">
              <w:rPr>
                <w:rFonts w:ascii="Garamond" w:hAnsi="Garamond"/>
                <w:sz w:val="22"/>
                <w:szCs w:val="22"/>
                <w:highlight w:val="yellow"/>
              </w:rPr>
              <w:t>(П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риложение № 3 к </w:t>
            </w:r>
            <w:r w:rsidRPr="00C16521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) к узлам расчетной </w:t>
            </w:r>
            <w:r w:rsidRPr="008C27C0">
              <w:rPr>
                <w:rFonts w:ascii="Garamond" w:hAnsi="Garamond"/>
                <w:sz w:val="22"/>
                <w:szCs w:val="22"/>
                <w:highlight w:val="yellow"/>
              </w:rPr>
              <w:t xml:space="preserve">модели. При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этом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коэффициент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отнесения </w:t>
            </w:r>
            <w:r w:rsidRPr="00C97A8C">
              <w:rPr>
                <w:rFonts w:ascii="Garamond" w:hAnsi="Garamond"/>
                <w:sz w:val="22"/>
                <w:szCs w:val="22"/>
              </w:rPr>
              <w:t>к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 узлам расчетной модели</w:t>
            </w:r>
            <w:r w:rsidRPr="00C16521">
              <w:rPr>
                <w:rFonts w:ascii="Garamond" w:hAnsi="Garamond"/>
                <w:sz w:val="22"/>
                <w:szCs w:val="22"/>
              </w:rPr>
              <w:t xml:space="preserve"> определяются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ежесуточно в соответствии с </w:t>
            </w:r>
            <w:r w:rsidRPr="00C16521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Регламентом проведения конкурентного отбора ценовых заявок на сутки вперед 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7 к </w:t>
            </w:r>
            <w:r w:rsidRPr="00C16521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Договору о присоединении к </w:t>
            </w:r>
            <w:r w:rsidRPr="00C16521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lastRenderedPageBreak/>
              <w:t>торговой системе оптового рынка</w:t>
            </w: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</w:tr>
      <w:tr w:rsidR="00C16521" w:rsidRPr="00C16521" w14:paraId="3D51EEB6" w14:textId="77777777" w:rsidTr="00A756B4">
        <w:trPr>
          <w:trHeight w:val="345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3B5B9C43" w14:textId="77777777" w:rsidR="00C16521" w:rsidRPr="00C16521" w:rsidRDefault="00C16521" w:rsidP="00C16521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67953" w14:textId="63096E22" w:rsidR="00C16521" w:rsidRPr="00C16521" w:rsidRDefault="00C16521" w:rsidP="00C16521">
            <w:pPr>
              <w:spacing w:before="120" w:after="120"/>
              <w:ind w:left="33" w:hanging="33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Объект потребления с регулируемой нагрузкой 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94DD3" w14:textId="7BD30CD4" w:rsidR="00C16521" w:rsidRPr="00C16521" w:rsidRDefault="00C16521" w:rsidP="00C16521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Электроэнергетический объект, группа точек поставки которого имеет тип потребления и не имеет общих точек с группами точек поставки генерации, технологический процесс, которого позволяет изменять величину его потребления мощности (не по сальдо перетоков) в оперативном режиме: от суток до нескольких минут.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5B8E58" w14:textId="77777777" w:rsidR="00C16521" w:rsidRPr="00C16521" w:rsidRDefault="00C16521" w:rsidP="00C16521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706EA7" w14:textId="19E84CF5" w:rsidR="00C16521" w:rsidRPr="00C16521" w:rsidRDefault="00C16521" w:rsidP="00C1652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lang w:eastAsia="en-US"/>
              </w:rPr>
              <w:t>Удалить определение</w:t>
            </w:r>
          </w:p>
        </w:tc>
      </w:tr>
      <w:tr w:rsidR="002730F0" w:rsidRPr="00C16521" w14:paraId="2241F9C1" w14:textId="77777777" w:rsidTr="00A756B4">
        <w:trPr>
          <w:trHeight w:val="345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2EAD3BD7" w14:textId="77777777" w:rsidR="002730F0" w:rsidRPr="00C16521" w:rsidRDefault="002730F0" w:rsidP="002730F0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D74A8" w14:textId="75ECFCDF" w:rsidR="002730F0" w:rsidRPr="00C16521" w:rsidRDefault="002730F0" w:rsidP="002730F0">
            <w:pPr>
              <w:spacing w:before="120" w:after="120"/>
              <w:ind w:left="33" w:hanging="33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highlight w:val="yellow"/>
              </w:rPr>
              <w:t>Период угрозы холостых сбросов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12ACC" w14:textId="1FADDF17" w:rsidR="002730F0" w:rsidRPr="00C16521" w:rsidRDefault="002730F0" w:rsidP="002730F0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16521">
              <w:rPr>
                <w:rFonts w:ascii="Garamond" w:hAnsi="Garamond"/>
                <w:sz w:val="22"/>
                <w:szCs w:val="22"/>
                <w:highlight w:val="yellow"/>
              </w:rPr>
              <w:t>Период, характеризующийся высокой вероятностью возникновения холостых сбросов на ГЭС, вызванных паводком, и определяемый в первой ценовой зоне с 1 апреля по 30 июня, во второй ценовой зоне с 1 июня по 31 августа; либо период, характеризующийся высокой вероятностью возникновения холостых сбросов на ГЭС, устанавливаемый по указанию федерального органа управления в сфере регулирования водных ресурсов.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639ED0" w14:textId="77777777" w:rsidR="002730F0" w:rsidRPr="00C16521" w:rsidRDefault="002730F0" w:rsidP="002730F0">
            <w:pPr>
              <w:pStyle w:val="ab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D06F13" w14:textId="3A2D1F47" w:rsidR="002730F0" w:rsidRPr="00C16521" w:rsidRDefault="00C16521" w:rsidP="002730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lang w:eastAsia="en-US"/>
              </w:rPr>
              <w:t>Удалить определение</w:t>
            </w:r>
          </w:p>
        </w:tc>
      </w:tr>
      <w:tr w:rsidR="00292FB6" w:rsidRPr="00C16521" w14:paraId="197AEE3F" w14:textId="77777777" w:rsidTr="00A756B4">
        <w:trPr>
          <w:trHeight w:val="345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51A93DAF" w14:textId="77777777" w:rsidR="00292FB6" w:rsidRPr="00C16521" w:rsidRDefault="00292FB6" w:rsidP="00292FB6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04421" w14:textId="6B880966" w:rsidR="00292FB6" w:rsidRPr="00CA522A" w:rsidRDefault="00292FB6" w:rsidP="00292FB6">
            <w:pPr>
              <w:spacing w:before="120" w:after="120"/>
              <w:ind w:left="33" w:hanging="33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CA522A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Составляющая цены на мощность, определенная ФСТ России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292DC" w14:textId="5CDD7FF2" w:rsidR="00292FB6" w:rsidRPr="00CA522A" w:rsidRDefault="00292FB6" w:rsidP="00292FB6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A522A">
              <w:rPr>
                <w:rFonts w:ascii="Garamond" w:hAnsi="Garamond" w:cs="Calibri"/>
                <w:sz w:val="22"/>
                <w:szCs w:val="22"/>
                <w:highlight w:val="yellow"/>
              </w:rPr>
              <w:t>Определенная</w:t>
            </w:r>
            <w:r w:rsidRPr="00CA522A">
              <w:rPr>
                <w:rFonts w:ascii="Garamond" w:hAnsi="Garamond"/>
                <w:sz w:val="22"/>
                <w:szCs w:val="22"/>
                <w:highlight w:val="yellow"/>
              </w:rPr>
              <w:t xml:space="preserve"> федеральным органом исполнительной власти в области регулирования тарифов</w:t>
            </w:r>
            <w:r w:rsidRPr="00CA522A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 составляющая цены на мощность, соответствующая размеру денежных средств, необходимых для обеспечения безопасной эксплуатации станций и финансирования инвестиционных программ субъектов электроэнергетики в части, касающейся генерирующих объектов атомных станций и гидроэлектростанций (в том числе гидроаккумулирующих электростанций), в отношении которых были заключены соответствующие установленные Правилами оптового рынка электрической энергии и мощности договоры.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38D8D8" w14:textId="77777777" w:rsidR="00292FB6" w:rsidRPr="00C16521" w:rsidRDefault="00292FB6" w:rsidP="00292FB6">
            <w:pPr>
              <w:pStyle w:val="ab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E37E8F" w14:textId="4453F370" w:rsidR="00292FB6" w:rsidRPr="00C16521" w:rsidRDefault="00292FB6" w:rsidP="00292FB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lang w:eastAsia="en-US"/>
              </w:rPr>
              <w:t>Удалить определение</w:t>
            </w:r>
          </w:p>
        </w:tc>
      </w:tr>
      <w:tr w:rsidR="00540B1D" w:rsidRPr="00C16521" w14:paraId="7D2EBBD9" w14:textId="77777777" w:rsidTr="00A756B4">
        <w:trPr>
          <w:trHeight w:val="345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67E5A494" w14:textId="77777777" w:rsidR="00540B1D" w:rsidRPr="00C16521" w:rsidRDefault="00540B1D" w:rsidP="00540B1D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7C32A" w14:textId="699D46F2" w:rsidR="00540B1D" w:rsidRPr="00CA522A" w:rsidRDefault="00540B1D" w:rsidP="00540B1D">
            <w:pPr>
              <w:spacing w:before="120" w:after="120"/>
              <w:ind w:left="33" w:hanging="33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CA522A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Цена на мощность, производимую с использованием генерирующего </w:t>
            </w:r>
            <w:r w:rsidRPr="00CA522A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lastRenderedPageBreak/>
              <w:t>объекта, поставляющего мощность в вынужденном режиме, установленная ФСТ России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79FD5" w14:textId="77777777" w:rsidR="00540B1D" w:rsidRPr="00CA522A" w:rsidRDefault="00540B1D" w:rsidP="00540B1D">
            <w:pPr>
              <w:pStyle w:val="5"/>
              <w:widowControl w:val="0"/>
              <w:ind w:left="-4" w:right="391"/>
              <w:rPr>
                <w:rFonts w:ascii="Garamond" w:hAnsi="Garamond"/>
                <w:szCs w:val="22"/>
                <w:highlight w:val="yellow"/>
              </w:rPr>
            </w:pPr>
            <w:r w:rsidRPr="00CA522A">
              <w:rPr>
                <w:rFonts w:ascii="Garamond" w:hAnsi="Garamond"/>
                <w:szCs w:val="22"/>
                <w:highlight w:val="yellow"/>
              </w:rPr>
              <w:lastRenderedPageBreak/>
              <w:t xml:space="preserve">Цена на мощность, производимую с использованием генерирующего объекта, поставляющего мощность в вынужденном режиме, установленная ФСТ России в отношении </w:t>
            </w:r>
            <w:r w:rsidRPr="00CA522A">
              <w:rPr>
                <w:rFonts w:ascii="Garamond" w:hAnsi="Garamond"/>
                <w:szCs w:val="22"/>
                <w:highlight w:val="yellow"/>
              </w:rPr>
              <w:lastRenderedPageBreak/>
              <w:t>генерирующего объекта.</w:t>
            </w:r>
          </w:p>
          <w:p w14:paraId="293716B3" w14:textId="0C7B9A21" w:rsidR="00540B1D" w:rsidRPr="00CA522A" w:rsidRDefault="00540B1D" w:rsidP="00540B1D">
            <w:pPr>
              <w:widowControl w:val="0"/>
              <w:autoSpaceDE w:val="0"/>
              <w:autoSpaceDN w:val="0"/>
              <w:adjustRightInd w:val="0"/>
              <w:spacing w:before="120" w:after="120"/>
              <w:ind w:right="95"/>
              <w:jc w:val="both"/>
              <w:rPr>
                <w:rFonts w:ascii="Garamond" w:hAnsi="Garamond" w:cs="Calibri"/>
                <w:sz w:val="22"/>
                <w:szCs w:val="22"/>
                <w:highlight w:val="yellow"/>
              </w:rPr>
            </w:pPr>
            <w:r w:rsidRPr="00CA522A">
              <w:rPr>
                <w:rFonts w:ascii="Garamond" w:hAnsi="Garamond"/>
                <w:sz w:val="22"/>
                <w:szCs w:val="22"/>
                <w:highlight w:val="yellow"/>
              </w:rPr>
              <w:t>В случае если ФСТ России установлена цена на мощность для электростанции, КО применяет ее к ГТП генерации, которые относятся к данной электростанции. В случае если ФСТ России установлены различные значения цены на мощность для генерирующих объектов, поставляющих мощность в вынужденном режиме и включенных в одну ГТП генерации, то КО определяет средневзвешенную цену на мощность для ГТП генерации, к которой относится (-ятся) данный (-ые) генерирующий (-ие) объект (-ы).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6E8EFE" w14:textId="77777777" w:rsidR="00540B1D" w:rsidRPr="00C16521" w:rsidRDefault="00540B1D" w:rsidP="00540B1D">
            <w:pPr>
              <w:pStyle w:val="ab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70886E" w14:textId="0806EF9A" w:rsidR="00540B1D" w:rsidRPr="00C16521" w:rsidRDefault="00CA522A" w:rsidP="00540B1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lang w:eastAsia="en-US"/>
              </w:rPr>
              <w:t>Удалить определение</w:t>
            </w:r>
          </w:p>
        </w:tc>
      </w:tr>
      <w:tr w:rsidR="00540B1D" w:rsidRPr="00C16521" w14:paraId="79B8D645" w14:textId="77777777" w:rsidTr="00A756B4">
        <w:trPr>
          <w:trHeight w:val="345"/>
        </w:trPr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14:paraId="10083AA2" w14:textId="77777777" w:rsidR="00540B1D" w:rsidRPr="00C16521" w:rsidRDefault="00540B1D" w:rsidP="00540B1D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E12A0" w14:textId="7363E4E9" w:rsidR="00540B1D" w:rsidRPr="00CA522A" w:rsidRDefault="00540B1D" w:rsidP="00540B1D">
            <w:pPr>
              <w:spacing w:before="120" w:after="120"/>
              <w:ind w:left="33" w:hanging="33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CA522A">
              <w:rPr>
                <w:rFonts w:ascii="Garamond" w:hAnsi="Garamond"/>
                <w:b/>
                <w:sz w:val="22"/>
                <w:szCs w:val="22"/>
                <w:highlight w:val="yellow"/>
              </w:rPr>
              <w:t>Цена на электрическую энергию, производимую с использованием генерирующего объекта, поставляющего мощность в вынужденном режиме, установленная ФСТ России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1B062" w14:textId="77777777" w:rsidR="00540B1D" w:rsidRPr="00CA522A" w:rsidRDefault="00540B1D" w:rsidP="00540B1D">
            <w:pPr>
              <w:pStyle w:val="5"/>
              <w:widowControl w:val="0"/>
              <w:ind w:left="-4" w:right="391"/>
              <w:rPr>
                <w:rFonts w:ascii="Garamond" w:hAnsi="Garamond"/>
                <w:szCs w:val="22"/>
                <w:highlight w:val="yellow"/>
              </w:rPr>
            </w:pPr>
            <w:r w:rsidRPr="00CA522A">
              <w:rPr>
                <w:rFonts w:ascii="Garamond" w:hAnsi="Garamond"/>
                <w:szCs w:val="22"/>
                <w:highlight w:val="yellow"/>
              </w:rPr>
              <w:t>Цена на электрическую энергию, производимую с использованием генерирующего объекта, поставляющего мощность в вынужденном режиме, установленная ФСТ России в отношении данного генерирующего объекта.</w:t>
            </w:r>
          </w:p>
          <w:p w14:paraId="0AE8959E" w14:textId="77777777" w:rsidR="00540B1D" w:rsidRPr="00CA522A" w:rsidRDefault="00540B1D" w:rsidP="00540B1D">
            <w:pPr>
              <w:widowControl w:val="0"/>
              <w:ind w:right="39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CA522A">
              <w:rPr>
                <w:rFonts w:ascii="Garamond" w:hAnsi="Garamond"/>
                <w:sz w:val="22"/>
                <w:szCs w:val="22"/>
                <w:highlight w:val="yellow"/>
              </w:rPr>
              <w:t>В случае если ФСТ России установлена цена на электрическую энергию для электростанции, КО применяет ее к ГТП генерации, которые относятся к данной электростанции. В случае если ФСТ России установлены различные значения цены на электрическую энергию для генерирующих объектов, поставляющих мощность в вынужденном режиме и включенных в одну ГТП генерации, то КО определяет средневзвешенную цену на электрическую энергию для данной ГТП генерации в соответствии с регламентами оптового рынка.</w:t>
            </w:r>
          </w:p>
          <w:p w14:paraId="64DD3952" w14:textId="17C08519" w:rsidR="00540B1D" w:rsidRPr="00CA522A" w:rsidRDefault="00540B1D" w:rsidP="00540B1D">
            <w:pPr>
              <w:pStyle w:val="5"/>
              <w:widowControl w:val="0"/>
              <w:ind w:left="-4" w:right="391"/>
              <w:rPr>
                <w:rFonts w:ascii="Garamond" w:hAnsi="Garamond"/>
                <w:szCs w:val="22"/>
                <w:highlight w:val="yellow"/>
              </w:rPr>
            </w:pPr>
            <w:r w:rsidRPr="00CA522A">
              <w:rPr>
                <w:rFonts w:ascii="Garamond" w:hAnsi="Garamond"/>
                <w:szCs w:val="22"/>
                <w:highlight w:val="yellow"/>
              </w:rPr>
              <w:t xml:space="preserve">В случае если ФСТ России установлено одно значение цены на электрическую энергию (далее – цена «1») для генерирующего объекта (далее – генерирующий объект «1»), а также генерирующий объект «1» полностью включен в другой генерирующий объект (далее – генерирующий объект «2»), для которого ФСТ России установлено другое значение цены на электрическую энергию (далее – цена «2»), то в </w:t>
            </w:r>
            <w:r w:rsidRPr="00CA522A">
              <w:rPr>
                <w:rFonts w:ascii="Garamond" w:hAnsi="Garamond"/>
                <w:szCs w:val="22"/>
                <w:highlight w:val="yellow"/>
              </w:rPr>
              <w:lastRenderedPageBreak/>
              <w:t>отношении отнесенного к генерирующему объекту «1» генерирующего оборудования КО применяет значение цены «1», а в отношении генерирующего оборудования, отнесенного к генерирующему объекту «2», но не отнесенного к генерирующему объекту «1», КО применяет значение цены «2».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ECFDA5" w14:textId="77777777" w:rsidR="00540B1D" w:rsidRPr="00C16521" w:rsidRDefault="00540B1D" w:rsidP="00540B1D">
            <w:pPr>
              <w:pStyle w:val="ab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CB6A46" w14:textId="0D2291CF" w:rsidR="00540B1D" w:rsidRPr="00C16521" w:rsidRDefault="00CA522A" w:rsidP="00540B1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16521">
              <w:rPr>
                <w:rFonts w:ascii="Garamond" w:hAnsi="Garamond"/>
                <w:b/>
                <w:sz w:val="22"/>
                <w:szCs w:val="22"/>
                <w:lang w:eastAsia="en-US"/>
              </w:rPr>
              <w:t>Удалить определение</w:t>
            </w:r>
          </w:p>
        </w:tc>
      </w:tr>
    </w:tbl>
    <w:p w14:paraId="0E180221" w14:textId="77777777" w:rsidR="007212B4" w:rsidRDefault="007212B4" w:rsidP="008F6078">
      <w:pPr>
        <w:ind w:right="-314"/>
        <w:rPr>
          <w:rFonts w:ascii="Garamond" w:hAnsi="Garamond"/>
          <w:b/>
          <w:sz w:val="26"/>
          <w:szCs w:val="26"/>
        </w:rPr>
      </w:pPr>
    </w:p>
    <w:p w14:paraId="615B6E12" w14:textId="690E6E22" w:rsidR="008F6078" w:rsidRDefault="008F6078" w:rsidP="008F6078">
      <w:pPr>
        <w:ind w:right="-314"/>
        <w:rPr>
          <w:rFonts w:ascii="Garamond" w:hAnsi="Garamond"/>
          <w:b/>
          <w:sz w:val="26"/>
          <w:szCs w:val="26"/>
        </w:rPr>
      </w:pPr>
      <w:r w:rsidRPr="001F65E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F6078">
        <w:rPr>
          <w:rFonts w:ascii="Garamond" w:hAnsi="Garamond"/>
          <w:b/>
          <w:caps/>
          <w:sz w:val="26"/>
          <w:szCs w:val="26"/>
        </w:rPr>
        <w:t>РЕГЛАМЕНТ АТТЕСТАЦИИ</w:t>
      </w:r>
      <w:r>
        <w:rPr>
          <w:rFonts w:ascii="Garamond" w:hAnsi="Garamond"/>
          <w:b/>
          <w:caps/>
          <w:sz w:val="26"/>
          <w:szCs w:val="26"/>
        </w:rPr>
        <w:t xml:space="preserve"> </w:t>
      </w:r>
      <w:r w:rsidRPr="008F6078">
        <w:rPr>
          <w:rFonts w:ascii="Garamond" w:hAnsi="Garamond"/>
          <w:b/>
          <w:caps/>
          <w:sz w:val="26"/>
          <w:szCs w:val="26"/>
        </w:rPr>
        <w:t>ГЕНЕРИРУЮЩЕГО ОБОРУДОВАНИЯ</w:t>
      </w:r>
      <w:r w:rsidRPr="001F65E2">
        <w:rPr>
          <w:rFonts w:ascii="Garamond" w:hAnsi="Garamond"/>
          <w:b/>
          <w:caps/>
          <w:sz w:val="26"/>
          <w:szCs w:val="26"/>
        </w:rPr>
        <w:t xml:space="preserve"> (</w:t>
      </w:r>
      <w:r>
        <w:rPr>
          <w:rFonts w:ascii="Garamond" w:hAnsi="Garamond"/>
          <w:b/>
          <w:sz w:val="26"/>
          <w:szCs w:val="26"/>
        </w:rPr>
        <w:t>Приложение № 19.2</w:t>
      </w:r>
      <w:r w:rsidRPr="001F65E2"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14:paraId="4BB95735" w14:textId="77777777" w:rsidR="008F6078" w:rsidRDefault="008F6078" w:rsidP="008F6078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74"/>
        <w:gridCol w:w="6917"/>
      </w:tblGrid>
      <w:tr w:rsidR="008F6078" w:rsidRPr="004A5401" w14:paraId="577D12E2" w14:textId="77777777" w:rsidTr="005C555B">
        <w:trPr>
          <w:jc w:val="center"/>
        </w:trPr>
        <w:tc>
          <w:tcPr>
            <w:tcW w:w="993" w:type="dxa"/>
            <w:vAlign w:val="center"/>
          </w:tcPr>
          <w:p w14:paraId="31EA1606" w14:textId="77777777" w:rsidR="008F6078" w:rsidRPr="004A5401" w:rsidRDefault="008F6078" w:rsidP="005C555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7C5BC462" w14:textId="77777777" w:rsidR="008F6078" w:rsidRPr="004A5401" w:rsidRDefault="008F6078" w:rsidP="005C555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6789EC7E" w14:textId="77777777" w:rsidR="008F6078" w:rsidRPr="004A5401" w:rsidRDefault="008F6078" w:rsidP="005C555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31429895" w14:textId="77777777" w:rsidR="008F6078" w:rsidRPr="004A5401" w:rsidRDefault="008F6078" w:rsidP="005C555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2E45ACD" w14:textId="77777777" w:rsidR="008F6078" w:rsidRPr="004A5401" w:rsidRDefault="008F6078" w:rsidP="005C555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6D7C6008" w14:textId="77777777" w:rsidR="008F6078" w:rsidRPr="004A5401" w:rsidRDefault="008F6078" w:rsidP="005C555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A540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8F6078" w:rsidRPr="004A5401" w14:paraId="1BA532CD" w14:textId="77777777" w:rsidTr="005C555B">
        <w:trPr>
          <w:trHeight w:val="561"/>
          <w:jc w:val="center"/>
        </w:trPr>
        <w:tc>
          <w:tcPr>
            <w:tcW w:w="993" w:type="dxa"/>
            <w:vAlign w:val="center"/>
          </w:tcPr>
          <w:p w14:paraId="744A4B3B" w14:textId="19653BBA" w:rsidR="008F6078" w:rsidRPr="008F6078" w:rsidRDefault="008F6078" w:rsidP="005C555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6.8.4.1</w:t>
            </w:r>
          </w:p>
        </w:tc>
        <w:tc>
          <w:tcPr>
            <w:tcW w:w="6974" w:type="dxa"/>
          </w:tcPr>
          <w:p w14:paraId="5C3C329C" w14:textId="77777777" w:rsidR="008F6078" w:rsidRDefault="008F6078" w:rsidP="008F6078">
            <w:pPr>
              <w:widowControl w:val="0"/>
              <w:spacing w:before="120" w:after="120"/>
              <w:ind w:firstLine="61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0C6E7560" w14:textId="77777777" w:rsidR="008F6078" w:rsidRPr="00BF06E3" w:rsidRDefault="008F6078" w:rsidP="008F6078">
            <w:pPr>
              <w:widowControl w:val="0"/>
              <w:spacing w:before="120" w:after="120"/>
              <w:ind w:firstLine="612"/>
              <w:jc w:val="both"/>
              <w:rPr>
                <w:rFonts w:ascii="Garamond" w:hAnsi="Garamond"/>
                <w:sz w:val="22"/>
                <w:szCs w:val="22"/>
              </w:rPr>
            </w:pPr>
            <w:r w:rsidRPr="00BF06E3">
              <w:rPr>
                <w:rFonts w:ascii="Garamond" w:hAnsi="Garamond"/>
                <w:sz w:val="22"/>
                <w:szCs w:val="22"/>
              </w:rPr>
              <w:t xml:space="preserve">Если в течение периода, для которого определяется величина </w:t>
            </w:r>
            <w:r w:rsidRPr="00BF06E3">
              <w:rPr>
                <w:rFonts w:ascii="Garamond" w:hAnsi="Garamond"/>
                <w:sz w:val="22"/>
                <w:szCs w:val="22"/>
              </w:rPr>
              <w:object w:dxaOrig="720" w:dyaOrig="400" w14:anchorId="67C661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21pt" o:ole="">
                  <v:imagedata r:id="rId8" o:title=""/>
                </v:shape>
                <o:OLEObject Type="Embed" ProgID="Equation.3" ShapeID="_x0000_i1025" DrawAspect="Content" ObjectID="_1685916622" r:id="rId9"/>
              </w:object>
            </w:r>
            <w:r w:rsidRPr="00BF06E3">
              <w:rPr>
                <w:rFonts w:ascii="Garamond" w:hAnsi="Garamond"/>
                <w:sz w:val="22"/>
                <w:szCs w:val="22"/>
              </w:rPr>
              <w:t xml:space="preserve">в соответствии с настоящим пунктом, действовало более одного Акта о соответствии системы коммерческого учета техническим требованиям оптового рынка электрической энергии и мощности, то расчет величины </w:t>
            </w:r>
            <w:r w:rsidRPr="00BF06E3">
              <w:rPr>
                <w:rFonts w:ascii="Garamond" w:hAnsi="Garamond"/>
                <w:sz w:val="22"/>
                <w:szCs w:val="22"/>
              </w:rPr>
              <w:object w:dxaOrig="720" w:dyaOrig="400" w14:anchorId="40A4A15E">
                <v:shape id="_x0000_i1026" type="#_x0000_t75" style="width:37.5pt;height:21pt" o:ole="">
                  <v:imagedata r:id="rId10" o:title=""/>
                </v:shape>
                <o:OLEObject Type="Embed" ProgID="Equation.3" ShapeID="_x0000_i1026" DrawAspect="Content" ObjectID="_1685916623" r:id="rId11"/>
              </w:object>
            </w:r>
            <w:r w:rsidRPr="00BF06E3">
              <w:rPr>
                <w:rFonts w:ascii="Garamond" w:hAnsi="Garamond"/>
                <w:sz w:val="22"/>
                <w:szCs w:val="22"/>
              </w:rPr>
              <w:t>осуществляется с учетом следующих особенностей:</w:t>
            </w:r>
          </w:p>
          <w:p w14:paraId="04998A2B" w14:textId="77777777" w:rsidR="008F6078" w:rsidRPr="00BF06E3" w:rsidRDefault="008F6078" w:rsidP="008F6078">
            <w:pPr>
              <w:pStyle w:val="a3"/>
              <w:widowControl w:val="0"/>
              <w:numPr>
                <w:ilvl w:val="0"/>
                <w:numId w:val="31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F06E3">
              <w:rPr>
                <w:rFonts w:ascii="Garamond" w:hAnsi="Garamond"/>
                <w:sz w:val="22"/>
                <w:szCs w:val="22"/>
              </w:rPr>
              <w:t>используются данные об объемах выработки электроэнергии только за часы, входящие во временные интервалы, в которых действовали вышеуказанные Акты о соответствии системы коммерческого учета техническим требованиям оптового рынка электрической энергии и мощности;</w:t>
            </w:r>
          </w:p>
          <w:p w14:paraId="11564022" w14:textId="77777777" w:rsidR="008F6078" w:rsidRDefault="008F6078" w:rsidP="008F607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F06E3">
              <w:rPr>
                <w:rFonts w:ascii="Garamond" w:hAnsi="Garamond"/>
                <w:sz w:val="22"/>
                <w:szCs w:val="22"/>
              </w:rPr>
              <w:t xml:space="preserve">используются результаты измерений, на основании которых рассчитываются данные об объемах выработки электроэнергии, переданные в КО в период действия вышеуказанных Актов о соответствии системы коммерческого учета техническим требованиям оптового рынка электрической энергии и мощности в порядке, предусмотренном 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t xml:space="preserve">Форматом и регламентом предоставления результатов измерений, состояний </w:t>
            </w:r>
            <w:r w:rsidRPr="008F6078">
              <w:rPr>
                <w:rFonts w:ascii="Garamond" w:hAnsi="Garamond"/>
                <w:i/>
                <w:sz w:val="22"/>
                <w:szCs w:val="22"/>
                <w:highlight w:val="yellow"/>
              </w:rPr>
              <w:t>средств и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t xml:space="preserve"> объектов измерений в АО «АТС», АО «СО ЕЭС» и смежным субъектам</w:t>
            </w:r>
            <w:r w:rsidRPr="00BF06E3">
              <w:rPr>
                <w:rFonts w:ascii="Garamond" w:hAnsi="Garamond"/>
                <w:sz w:val="22"/>
                <w:szCs w:val="22"/>
              </w:rPr>
              <w:t xml:space="preserve"> (Приложение № 11.1.1 к 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t xml:space="preserve">Положению о порядке получения статуса субъекта оптового рынка и ведения реестра субъектов оптового рынка электрической энергии и 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lastRenderedPageBreak/>
              <w:t>мощности</w:t>
            </w:r>
            <w:r w:rsidRPr="00BF06E3">
              <w:rPr>
                <w:rFonts w:ascii="Garamond" w:hAnsi="Garamond"/>
                <w:sz w:val="22"/>
                <w:szCs w:val="22"/>
              </w:rPr>
              <w:t>). В случае передачи результатов измерений в КО после окончания срока действия Акта о соответствии системы коммерческого учета техническим требованиям оптового рынка электрической энергии и мощности от АИИС КУЭ, данные об объемах выработки электроэнергии в часы, в отношении которых направлены вышеуказанные результаты измерений, не используются при расчете величины</w:t>
            </w:r>
            <w:r w:rsidRPr="00BF06E3">
              <w:rPr>
                <w:rFonts w:ascii="Garamond" w:hAnsi="Garamond"/>
                <w:sz w:val="22"/>
                <w:szCs w:val="22"/>
              </w:rPr>
              <w:object w:dxaOrig="720" w:dyaOrig="400" w14:anchorId="06CF5D55">
                <v:shape id="_x0000_i1027" type="#_x0000_t75" style="width:37.5pt;height:21pt" o:ole="">
                  <v:imagedata r:id="rId8" o:title=""/>
                </v:shape>
                <o:OLEObject Type="Embed" ProgID="Equation.3" ShapeID="_x0000_i1027" DrawAspect="Content" ObjectID="_1685916624" r:id="rId12"/>
              </w:object>
            </w:r>
            <w:r w:rsidRPr="00BF06E3">
              <w:rPr>
                <w:rFonts w:ascii="Garamond" w:hAnsi="Garamond"/>
                <w:sz w:val="22"/>
                <w:szCs w:val="22"/>
              </w:rPr>
              <w:t>.</w:t>
            </w:r>
          </w:p>
          <w:p w14:paraId="4C453D74" w14:textId="34E707C8" w:rsidR="008F6078" w:rsidRPr="004A5401" w:rsidRDefault="008F6078" w:rsidP="008F6078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917" w:type="dxa"/>
          </w:tcPr>
          <w:p w14:paraId="01904629" w14:textId="77777777" w:rsidR="008F6078" w:rsidRDefault="008F6078" w:rsidP="008F6078">
            <w:pPr>
              <w:widowControl w:val="0"/>
              <w:spacing w:before="120" w:after="120"/>
              <w:ind w:firstLine="61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14:paraId="16E04AF2" w14:textId="77777777" w:rsidR="008F6078" w:rsidRPr="00BF06E3" w:rsidRDefault="008F6078" w:rsidP="008F6078">
            <w:pPr>
              <w:widowControl w:val="0"/>
              <w:spacing w:before="120" w:after="120"/>
              <w:ind w:firstLine="612"/>
              <w:jc w:val="both"/>
              <w:rPr>
                <w:rFonts w:ascii="Garamond" w:hAnsi="Garamond"/>
                <w:sz w:val="22"/>
                <w:szCs w:val="22"/>
              </w:rPr>
            </w:pPr>
            <w:r w:rsidRPr="00BF06E3">
              <w:rPr>
                <w:rFonts w:ascii="Garamond" w:hAnsi="Garamond"/>
                <w:sz w:val="22"/>
                <w:szCs w:val="22"/>
              </w:rPr>
              <w:t xml:space="preserve">Если в течение периода, для которого определяется величина </w:t>
            </w:r>
            <w:r w:rsidRPr="00BF06E3">
              <w:rPr>
                <w:rFonts w:ascii="Garamond" w:hAnsi="Garamond"/>
                <w:sz w:val="22"/>
                <w:szCs w:val="22"/>
              </w:rPr>
              <w:object w:dxaOrig="720" w:dyaOrig="400" w14:anchorId="2CAC9A76">
                <v:shape id="_x0000_i1028" type="#_x0000_t75" style="width:37.5pt;height:21pt" o:ole="">
                  <v:imagedata r:id="rId8" o:title=""/>
                </v:shape>
                <o:OLEObject Type="Embed" ProgID="Equation.3" ShapeID="_x0000_i1028" DrawAspect="Content" ObjectID="_1685916625" r:id="rId13"/>
              </w:object>
            </w:r>
            <w:r w:rsidRPr="00BF06E3">
              <w:rPr>
                <w:rFonts w:ascii="Garamond" w:hAnsi="Garamond"/>
                <w:sz w:val="22"/>
                <w:szCs w:val="22"/>
              </w:rPr>
              <w:t xml:space="preserve">в соответствии с настоящим пунктом, действовало более одного Акта о соответствии системы коммерческого учета техническим требованиям оптового рынка электрической энергии и мощности, то расчет величины </w:t>
            </w:r>
            <w:r w:rsidRPr="00BF06E3">
              <w:rPr>
                <w:rFonts w:ascii="Garamond" w:hAnsi="Garamond"/>
                <w:sz w:val="22"/>
                <w:szCs w:val="22"/>
              </w:rPr>
              <w:object w:dxaOrig="720" w:dyaOrig="400" w14:anchorId="74AE5DDB">
                <v:shape id="_x0000_i1029" type="#_x0000_t75" style="width:37.5pt;height:21pt" o:ole="">
                  <v:imagedata r:id="rId10" o:title=""/>
                </v:shape>
                <o:OLEObject Type="Embed" ProgID="Equation.3" ShapeID="_x0000_i1029" DrawAspect="Content" ObjectID="_1685916626" r:id="rId14"/>
              </w:object>
            </w:r>
            <w:r w:rsidRPr="00BF06E3">
              <w:rPr>
                <w:rFonts w:ascii="Garamond" w:hAnsi="Garamond"/>
                <w:sz w:val="22"/>
                <w:szCs w:val="22"/>
              </w:rPr>
              <w:t>осуществляется с учетом следующих особенностей:</w:t>
            </w:r>
          </w:p>
          <w:p w14:paraId="35A7D44C" w14:textId="77777777" w:rsidR="008F6078" w:rsidRPr="00BF06E3" w:rsidRDefault="008F6078" w:rsidP="008F6078">
            <w:pPr>
              <w:pStyle w:val="a3"/>
              <w:widowControl w:val="0"/>
              <w:numPr>
                <w:ilvl w:val="0"/>
                <w:numId w:val="31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BF06E3">
              <w:rPr>
                <w:rFonts w:ascii="Garamond" w:hAnsi="Garamond"/>
                <w:sz w:val="22"/>
                <w:szCs w:val="22"/>
              </w:rPr>
              <w:t>используются данные об объемах выработки электроэнергии только за часы, входящие во временные интервалы, в которых действовали вышеуказанные Акты о соответствии системы коммерческого учета техническим требованиям оптового рынка электрической энергии и мощности;</w:t>
            </w:r>
          </w:p>
          <w:p w14:paraId="0288374D" w14:textId="20A85B0D" w:rsidR="008F6078" w:rsidRDefault="008F6078" w:rsidP="008F607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F06E3">
              <w:rPr>
                <w:rFonts w:ascii="Garamond" w:hAnsi="Garamond"/>
                <w:sz w:val="22"/>
                <w:szCs w:val="22"/>
              </w:rPr>
              <w:t xml:space="preserve">используются результаты измерений, на основании которых рассчитываются данные об объемах выработки электроэнергии, переданные в КО в период действия вышеуказанных Актов о соответствии системы коммерческого учета техническим требованиям оптового рынка электрической энергии и мощности в порядке, предусмотренном 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t>Форматом и регламентом предоставления результатов измерений, состояний объектов измерений в АО «АТС», АО «СО ЕЭС» и смежным субъектам</w:t>
            </w:r>
            <w:r w:rsidRPr="00BF06E3">
              <w:rPr>
                <w:rFonts w:ascii="Garamond" w:hAnsi="Garamond"/>
                <w:sz w:val="22"/>
                <w:szCs w:val="22"/>
              </w:rPr>
              <w:t xml:space="preserve"> (Приложение № 11.1.1 к 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t xml:space="preserve">Положению о порядке получения статуса субъекта оптового рынка и ведения реестра субъектов оптового рынка электрической энергии и </w:t>
            </w:r>
            <w:r w:rsidRPr="00BF06E3">
              <w:rPr>
                <w:rFonts w:ascii="Garamond" w:hAnsi="Garamond"/>
                <w:i/>
                <w:sz w:val="22"/>
                <w:szCs w:val="22"/>
              </w:rPr>
              <w:lastRenderedPageBreak/>
              <w:t>мощности</w:t>
            </w:r>
            <w:r w:rsidRPr="00BF06E3">
              <w:rPr>
                <w:rFonts w:ascii="Garamond" w:hAnsi="Garamond"/>
                <w:sz w:val="22"/>
                <w:szCs w:val="22"/>
              </w:rPr>
              <w:t>). В случае передачи результатов измерений в КО после окончания срока действия Акта о соответствии системы коммерческого учета техническим требованиям оптового рынка электрической энергии и мощности от АИИС КУЭ, данные об объемах выработки электроэнергии в часы, в отношении которых направлены вышеуказанные результаты измерений, не используются при расчете величины</w:t>
            </w:r>
            <w:r w:rsidRPr="00BF06E3">
              <w:rPr>
                <w:rFonts w:ascii="Garamond" w:hAnsi="Garamond"/>
                <w:sz w:val="22"/>
                <w:szCs w:val="22"/>
              </w:rPr>
              <w:object w:dxaOrig="720" w:dyaOrig="400" w14:anchorId="60539537">
                <v:shape id="_x0000_i1030" type="#_x0000_t75" style="width:37.5pt;height:21pt" o:ole="">
                  <v:imagedata r:id="rId8" o:title=""/>
                </v:shape>
                <o:OLEObject Type="Embed" ProgID="Equation.3" ShapeID="_x0000_i1030" DrawAspect="Content" ObjectID="_1685916627" r:id="rId15"/>
              </w:object>
            </w:r>
            <w:r w:rsidRPr="00BF06E3">
              <w:rPr>
                <w:rFonts w:ascii="Garamond" w:hAnsi="Garamond"/>
                <w:sz w:val="22"/>
                <w:szCs w:val="22"/>
              </w:rPr>
              <w:t>.</w:t>
            </w:r>
          </w:p>
          <w:p w14:paraId="4F982A8D" w14:textId="3EBE2BF0" w:rsidR="008F6078" w:rsidRPr="004A5401" w:rsidRDefault="008F6078" w:rsidP="008F6078">
            <w:pPr>
              <w:pStyle w:val="ab"/>
              <w:ind w:firstLine="567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1B9B62F3" w14:textId="77777777" w:rsidR="00256261" w:rsidRDefault="00256261" w:rsidP="00CE24CB">
      <w:pPr>
        <w:jc w:val="center"/>
        <w:rPr>
          <w:rFonts w:ascii="Garamond" w:hAnsi="Garamond"/>
          <w:b/>
          <w:sz w:val="26"/>
          <w:szCs w:val="26"/>
        </w:rPr>
      </w:pPr>
    </w:p>
    <w:p w14:paraId="14B6FB64" w14:textId="2263087D" w:rsidR="00CE24CB" w:rsidRPr="00CE24CB" w:rsidRDefault="00CE24CB" w:rsidP="00CE24CB">
      <w:pPr>
        <w:jc w:val="center"/>
        <w:rPr>
          <w:rFonts w:ascii="Garamond" w:hAnsi="Garamond"/>
          <w:b/>
          <w:caps/>
          <w:sz w:val="26"/>
          <w:szCs w:val="26"/>
        </w:rPr>
      </w:pPr>
      <w:r w:rsidRPr="001F65E2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8F6078">
        <w:rPr>
          <w:rFonts w:ascii="Garamond" w:hAnsi="Garamond"/>
          <w:b/>
          <w:caps/>
          <w:sz w:val="26"/>
          <w:szCs w:val="26"/>
        </w:rPr>
        <w:t xml:space="preserve">РЕГЛАМЕНТ </w:t>
      </w:r>
      <w:r w:rsidRPr="00CE24CB">
        <w:rPr>
          <w:rFonts w:ascii="Garamond" w:hAnsi="Garamond"/>
          <w:b/>
          <w:caps/>
          <w:sz w:val="26"/>
          <w:szCs w:val="26"/>
        </w:rPr>
        <w:t>ПРОВЕДЕНИЯ</w:t>
      </w:r>
      <w:r>
        <w:rPr>
          <w:rFonts w:ascii="Garamond" w:hAnsi="Garamond"/>
          <w:b/>
          <w:caps/>
          <w:sz w:val="26"/>
          <w:szCs w:val="26"/>
        </w:rPr>
        <w:t xml:space="preserve"> </w:t>
      </w:r>
      <w:bookmarkStart w:id="2" w:name="_Toc260307775"/>
      <w:bookmarkStart w:id="3" w:name="_Toc211138624"/>
      <w:bookmarkStart w:id="4" w:name="_Toc204420354"/>
      <w:r w:rsidRPr="00CE24CB">
        <w:rPr>
          <w:rFonts w:ascii="Garamond" w:hAnsi="Garamond"/>
          <w:b/>
          <w:caps/>
          <w:sz w:val="26"/>
          <w:szCs w:val="26"/>
        </w:rPr>
        <w:t>КОНКУРЕНТНЫХ ОТБОРОВ МОЩНОСТИ</w:t>
      </w:r>
      <w:bookmarkEnd w:id="2"/>
      <w:bookmarkEnd w:id="3"/>
      <w:bookmarkEnd w:id="4"/>
    </w:p>
    <w:p w14:paraId="3C0D8CF4" w14:textId="69A40DCD" w:rsidR="00CE24CB" w:rsidRDefault="00CE24CB" w:rsidP="00CE24CB">
      <w:pPr>
        <w:ind w:right="-314"/>
        <w:rPr>
          <w:rFonts w:ascii="Garamond" w:hAnsi="Garamond"/>
          <w:b/>
          <w:sz w:val="26"/>
          <w:szCs w:val="26"/>
        </w:rPr>
      </w:pPr>
      <w:r w:rsidRPr="001F65E2">
        <w:rPr>
          <w:rFonts w:ascii="Garamond" w:hAnsi="Garamond"/>
          <w:b/>
          <w:caps/>
          <w:sz w:val="26"/>
          <w:szCs w:val="26"/>
        </w:rPr>
        <w:t xml:space="preserve"> (</w:t>
      </w:r>
      <w:r>
        <w:rPr>
          <w:rFonts w:ascii="Garamond" w:hAnsi="Garamond"/>
          <w:b/>
          <w:sz w:val="26"/>
          <w:szCs w:val="26"/>
        </w:rPr>
        <w:t>Приложение № 19.3</w:t>
      </w:r>
      <w:r w:rsidRPr="001F65E2"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14:paraId="6EE53518" w14:textId="77777777" w:rsidR="00CE24CB" w:rsidRDefault="00CE24CB" w:rsidP="00CE24CB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974"/>
        <w:gridCol w:w="6917"/>
      </w:tblGrid>
      <w:tr w:rsidR="00CE24CB" w:rsidRPr="004A5401" w14:paraId="1CDD240B" w14:textId="77777777" w:rsidTr="007212B4">
        <w:trPr>
          <w:jc w:val="center"/>
        </w:trPr>
        <w:tc>
          <w:tcPr>
            <w:tcW w:w="998" w:type="dxa"/>
            <w:vAlign w:val="center"/>
          </w:tcPr>
          <w:p w14:paraId="6A32CC5B" w14:textId="77777777" w:rsidR="00CE24CB" w:rsidRPr="004A5401" w:rsidRDefault="00CE24CB" w:rsidP="005C555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39D6BBF7" w14:textId="77777777" w:rsidR="00CE24CB" w:rsidRPr="004A5401" w:rsidRDefault="00CE24CB" w:rsidP="005C555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7DF5C4B3" w14:textId="77777777" w:rsidR="00CE24CB" w:rsidRPr="004A5401" w:rsidRDefault="00CE24CB" w:rsidP="005C555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887FC4A" w14:textId="77777777" w:rsidR="00CE24CB" w:rsidRPr="004A5401" w:rsidRDefault="00CE24CB" w:rsidP="005C555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73E6870F" w14:textId="77777777" w:rsidR="00CE24CB" w:rsidRPr="004A5401" w:rsidRDefault="00CE24CB" w:rsidP="005C555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A5401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6DD84508" w14:textId="77777777" w:rsidR="00CE24CB" w:rsidRPr="004A5401" w:rsidRDefault="00CE24CB" w:rsidP="005C555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A540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CE24CB" w:rsidRPr="004A5401" w14:paraId="42540DA3" w14:textId="77777777" w:rsidTr="007212B4">
        <w:trPr>
          <w:trHeight w:val="561"/>
          <w:jc w:val="center"/>
        </w:trPr>
        <w:tc>
          <w:tcPr>
            <w:tcW w:w="998" w:type="dxa"/>
            <w:vAlign w:val="center"/>
          </w:tcPr>
          <w:p w14:paraId="6ABC6F45" w14:textId="3787A1B3" w:rsidR="00CE24CB" w:rsidRPr="008F6078" w:rsidRDefault="00CE24CB" w:rsidP="005C555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2.7</w:t>
            </w:r>
          </w:p>
        </w:tc>
        <w:tc>
          <w:tcPr>
            <w:tcW w:w="6974" w:type="dxa"/>
          </w:tcPr>
          <w:p w14:paraId="6F010572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spacing w:before="120"/>
              <w:ind w:left="720"/>
              <w:jc w:val="both"/>
              <w:outlineLvl w:val="2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bCs/>
                <w:sz w:val="22"/>
                <w:szCs w:val="22"/>
                <w:lang w:eastAsia="ar-SA"/>
              </w:rPr>
              <w:t xml:space="preserve">Порядок направления и приема Заявки в процедуре конкурентного отбора мощности. </w:t>
            </w:r>
            <w:bookmarkStart w:id="5" w:name="_Toc204420445"/>
          </w:p>
          <w:p w14:paraId="153AE186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2.7.1. Формирование и направление Заявки для участия в конкурентном отборе мощности (далее – подача Заявки) осуществляется с использованием сайта КОМ СО.</w:t>
            </w:r>
            <w:bookmarkStart w:id="6" w:name="_Toc204420446"/>
            <w:bookmarkEnd w:id="5"/>
          </w:p>
          <w:p w14:paraId="0EEA95F1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2.7.2. Заявленные параметры и данные должны быть подписаны Э</w:t>
            </w:r>
            <w:r w:rsidRPr="00CE24CB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Ц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П соответствующего физического лица, имеющего право подписывать указанный документ от имени субъекта оптового рынка (Э</w:t>
            </w:r>
            <w:r w:rsidRPr="00CE24CB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Ц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П должна иметь соответствующую область действия, подтвержденную удостоверяющим центром).</w:t>
            </w:r>
            <w:bookmarkEnd w:id="6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bookmarkStart w:id="7" w:name="_Toc204420447"/>
          </w:p>
          <w:p w14:paraId="5887043C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2.7.3. </w:t>
            </w:r>
            <w:bookmarkStart w:id="8" w:name="_Ref113086576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Направление Заявки на продажу мощности на соответствующий период поставки должно быть осуществлено субъектом оптового рынка не ранее 9 часов 00 минут суток начала подачи Заявок и не позднее 18 часов 00 минут суток окончания подачи Заявок, указанных СО в объявлении о проведении КОМ в соответствии с Правилами оптового рынка и </w:t>
            </w:r>
            <w:r w:rsidRPr="00613CAE">
              <w:rPr>
                <w:rFonts w:ascii="Garamond" w:hAnsi="Garamond"/>
                <w:i/>
                <w:sz w:val="22"/>
                <w:szCs w:val="22"/>
                <w:lang w:eastAsia="ar-SA"/>
              </w:rPr>
              <w:t>Ре</w:t>
            </w:r>
            <w:r w:rsidRPr="00CE24CB">
              <w:rPr>
                <w:rFonts w:ascii="Garamond" w:hAnsi="Garamond"/>
                <w:i/>
                <w:sz w:val="22"/>
                <w:szCs w:val="22"/>
                <w:lang w:eastAsia="ar-SA"/>
              </w:rPr>
              <w:t xml:space="preserve">гламентом </w:t>
            </w:r>
            <w:r w:rsidRPr="00CE24CB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CE24CB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 (Приложение № 19.3 к </w:t>
            </w:r>
            <w:r w:rsidRPr="00CE24CB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CE24CB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)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. Для целей настоящего Порядка применяется московское время.</w:t>
            </w:r>
            <w:bookmarkStart w:id="9" w:name="_Toc204420448"/>
            <w:bookmarkEnd w:id="7"/>
          </w:p>
          <w:p w14:paraId="4EBA48CA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2.7.4. Под временем подачи Заявки понимается время подтверждения подлинности Э</w:t>
            </w:r>
            <w:r w:rsidRPr="00CE24CB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Ц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П физического лица, подписывающего Заявку, в отношении подписания заявленных им параметров и данных о составе Заявки. С этого 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момента Заявка на продажу мощности считается поданной субъектом оптового рынка для целей проведения КОМ.</w:t>
            </w:r>
            <w:bookmarkStart w:id="10" w:name="_Toc204420449"/>
            <w:bookmarkEnd w:id="8"/>
            <w:bookmarkEnd w:id="9"/>
          </w:p>
          <w:p w14:paraId="5B8742CD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2.7.5. Если до истечения срока подачи Заявок, указанного в п. 2.7.3 настоящего Порядка, субъект оптового рынка подаст несколько Заявок в отношении одной и той же электростанции (ГТП импорта), то СО включает в процедуру КОМ последнюю по времени подачи Заявку, удовлетворяющую требованиям настоящего Порядка.</w:t>
            </w:r>
            <w:bookmarkEnd w:id="10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bookmarkStart w:id="11" w:name="_Toc204420450"/>
          </w:p>
          <w:p w14:paraId="6F1A8F02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2.7.6. Заявка принимается СО только при выполнении следующих условий:</w:t>
            </w:r>
            <w:bookmarkEnd w:id="11"/>
          </w:p>
          <w:p w14:paraId="68ED2614" w14:textId="77777777" w:rsidR="00CE24CB" w:rsidRPr="00CE24CB" w:rsidRDefault="00CE24CB" w:rsidP="00CE24CB">
            <w:pPr>
              <w:tabs>
                <w:tab w:val="num" w:pos="1418"/>
              </w:tabs>
              <w:suppressAutoHyphens/>
              <w:ind w:left="185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bookmarkStart w:id="12" w:name="_Toc239493793"/>
            <w:bookmarkStart w:id="13" w:name="_Toc204420451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значения заявленных параметров должны соответствовать допустимому формату и размерности;</w:t>
            </w:r>
            <w:bookmarkEnd w:id="12"/>
            <w:bookmarkEnd w:id="13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</w:p>
          <w:p w14:paraId="6CDAABE6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bookmarkStart w:id="14" w:name="_Toc239493794"/>
            <w:bookmarkStart w:id="15" w:name="_Toc204420452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заявлены все предусмотренные настоящим Порядком значения параметров и данные;</w:t>
            </w:r>
            <w:bookmarkEnd w:id="14"/>
            <w:bookmarkEnd w:id="15"/>
          </w:p>
          <w:p w14:paraId="1C018035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bookmarkStart w:id="16" w:name="_Toc239493795"/>
            <w:bookmarkStart w:id="17" w:name="_Toc204420453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данные и параметры подписаны Э</w:t>
            </w:r>
            <w:r w:rsidRPr="00CE24CB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Ц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П уполномоченного лица, удовлетворяющей требованиям настоящего Порядка;</w:t>
            </w:r>
            <w:bookmarkEnd w:id="16"/>
            <w:bookmarkEnd w:id="17"/>
          </w:p>
          <w:p w14:paraId="00A0293B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bookmarkStart w:id="18" w:name="_Toc239493796"/>
            <w:bookmarkStart w:id="19" w:name="_Toc204420454"/>
            <w:r w:rsidRPr="00CE24CB">
              <w:rPr>
                <w:rFonts w:ascii="Garamond" w:hAnsi="Garamond"/>
                <w:caps/>
                <w:sz w:val="22"/>
                <w:szCs w:val="22"/>
                <w:lang w:eastAsia="ar-SA"/>
              </w:rPr>
              <w:t>з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аявка подана с соблюдением предусмотренного п. 2.7.3 настоящего Порядка срока;</w:t>
            </w:r>
            <w:bookmarkEnd w:id="18"/>
            <w:bookmarkEnd w:id="19"/>
          </w:p>
          <w:p w14:paraId="1B5A63D9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bookmarkStart w:id="20" w:name="_Toc239493797"/>
            <w:bookmarkStart w:id="21" w:name="_Toc204420455"/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СО не получено на момент подачи </w:t>
            </w:r>
            <w:r w:rsidRPr="00CE24CB">
              <w:rPr>
                <w:rFonts w:ascii="Garamond" w:hAnsi="Garamond"/>
                <w:caps/>
                <w:sz w:val="22"/>
                <w:szCs w:val="22"/>
                <w:lang w:eastAsia="ar-SA"/>
              </w:rPr>
              <w:t>з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аявки уведомление КО об исключении субъекта оптового рынка из Реестра 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поставщиков и генерирующих объектов, допущенных к 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участию в КОМ,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ar-SA"/>
              </w:rPr>
              <w:t xml:space="preserve"> либо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Реестра мощности, подлежащей обязательной покупке 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ar-SA"/>
              </w:rPr>
              <w:t>или Реестра генерирующих объектов, поставляющих мощность в вынужденном режиме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;</w:t>
            </w:r>
          </w:p>
          <w:p w14:paraId="75B54423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num" w:pos="1418"/>
              </w:tabs>
              <w:suppressAutoHyphens/>
              <w:spacing w:before="120" w:after="120"/>
              <w:ind w:left="2127" w:hanging="284"/>
              <w:jc w:val="both"/>
              <w:outlineLvl w:val="3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Заявка соответствует актуальным данным о составе ГЕМ и (или) значениях параметров ЕГО, указанных в Реестре поставщиков и генерирующих объектов, допущенных к участию в КОМ, или Реестре генерирующих объектов, поставляющих мощность в вынужденном режиме, предоставленных Коммерческим оператором Системному оператору после начала приема заявок на КОМ.</w:t>
            </w:r>
          </w:p>
          <w:bookmarkEnd w:id="20"/>
          <w:bookmarkEnd w:id="21"/>
          <w:p w14:paraId="5352A3F3" w14:textId="77777777" w:rsidR="00CE24CB" w:rsidRDefault="00CE24CB" w:rsidP="005C555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5846D3F0" w14:textId="77777777" w:rsidR="008522D7" w:rsidRPr="008522D7" w:rsidRDefault="008522D7" w:rsidP="008522D7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8522D7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 xml:space="preserve">2.7.9. Заявки, подлежащие подаче для участия в процедуре проведения КОМ на условиях ценопринимания в соответствии с Правилами оптового рынка, содержащие заявленную субъектом оптового рынка цену мощности, принимаются СО в процедуру проведения КОМ на условиях, определенных Правилами оптового </w:t>
            </w:r>
            <w:r w:rsidRPr="008675D2">
              <w:rPr>
                <w:rFonts w:ascii="Garamond" w:hAnsi="Garamond"/>
                <w:sz w:val="22"/>
                <w:szCs w:val="22"/>
                <w:lang w:eastAsia="ar-SA"/>
              </w:rPr>
              <w:t xml:space="preserve">и </w:t>
            </w:r>
            <w:r w:rsidRPr="008675D2">
              <w:rPr>
                <w:rFonts w:ascii="Garamond" w:hAnsi="Garamond"/>
                <w:i/>
                <w:sz w:val="22"/>
                <w:szCs w:val="22"/>
                <w:lang w:eastAsia="ar-SA"/>
              </w:rPr>
              <w:t>Регла</w:t>
            </w:r>
            <w:r w:rsidRPr="008522D7">
              <w:rPr>
                <w:rFonts w:ascii="Garamond" w:hAnsi="Garamond"/>
                <w:i/>
                <w:sz w:val="22"/>
                <w:szCs w:val="22"/>
                <w:lang w:eastAsia="ar-SA"/>
              </w:rPr>
              <w:t xml:space="preserve">ментом </w:t>
            </w:r>
            <w:r w:rsidRPr="008522D7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8522D7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 (Приложение № 19.3 к </w:t>
            </w:r>
            <w:r w:rsidRPr="008522D7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8522D7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)</w:t>
            </w:r>
            <w:r w:rsidRPr="008522D7">
              <w:rPr>
                <w:rFonts w:ascii="Garamond" w:hAnsi="Garamond"/>
                <w:sz w:val="22"/>
                <w:szCs w:val="22"/>
                <w:lang w:eastAsia="ar-SA"/>
              </w:rPr>
              <w:t>.</w:t>
            </w:r>
          </w:p>
          <w:p w14:paraId="79066FC7" w14:textId="52C04FE6" w:rsidR="008522D7" w:rsidRPr="004A5401" w:rsidRDefault="008522D7" w:rsidP="005C555B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917" w:type="dxa"/>
          </w:tcPr>
          <w:p w14:paraId="23757957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spacing w:before="120"/>
              <w:ind w:left="720"/>
              <w:jc w:val="both"/>
              <w:outlineLvl w:val="2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bCs/>
                <w:sz w:val="22"/>
                <w:szCs w:val="22"/>
                <w:lang w:eastAsia="ar-SA"/>
              </w:rPr>
              <w:lastRenderedPageBreak/>
              <w:t xml:space="preserve">Порядок направления и приема Заявки в процедуре конкурентного отбора мощности. </w:t>
            </w:r>
          </w:p>
          <w:p w14:paraId="6CBCC51C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2.7.1. Формирование и направление Заявки для участия в конкурентном отборе мощности (далее – подача Заявки) осуществляется с использованием сайта КОМ СО.</w:t>
            </w:r>
          </w:p>
          <w:p w14:paraId="20E2C074" w14:textId="71136491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2.7.2. Заявленные параметры и данные должны быть подписаны ЭП соответствующего физического лица, имеющего право подписывать указанный документ от имени субъекта оптового рынка (ЭП должна иметь соответствующую область действия, подтвержденную удостоверяющим центром). </w:t>
            </w:r>
          </w:p>
          <w:p w14:paraId="35FDF097" w14:textId="02367C4F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2.7.3. Направление Заявки на продажу мощности на соответствующий период поставки должно быть осуществлено субъектом оптового рынка не ранее 9 часов 00 минут суток начала подачи Заявок и не позднее 18 часов 00 минут суток окончания подачи Заявок, указанных СО в объявлении о проведении КОМ в соответствии с Правилами оптового рынка и </w:t>
            </w:r>
            <w:r w:rsidR="008522D7" w:rsidRPr="008522D7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настоящим</w:t>
            </w:r>
            <w:r w:rsidR="008522D7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="00613CAE">
              <w:rPr>
                <w:rFonts w:ascii="Garamond" w:hAnsi="Garamond"/>
                <w:sz w:val="22"/>
                <w:szCs w:val="22"/>
                <w:lang w:eastAsia="ar-SA"/>
              </w:rPr>
              <w:t>Р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егламентом. Для целей настоящего Порядка применяется московское время.</w:t>
            </w:r>
          </w:p>
          <w:p w14:paraId="6A03B183" w14:textId="4FAA0B32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2.7.4. Под временем подачи Заявки понимается время </w:t>
            </w:r>
            <w:r>
              <w:rPr>
                <w:rFonts w:ascii="Garamond" w:hAnsi="Garamond"/>
                <w:sz w:val="22"/>
                <w:szCs w:val="22"/>
                <w:lang w:eastAsia="ar-SA"/>
              </w:rPr>
              <w:t>подтверждения подлинности Э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П физического лица, подписывающего Заявку, в отношении подписания заявленных им параметров и данных о составе Заявки. С этого момента Заявка на продажу мощности считается поданной субъектом оптового рынка для целей проведения КОМ.</w:t>
            </w:r>
          </w:p>
          <w:p w14:paraId="2ABDD492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 xml:space="preserve">2.7.5. Если до истечения срока подачи Заявок, указанного в п. 2.7.3 настоящего Порядка, субъект оптового рынка подаст несколько Заявок в отношении одной и той же электростанции (ГТП импорта), то СО включает в процедуру КОМ последнюю по времени подачи Заявку, удовлетворяющую требованиям настоящего Порядка. </w:t>
            </w:r>
          </w:p>
          <w:p w14:paraId="4F90A0AE" w14:textId="77777777" w:rsidR="00CE24CB" w:rsidRPr="00CE24CB" w:rsidRDefault="00CE24CB" w:rsidP="00CE24CB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2.7.6. Заявка принимается СО только при выполнении следующих условий:</w:t>
            </w:r>
          </w:p>
          <w:p w14:paraId="7A712386" w14:textId="77777777" w:rsidR="00CE24CB" w:rsidRPr="00CE24CB" w:rsidRDefault="00CE24CB" w:rsidP="00CE24CB">
            <w:pPr>
              <w:tabs>
                <w:tab w:val="num" w:pos="1418"/>
              </w:tabs>
              <w:suppressAutoHyphens/>
              <w:ind w:left="185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значения заявленных параметров должны соответствовать допустимому формату и размерности; </w:t>
            </w:r>
          </w:p>
          <w:p w14:paraId="616CD698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заявлены все предусмотренные настоящим Порядком значения параметров и данные;</w:t>
            </w:r>
          </w:p>
          <w:p w14:paraId="27717C6E" w14:textId="44E2D35A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lang w:eastAsia="ar-SA"/>
              </w:rPr>
              <w:t>данные и параметры подписаны Э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П уполномоченного лица, удовлетворяющей требованиям настоящего Порядка;</w:t>
            </w:r>
          </w:p>
          <w:p w14:paraId="47BF616D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caps/>
                <w:sz w:val="22"/>
                <w:szCs w:val="22"/>
                <w:lang w:eastAsia="ar-SA"/>
              </w:rPr>
              <w:t>з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аявка подана с соблюдением предусмотренного п. 2.7.3 настоящего Порядка срока;</w:t>
            </w:r>
          </w:p>
          <w:p w14:paraId="140967CB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clear" w:pos="720"/>
                <w:tab w:val="num" w:pos="1418"/>
              </w:tabs>
              <w:suppressAutoHyphens/>
              <w:spacing w:before="120"/>
              <w:ind w:left="2138" w:hanging="284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СО не получено на момент подачи </w:t>
            </w:r>
            <w:r w:rsidRPr="00CE24CB">
              <w:rPr>
                <w:rFonts w:ascii="Garamond" w:hAnsi="Garamond"/>
                <w:caps/>
                <w:sz w:val="22"/>
                <w:szCs w:val="22"/>
                <w:lang w:eastAsia="ar-SA"/>
              </w:rPr>
              <w:t>з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 xml:space="preserve">аявки уведомление КО об исключении субъекта оптового рынка из Реестра 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поставщиков и генерирующих объектов, допущенных к 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участию в КОМ,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ar-SA"/>
              </w:rPr>
              <w:t xml:space="preserve"> либо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Реестра мощности, подлежащей обязательной покупке </w:t>
            </w:r>
            <w:r w:rsidRPr="00CE24CB">
              <w:rPr>
                <w:rFonts w:ascii="Garamond" w:hAnsi="Garamond"/>
                <w:bCs/>
                <w:sz w:val="22"/>
                <w:szCs w:val="22"/>
                <w:lang w:eastAsia="ar-SA"/>
              </w:rPr>
              <w:t>или Реестра генерирующих объектов, поставляющих мощность в вынужденном режиме</w:t>
            </w:r>
            <w:r w:rsidRPr="00CE24CB">
              <w:rPr>
                <w:rFonts w:ascii="Garamond" w:hAnsi="Garamond"/>
                <w:sz w:val="22"/>
                <w:szCs w:val="22"/>
                <w:lang w:eastAsia="ar-SA"/>
              </w:rPr>
              <w:t>;</w:t>
            </w:r>
          </w:p>
          <w:p w14:paraId="47DF9E61" w14:textId="77777777" w:rsidR="00CE24CB" w:rsidRPr="00CE24CB" w:rsidRDefault="00CE24CB" w:rsidP="00CE24CB">
            <w:pPr>
              <w:numPr>
                <w:ilvl w:val="0"/>
                <w:numId w:val="32"/>
              </w:numPr>
              <w:tabs>
                <w:tab w:val="num" w:pos="1418"/>
              </w:tabs>
              <w:suppressAutoHyphens/>
              <w:spacing w:before="120" w:after="120"/>
              <w:ind w:left="2127" w:hanging="284"/>
              <w:jc w:val="both"/>
              <w:outlineLvl w:val="3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CE24CB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Заявка соответствует актуальным данным о составе ГЕМ и (или) значениях параметров ЕГО, указанных в Реестре поставщиков и генерирующих объектов, допущенных к участию в КОМ, или Реестре генерирующих объектов, поставляющих мощность в вынужденном режиме, предоставленных Коммерческим оператором Системному оператору после начала приема заявок на КОМ.</w:t>
            </w:r>
          </w:p>
          <w:p w14:paraId="7E6CCA95" w14:textId="77777777" w:rsidR="00CE24CB" w:rsidRDefault="00CE24CB" w:rsidP="00CE24CB">
            <w:pPr>
              <w:pStyle w:val="ab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14:paraId="2EA4AA45" w14:textId="5251A0A9" w:rsidR="008522D7" w:rsidRPr="008522D7" w:rsidRDefault="008522D7" w:rsidP="008522D7">
            <w:pPr>
              <w:tabs>
                <w:tab w:val="left" w:pos="708"/>
              </w:tabs>
              <w:suppressAutoHyphens/>
              <w:ind w:left="1080"/>
              <w:jc w:val="both"/>
              <w:outlineLvl w:val="3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8522D7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2.7.9. Заявки, подлежащие подаче для участия в процедуре проведения КОМ на условиях ценопринимания в соответствии с Правилами оптового рынка, содержащие заявленную субъектом оптового рынка цену мощности, принимаются СО в процедуру проведения КОМ на условиях, определенных Правилами оптового и</w:t>
            </w:r>
            <w:r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Pr="008522D7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настоящим</w:t>
            </w:r>
            <w:r w:rsidRPr="008522D7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="008675D2">
              <w:rPr>
                <w:rFonts w:ascii="Garamond" w:hAnsi="Garamond"/>
                <w:sz w:val="22"/>
                <w:szCs w:val="22"/>
                <w:lang w:eastAsia="ar-SA"/>
              </w:rPr>
              <w:t>Р</w:t>
            </w:r>
            <w:r w:rsidRPr="008675D2">
              <w:rPr>
                <w:rFonts w:ascii="Garamond" w:hAnsi="Garamond"/>
                <w:sz w:val="22"/>
                <w:szCs w:val="22"/>
                <w:lang w:eastAsia="ar-SA"/>
              </w:rPr>
              <w:t>егл</w:t>
            </w:r>
            <w:r w:rsidRPr="008522D7">
              <w:rPr>
                <w:rFonts w:ascii="Garamond" w:hAnsi="Garamond"/>
                <w:sz w:val="22"/>
                <w:szCs w:val="22"/>
                <w:lang w:eastAsia="ar-SA"/>
              </w:rPr>
              <w:t>аментом.</w:t>
            </w:r>
          </w:p>
          <w:p w14:paraId="3C0C638E" w14:textId="7E24E185" w:rsidR="008522D7" w:rsidRPr="004A5401" w:rsidRDefault="008522D7" w:rsidP="008522D7">
            <w:pPr>
              <w:pStyle w:val="ab"/>
              <w:ind w:firstLine="567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816C3" w:rsidRPr="004A5401" w14:paraId="5EB70DC4" w14:textId="77777777" w:rsidTr="007212B4">
        <w:trPr>
          <w:trHeight w:val="561"/>
          <w:jc w:val="center"/>
        </w:trPr>
        <w:tc>
          <w:tcPr>
            <w:tcW w:w="998" w:type="dxa"/>
            <w:vAlign w:val="center"/>
          </w:tcPr>
          <w:p w14:paraId="65D6CD27" w14:textId="7116BA79" w:rsidR="00B816C3" w:rsidRDefault="00B816C3" w:rsidP="005C555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3</w:t>
            </w:r>
          </w:p>
        </w:tc>
        <w:tc>
          <w:tcPr>
            <w:tcW w:w="6974" w:type="dxa"/>
          </w:tcPr>
          <w:p w14:paraId="2294ADD3" w14:textId="77777777" w:rsidR="00B816C3" w:rsidRPr="00B816C3" w:rsidRDefault="00B816C3" w:rsidP="00B816C3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816C3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Математическая модель конкурентного отбора мощности</w:t>
            </w:r>
          </w:p>
          <w:p w14:paraId="3CDD4414" w14:textId="77777777" w:rsidR="00B816C3" w:rsidRPr="00B816C3" w:rsidRDefault="00B816C3" w:rsidP="00B816C3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816C3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1. Общие положения и постановка задачи</w:t>
            </w:r>
          </w:p>
          <w:p w14:paraId="4C6AC3E3" w14:textId="77777777" w:rsidR="00123F5A" w:rsidRDefault="00123F5A" w:rsidP="00123F5A">
            <w:pPr>
              <w:tabs>
                <w:tab w:val="left" w:pos="708"/>
              </w:tabs>
              <w:suppressAutoHyphens/>
              <w:spacing w:before="120"/>
              <w:ind w:left="720"/>
              <w:jc w:val="center"/>
              <w:outlineLvl w:val="2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ar-SA"/>
              </w:rPr>
              <w:t>…</w:t>
            </w:r>
          </w:p>
          <w:p w14:paraId="36E9AFC3" w14:textId="77777777" w:rsidR="00123F5A" w:rsidRPr="00123F5A" w:rsidRDefault="00123F5A" w:rsidP="00123F5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Результаты решения задачи конкурентного отбора ценовых заявок на мощность учитываются при определении результатов конкурентного отбора мощности (КОМ) в соответствии с </w:t>
            </w:r>
            <w:r w:rsidRPr="008675D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</w:t>
            </w:r>
            <w:r w:rsidRPr="00123F5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гламентом </w:t>
            </w:r>
            <w:r w:rsidRPr="00123F5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 19.3 к </w:t>
            </w:r>
            <w:r w:rsidRPr="00123F5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. </w:t>
            </w:r>
          </w:p>
          <w:p w14:paraId="7C894381" w14:textId="679AEFB2" w:rsidR="00123F5A" w:rsidRPr="00CE24CB" w:rsidRDefault="008675D2" w:rsidP="008675D2">
            <w:pPr>
              <w:tabs>
                <w:tab w:val="left" w:pos="708"/>
              </w:tabs>
              <w:suppressAutoHyphens/>
              <w:spacing w:before="120"/>
              <w:ind w:left="720"/>
              <w:jc w:val="center"/>
              <w:outlineLvl w:val="2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6917" w:type="dxa"/>
          </w:tcPr>
          <w:p w14:paraId="0F572B6D" w14:textId="77777777" w:rsidR="00B816C3" w:rsidRPr="00B816C3" w:rsidRDefault="00B816C3" w:rsidP="00B816C3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816C3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Математическая модель конкурентного отбора мощности</w:t>
            </w:r>
          </w:p>
          <w:p w14:paraId="1E29A4EE" w14:textId="77777777" w:rsidR="00B816C3" w:rsidRPr="00B816C3" w:rsidRDefault="00B816C3" w:rsidP="00B816C3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B816C3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>1. Общие положения и постановка задачи</w:t>
            </w:r>
          </w:p>
          <w:p w14:paraId="219D871F" w14:textId="77777777" w:rsidR="00123F5A" w:rsidRDefault="00123F5A" w:rsidP="00123F5A">
            <w:pPr>
              <w:tabs>
                <w:tab w:val="left" w:pos="708"/>
              </w:tabs>
              <w:suppressAutoHyphens/>
              <w:spacing w:before="120"/>
              <w:ind w:left="720"/>
              <w:jc w:val="center"/>
              <w:outlineLvl w:val="2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ar-SA"/>
              </w:rPr>
              <w:t>…</w:t>
            </w:r>
          </w:p>
          <w:p w14:paraId="33557413" w14:textId="27340D09" w:rsidR="00123F5A" w:rsidRPr="00123F5A" w:rsidRDefault="00123F5A" w:rsidP="00123F5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Результаты решения задачи конкурентного отбора ценовых заявок на мощность учитываются при определении результатов конкурентного отбора мощности (КОМ) в соответствии с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Pr="008522D7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настоящим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8675D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егламентом. </w:t>
            </w:r>
          </w:p>
          <w:p w14:paraId="38EFB31C" w14:textId="3DEA7FF1" w:rsidR="00123F5A" w:rsidRPr="00CE24CB" w:rsidRDefault="008675D2" w:rsidP="008675D2">
            <w:pPr>
              <w:tabs>
                <w:tab w:val="left" w:pos="708"/>
              </w:tabs>
              <w:suppressAutoHyphens/>
              <w:spacing w:before="120"/>
              <w:ind w:left="720"/>
              <w:jc w:val="center"/>
              <w:outlineLvl w:val="2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>
              <w:rPr>
                <w:rFonts w:ascii="Garamond" w:hAnsi="Garamond"/>
                <w:bCs/>
                <w:sz w:val="22"/>
                <w:szCs w:val="22"/>
                <w:lang w:eastAsia="ar-SA"/>
              </w:rPr>
              <w:t>…</w:t>
            </w:r>
          </w:p>
        </w:tc>
      </w:tr>
      <w:tr w:rsidR="00D15DA5" w:rsidRPr="004A5401" w14:paraId="470E5B34" w14:textId="77777777" w:rsidTr="007212B4">
        <w:trPr>
          <w:trHeight w:val="561"/>
          <w:jc w:val="center"/>
        </w:trPr>
        <w:tc>
          <w:tcPr>
            <w:tcW w:w="998" w:type="dxa"/>
            <w:vAlign w:val="center"/>
          </w:tcPr>
          <w:p w14:paraId="0A4D3070" w14:textId="5657F820" w:rsidR="00D15DA5" w:rsidRDefault="00D15DA5" w:rsidP="005C555B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3, п.2</w:t>
            </w:r>
          </w:p>
        </w:tc>
        <w:tc>
          <w:tcPr>
            <w:tcW w:w="6974" w:type="dxa"/>
          </w:tcPr>
          <w:p w14:paraId="410F8072" w14:textId="77777777" w:rsidR="00D15DA5" w:rsidRPr="00D15DA5" w:rsidRDefault="00D15DA5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2. Исходные данные </w:t>
            </w:r>
          </w:p>
          <w:p w14:paraId="0ABF75B3" w14:textId="11AF04A3" w:rsidR="00D15DA5" w:rsidRDefault="00D15DA5" w:rsidP="00D15DA5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Исходные данные для задачи оптимизации формируются в соответствии с </w:t>
            </w:r>
            <w:r w:rsidRPr="008675D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Реглам</w:t>
            </w:r>
            <w:r w:rsidRPr="00D15DA5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ентом </w:t>
            </w:r>
            <w:r w:rsidRPr="00D15DA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 19.3 к </w:t>
            </w:r>
            <w:r w:rsidRPr="00D15DA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0251966B" w14:textId="7DF0CF54" w:rsidR="00D15DA5" w:rsidRDefault="00D15DA5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3F153111" w14:textId="77777777" w:rsidR="00D15DA5" w:rsidRPr="00D15DA5" w:rsidRDefault="00D15DA5" w:rsidP="00D15DA5">
            <w:pPr>
              <w:suppressAutoHyphens/>
              <w:spacing w:before="120" w:after="120"/>
              <w:ind w:right="-26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а) для ГЕМ, включенных в Реестр поставщиков и генерирующих объектов, допущенных к участию в КОМ:</w:t>
            </w:r>
          </w:p>
          <w:p w14:paraId="2B082FB8" w14:textId="77777777" w:rsidR="00D15DA5" w:rsidRPr="00D15DA5" w:rsidRDefault="00D15DA5" w:rsidP="00D15DA5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- для ГЕМ ГЭС – объем мощности, определенный в соответствии с п. 4.2.1.2 </w:t>
            </w:r>
            <w:r w:rsidRPr="008675D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Рег</w:t>
            </w:r>
            <w:r w:rsidRPr="00D15DA5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ламента </w:t>
            </w:r>
            <w:r w:rsidRPr="00D15DA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 19.3 к </w:t>
            </w:r>
            <w:r w:rsidRPr="00D15DA5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; </w:t>
            </w:r>
          </w:p>
          <w:p w14:paraId="1A4ECE71" w14:textId="0D9EFBED" w:rsidR="00D15DA5" w:rsidRDefault="00D15DA5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53B8FE46" w14:textId="77777777" w:rsidR="00814627" w:rsidRPr="00814627" w:rsidRDefault="00814627" w:rsidP="00814627">
            <w:pPr>
              <w:suppressAutoHyphens/>
              <w:spacing w:before="120" w:after="120"/>
              <w:ind w:right="-26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в) для ГЕМ, включенных в Реестр генерирующих объектов, поставляющих мощность в вынужденном режиме:</w:t>
            </w:r>
          </w:p>
          <w:p w14:paraId="27337962" w14:textId="32DB9C1F" w:rsidR="00814627" w:rsidRDefault="00814627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72A03C32" w14:textId="77777777" w:rsidR="00814627" w:rsidRPr="00814627" w:rsidRDefault="00814627" w:rsidP="00814627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- для иных ГЕМ – объем поставки мощности этого объекта, указанный в заявке по ГЕМ на декабрь года, на который проводится КОМ, но не выше объема, указанного в данном реестре (по тексту </w:t>
            </w:r>
            <w:r w:rsidRPr="008675D2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</w:t>
            </w:r>
            <w:r w:rsidRPr="00814627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гламента </w:t>
            </w:r>
            <w:r w:rsidRPr="00814627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 19.3 к </w:t>
            </w:r>
            <w:r w:rsidRPr="00814627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такие исходные данные также именуются </w:t>
            </w:r>
            <w:r w:rsidRPr="00814627">
              <w:rPr>
                <w:rFonts w:ascii="Garamond" w:eastAsia="Batang" w:hAnsi="Garamond" w:cs="Garamond"/>
                <w:noProof/>
                <w:sz w:val="22"/>
                <w:szCs w:val="22"/>
              </w:rPr>
              <w:drawing>
                <wp:inline distT="0" distB="0" distL="0" distR="0" wp14:anchorId="0832341E" wp14:editId="09061E2C">
                  <wp:extent cx="422275" cy="2343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);</w:t>
            </w:r>
          </w:p>
          <w:p w14:paraId="2E011B38" w14:textId="75ECB1D8" w:rsidR="00814627" w:rsidRPr="00D15DA5" w:rsidRDefault="008675D2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4E47FFCB" w14:textId="77777777" w:rsidR="00D15DA5" w:rsidRPr="00B816C3" w:rsidRDefault="00D15DA5" w:rsidP="00B816C3">
            <w:pPr>
              <w:suppressAutoHyphens/>
              <w:ind w:left="720"/>
              <w:jc w:val="right"/>
              <w:rPr>
                <w:rFonts w:ascii="Garamond" w:eastAsia="Batang" w:hAnsi="Garamond" w:cs="Garamond"/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6917" w:type="dxa"/>
          </w:tcPr>
          <w:p w14:paraId="750B2161" w14:textId="77777777" w:rsidR="00D15DA5" w:rsidRPr="00D15DA5" w:rsidRDefault="00D15DA5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lastRenderedPageBreak/>
              <w:t xml:space="preserve">2. Исходные данные </w:t>
            </w:r>
          </w:p>
          <w:p w14:paraId="470C8371" w14:textId="481CE5AA" w:rsidR="00D15DA5" w:rsidRDefault="00D15DA5" w:rsidP="00D15DA5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Исходные данные для задачи оптимизации формируются в соответствии с </w:t>
            </w:r>
            <w:r w:rsidRPr="008522D7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настоящим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8675D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</w:t>
            </w:r>
            <w:r w:rsidRPr="008675D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е</w:t>
            </w:r>
            <w:r w:rsidRPr="00123F5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гламентом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.</w:t>
            </w:r>
          </w:p>
          <w:p w14:paraId="15E28D0C" w14:textId="77777777" w:rsidR="00D15DA5" w:rsidRDefault="00D15DA5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2F49B77D" w14:textId="77777777" w:rsidR="00D15DA5" w:rsidRPr="00D15DA5" w:rsidRDefault="00D15DA5" w:rsidP="00D15DA5">
            <w:pPr>
              <w:suppressAutoHyphens/>
              <w:spacing w:before="120" w:after="120"/>
              <w:ind w:right="-26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а) для ГЕМ, включенных в Реестр поставщиков и генерирующих объектов, допущенных к участию в КОМ:</w:t>
            </w:r>
          </w:p>
          <w:p w14:paraId="3A10FDBE" w14:textId="2CD5E754" w:rsidR="00D15DA5" w:rsidRDefault="00D15DA5" w:rsidP="00D15DA5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- для ГЕМ ГЭС – объем мощности, определенный в соответствии с п. 4.2.1.2 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настоящего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8675D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</w:t>
            </w:r>
            <w:r w:rsidRPr="008675D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ег</w:t>
            </w:r>
            <w:r w:rsidRPr="00D15DA5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ламента; </w:t>
            </w:r>
          </w:p>
          <w:p w14:paraId="06B5E34A" w14:textId="77777777" w:rsidR="00D15DA5" w:rsidRDefault="00D15DA5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0ADD31C7" w14:textId="77777777" w:rsidR="00814627" w:rsidRPr="00814627" w:rsidRDefault="00814627" w:rsidP="00814627">
            <w:pPr>
              <w:suppressAutoHyphens/>
              <w:spacing w:before="120" w:after="120"/>
              <w:ind w:right="-26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в) для ГЕМ, включенных в Реестр генерирующих объектов, поставляющих мощность в вынужденном режиме:</w:t>
            </w:r>
          </w:p>
          <w:p w14:paraId="62CB52FE" w14:textId="77777777" w:rsidR="00814627" w:rsidRDefault="00814627" w:rsidP="00814627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2D3BC0DA" w14:textId="718533E3" w:rsidR="00814627" w:rsidRPr="00814627" w:rsidRDefault="00814627" w:rsidP="00814627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- для иных ГЕМ – объем поставки мощности этого объекта, указанный в заявке по ГЕМ на декабрь года, на который проводится КОМ, 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lastRenderedPageBreak/>
              <w:t xml:space="preserve">но не выше объема, указанного в данном реестре (по тексту 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настоящего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8675D2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егламента</w:t>
            </w:r>
            <w:r w:rsidRPr="00814627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 </w:t>
            </w: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такие исходные данные также именуются </w:t>
            </w:r>
            <w:r w:rsidRPr="00814627">
              <w:rPr>
                <w:rFonts w:ascii="Garamond" w:eastAsia="Batang" w:hAnsi="Garamond" w:cs="Garamond"/>
                <w:noProof/>
                <w:sz w:val="22"/>
                <w:szCs w:val="22"/>
              </w:rPr>
              <w:drawing>
                <wp:inline distT="0" distB="0" distL="0" distR="0" wp14:anchorId="68623838" wp14:editId="1B13B20F">
                  <wp:extent cx="422275" cy="2343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627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);</w:t>
            </w:r>
          </w:p>
          <w:p w14:paraId="3B2CF70C" w14:textId="5BF24B17" w:rsidR="00814627" w:rsidRPr="008675D2" w:rsidRDefault="008675D2" w:rsidP="00D15DA5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</w:pPr>
            <w:r w:rsidRPr="008675D2">
              <w:rPr>
                <w:rFonts w:ascii="Garamond" w:eastAsia="Batang" w:hAnsi="Garamond" w:cs="Garamond"/>
                <w:bCs/>
                <w:sz w:val="22"/>
                <w:szCs w:val="22"/>
                <w:lang w:eastAsia="ar-SA"/>
              </w:rPr>
              <w:t>…</w:t>
            </w:r>
          </w:p>
        </w:tc>
      </w:tr>
      <w:tr w:rsidR="009B2EDA" w:rsidRPr="004A5401" w14:paraId="32443152" w14:textId="77777777" w:rsidTr="007212B4">
        <w:trPr>
          <w:trHeight w:val="561"/>
          <w:jc w:val="center"/>
        </w:trPr>
        <w:tc>
          <w:tcPr>
            <w:tcW w:w="998" w:type="dxa"/>
            <w:vAlign w:val="center"/>
          </w:tcPr>
          <w:p w14:paraId="08E4AAA1" w14:textId="1012923F" w:rsidR="009B2EDA" w:rsidRPr="009B2EDA" w:rsidRDefault="009B2EDA" w:rsidP="00CE6D39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3, п.4</w:t>
            </w:r>
          </w:p>
        </w:tc>
        <w:tc>
          <w:tcPr>
            <w:tcW w:w="6974" w:type="dxa"/>
          </w:tcPr>
          <w:p w14:paraId="00C21618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4. Ранжирование заявок </w:t>
            </w:r>
          </w:p>
          <w:p w14:paraId="65048DB7" w14:textId="77777777" w:rsidR="009B2EDA" w:rsidRDefault="009B2EDA" w:rsidP="009B2EDA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5F909E7D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Остальные ГЕМ и соответствующие им объемы мощности 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fldChar w:fldCharType="begin"/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sz w:val="22"/>
                      <w:szCs w:val="22"/>
                      <w:lang w:eastAsia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sz w:val="22"/>
                      <w:szCs w:val="22"/>
                      <w:lang w:eastAsia="ar-SA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sz w:val="22"/>
                      <w:szCs w:val="22"/>
                      <w:lang w:eastAsia="ar-SA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Batang" w:hAnsi="Garamond" w:cs="Garamond"/>
                      <w:sz w:val="22"/>
                      <w:szCs w:val="22"/>
                      <w:lang w:eastAsia="ar-SA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noProof/>
                      <w:sz w:val="22"/>
                      <w:szCs w:val="22"/>
                      <w:lang w:val="en-US" w:eastAsia="ar-SA"/>
                    </w:rPr>
                    <m:t>z</m:t>
                  </m:r>
                </m:sub>
              </m:sSub>
            </m:oMath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instrText xml:space="preserve"> </w:instrTex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fldChar w:fldCharType="separate"/>
            </w:r>
            <w:r w:rsidRPr="009B2EDA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400" w:dyaOrig="380" w14:anchorId="74E3BB2D">
                <v:shape id="_x0000_i1031" type="#_x0000_t75" style="width:24pt;height:24pt" o:ole="">
                  <v:imagedata r:id="rId17" o:title=""/>
                </v:shape>
                <o:OLEObject Type="Embed" ProgID="Equation.3" ShapeID="_x0000_i1031" DrawAspect="Content" ObjectID="_1685916628" r:id="rId18"/>
              </w:objec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fldChar w:fldCharType="end"/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выстраиваются в порядке возрастания приоритета отбора – в порядке возрастания цены. Из ГЕМ (объемов), в отношении которых в заявках указаны одинаковые цены, более высокий приоритет при отборе устанавливается путем последовательного соблюдения следующих приоритетов, установленных п. 4.3 </w:t>
            </w:r>
            <w:r w:rsidRPr="00C52E89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>Рег</w:t>
            </w:r>
            <w:r w:rsidRPr="009B2EDA">
              <w:rPr>
                <w:rFonts w:ascii="Garamond" w:eastAsia="Batang" w:hAnsi="Garamond" w:cs="Garamond"/>
                <w:i/>
                <w:sz w:val="22"/>
                <w:szCs w:val="22"/>
                <w:lang w:eastAsia="ar-SA"/>
              </w:rPr>
              <w:t xml:space="preserve">ламента </w:t>
            </w:r>
            <w:r w:rsidRPr="009B2ED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проведения конкурентных отборов мощности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(Приложение № 19.3 к </w:t>
            </w:r>
            <w:r w:rsidRPr="009B2EDA">
              <w:rPr>
                <w:rFonts w:ascii="Garamond" w:eastAsia="Batang" w:hAnsi="Garamond" w:cs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:</w:t>
            </w:r>
          </w:p>
          <w:p w14:paraId="4A1D060A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- меньшей доли ограничений установленной мощности;</w:t>
            </w:r>
          </w:p>
          <w:p w14:paraId="567D854C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- меньшей доли выработки паркового ресурса;</w:t>
            </w:r>
          </w:p>
          <w:p w14:paraId="286FA262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- более ранней подачи заявки при равенстве цен, удельных диапазонов регулирования и удельной обеспеченной выработки в заявках ГЕМ.</w:t>
            </w:r>
          </w:p>
          <w:p w14:paraId="47728AA6" w14:textId="78AACE95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</w:tc>
        <w:tc>
          <w:tcPr>
            <w:tcW w:w="6917" w:type="dxa"/>
          </w:tcPr>
          <w:p w14:paraId="3A21D2CD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  <w:t xml:space="preserve">4. Ранжирование заявок </w:t>
            </w:r>
          </w:p>
          <w:p w14:paraId="3EA0D5DE" w14:textId="77777777" w:rsidR="009B2EDA" w:rsidRDefault="009B2EDA" w:rsidP="009B2EDA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  <w:p w14:paraId="3B3985DB" w14:textId="3DAE9058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Остальные ГЕМ и соответствующие им объемы мощности 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fldChar w:fldCharType="begin"/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Batang" w:hAnsi="Cambria Math" w:cs="Garamond"/>
                      <w:i/>
                      <w:sz w:val="22"/>
                      <w:szCs w:val="22"/>
                      <w:lang w:eastAsia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sz w:val="22"/>
                      <w:szCs w:val="22"/>
                      <w:lang w:eastAsia="ar-SA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sz w:val="22"/>
                      <w:szCs w:val="22"/>
                      <w:lang w:eastAsia="ar-SA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Batang" w:hAnsi="Garamond" w:cs="Garamond"/>
                      <w:sz w:val="22"/>
                      <w:szCs w:val="22"/>
                      <w:lang w:eastAsia="ar-SA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Batang" w:hAnsi="Cambria Math" w:cs="Garamond"/>
                      <w:noProof/>
                      <w:sz w:val="22"/>
                      <w:szCs w:val="22"/>
                      <w:lang w:val="en-US" w:eastAsia="ar-SA"/>
                    </w:rPr>
                    <m:t>z</m:t>
                  </m:r>
                </m:sub>
              </m:sSub>
            </m:oMath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instrText xml:space="preserve"> </w:instrTex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fldChar w:fldCharType="separate"/>
            </w:r>
            <w:r w:rsidRPr="009B2EDA">
              <w:rPr>
                <w:rFonts w:ascii="Garamond" w:eastAsia="Batang" w:hAnsi="Garamond" w:cs="Garamond"/>
                <w:position w:val="-14"/>
                <w:sz w:val="22"/>
                <w:szCs w:val="22"/>
                <w:lang w:eastAsia="ar-SA"/>
              </w:rPr>
              <w:object w:dxaOrig="400" w:dyaOrig="380" w14:anchorId="14F946E7">
                <v:shape id="_x0000_i1032" type="#_x0000_t75" style="width:24pt;height:24pt" o:ole="">
                  <v:imagedata r:id="rId17" o:title=""/>
                </v:shape>
                <o:OLEObject Type="Embed" ProgID="Equation.3" ShapeID="_x0000_i1032" DrawAspect="Content" ObjectID="_1685916629" r:id="rId19"/>
              </w:objec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fldChar w:fldCharType="end"/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выстраиваются в порядке возрастания приоритета отбора – в порядке возрастания цены. Из ГЕМ (объемов), в отношении которых в заявках указаны одинаковые цены, более высокий приоритет при отборе устанавливается путем последовательного соблюдения следующих приоритетов, установленных п. 4.3 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настоящего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 </w:t>
            </w:r>
            <w:r w:rsidR="00C52E89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Р</w:t>
            </w: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егламента:</w:t>
            </w:r>
          </w:p>
          <w:p w14:paraId="28D10517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- меньшей доли ограничений установленной мощности;</w:t>
            </w:r>
          </w:p>
          <w:p w14:paraId="75BD17B9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- меньшей доли выработки паркового ресурса;</w:t>
            </w:r>
          </w:p>
          <w:p w14:paraId="72440246" w14:textId="77777777" w:rsidR="009B2EDA" w:rsidRPr="009B2EDA" w:rsidRDefault="009B2EDA" w:rsidP="009B2EDA">
            <w:pPr>
              <w:suppressAutoHyphens/>
              <w:spacing w:before="120" w:after="120"/>
              <w:ind w:right="-26" w:firstLine="567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9B2EDA"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- более ранней подачи заявки при равенстве цен, удельных диапазонов регулирования и удельной обеспеченной выработки в заявках ГЕМ.</w:t>
            </w:r>
          </w:p>
          <w:p w14:paraId="103DE9EF" w14:textId="36183130" w:rsidR="009B2EDA" w:rsidRPr="00D15DA5" w:rsidRDefault="009B2EDA" w:rsidP="009B2EDA">
            <w:pPr>
              <w:suppressAutoHyphens/>
              <w:spacing w:before="120" w:after="120"/>
              <w:ind w:right="-26" w:firstLine="567"/>
              <w:jc w:val="center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…</w:t>
            </w:r>
          </w:p>
        </w:tc>
      </w:tr>
    </w:tbl>
    <w:p w14:paraId="55B2708D" w14:textId="77777777" w:rsidR="00137561" w:rsidRDefault="00137561" w:rsidP="001F5EC6">
      <w:pPr>
        <w:jc w:val="both"/>
        <w:rPr>
          <w:rFonts w:ascii="Garamond" w:eastAsia="Batang" w:hAnsi="Garamond"/>
          <w:b/>
          <w:sz w:val="26"/>
          <w:szCs w:val="26"/>
        </w:rPr>
      </w:pPr>
    </w:p>
    <w:p w14:paraId="5CCF046E" w14:textId="584F72C7" w:rsidR="001F5EC6" w:rsidRPr="00B14D31" w:rsidRDefault="001F5EC6" w:rsidP="00137561">
      <w:pPr>
        <w:rPr>
          <w:rFonts w:ascii="Garamond" w:eastAsia="Batang" w:hAnsi="Garamond"/>
          <w:b/>
          <w:sz w:val="26"/>
          <w:szCs w:val="26"/>
        </w:rPr>
      </w:pPr>
      <w:r w:rsidRPr="00B14D31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B14D31"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 ТОРГОВОЙ СИСТЕМЕ ОПТОВОГО РЫНКА </w:t>
      </w:r>
      <w:r w:rsidRPr="00B14D31">
        <w:rPr>
          <w:rFonts w:ascii="Garamond" w:eastAsia="Batang" w:hAnsi="Garamond"/>
          <w:b/>
          <w:sz w:val="26"/>
          <w:szCs w:val="26"/>
        </w:rPr>
        <w:t>(Приложение № Д 7 к Договору о присоединении к торговой системе оптового рынка)</w:t>
      </w:r>
    </w:p>
    <w:p w14:paraId="70E411A5" w14:textId="77777777" w:rsidR="001F5EC6" w:rsidRDefault="001F5EC6" w:rsidP="00137561">
      <w:pPr>
        <w:rPr>
          <w:rFonts w:ascii="Garamond" w:hAnsi="Garamond"/>
          <w:b/>
          <w:bCs/>
        </w:rPr>
      </w:pPr>
    </w:p>
    <w:p w14:paraId="6F066FAD" w14:textId="37EC5C1A" w:rsidR="000332EE" w:rsidRDefault="000332EE" w:rsidP="00137561">
      <w:pPr>
        <w:rPr>
          <w:rFonts w:ascii="Garamond" w:hAnsi="Garamond"/>
          <w:b/>
        </w:rPr>
      </w:pPr>
      <w:r w:rsidRPr="00F2786E">
        <w:rPr>
          <w:rFonts w:ascii="Garamond" w:hAnsi="Garamond"/>
          <w:b/>
        </w:rPr>
        <w:t>Действующая редакция</w:t>
      </w:r>
    </w:p>
    <w:p w14:paraId="01961050" w14:textId="77777777" w:rsidR="000332EE" w:rsidRDefault="000332EE" w:rsidP="00137561">
      <w:pPr>
        <w:rPr>
          <w:rFonts w:ascii="Garamond" w:hAnsi="Garamond"/>
          <w:b/>
        </w:rPr>
      </w:pPr>
    </w:p>
    <w:tbl>
      <w:tblPr>
        <w:tblW w:w="144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275"/>
        <w:gridCol w:w="851"/>
        <w:gridCol w:w="850"/>
        <w:gridCol w:w="851"/>
        <w:gridCol w:w="1276"/>
        <w:gridCol w:w="992"/>
        <w:gridCol w:w="992"/>
        <w:gridCol w:w="1418"/>
        <w:gridCol w:w="1558"/>
        <w:gridCol w:w="993"/>
      </w:tblGrid>
      <w:tr w:rsidR="000332EE" w:rsidRPr="00137561" w14:paraId="75F8ECB6" w14:textId="77777777" w:rsidTr="00137561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450EE9D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Код формы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FDEC8EF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0CF791A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65B316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942843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8D960F1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68C5C8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C786764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234A16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DDF0E7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6FAFA0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B16191" w14:textId="77777777" w:rsidR="000332EE" w:rsidRPr="00137561" w:rsidRDefault="000332EE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0332EE" w:rsidRPr="00137561" w14:paraId="44441878" w14:textId="77777777" w:rsidTr="001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51" w:type="dxa"/>
            <w:shd w:val="clear" w:color="auto" w:fill="auto"/>
            <w:vAlign w:val="bottom"/>
            <w:hideMark/>
          </w:tcPr>
          <w:p w14:paraId="23F9A179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51019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3AB45B0D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Согласие на закрытие приема результатов измерений от АИИС КУЭ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415CF20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B7CA74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E9715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25703C2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F37D828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WEB-интерфейс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6C5697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42CA7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5D97B0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659102B8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722272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0332EE" w:rsidRPr="00137561" w14:paraId="7258423D" w14:textId="77777777" w:rsidTr="001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51" w:type="dxa"/>
            <w:shd w:val="clear" w:color="auto" w:fill="auto"/>
            <w:vAlign w:val="bottom"/>
            <w:hideMark/>
          </w:tcPr>
          <w:p w14:paraId="036B9AA0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51019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5217963C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Согласие на закрытие приема результатов измерений от АИИС КУЭ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DEB58C8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8B9DA74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FE8044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8B6861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130032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F554D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C5ABE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196CA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57E2883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28918998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0332EE" w:rsidRPr="00137561" w14:paraId="3C4E1CEF" w14:textId="77777777" w:rsidTr="001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51" w:type="dxa"/>
            <w:shd w:val="clear" w:color="auto" w:fill="auto"/>
            <w:vAlign w:val="bottom"/>
            <w:hideMark/>
          </w:tcPr>
          <w:p w14:paraId="3EF21CF0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51020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94D09E9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Акт учета перетоков по внутреннему сечению, Акт 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оборота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учета (оборота) по ГТП генерации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B8230F8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C9D8790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6879D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26D65E1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9EA4C65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WEB-интерфейс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81887F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5E46C1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D330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1A2C6AD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50C84C4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0332EE" w:rsidRPr="00137561" w14:paraId="4DB1BD66" w14:textId="77777777" w:rsidTr="001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51" w:type="dxa"/>
            <w:shd w:val="clear" w:color="auto" w:fill="auto"/>
            <w:vAlign w:val="bottom"/>
            <w:hideMark/>
          </w:tcPr>
          <w:p w14:paraId="1BB8CC7A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51020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1B891B05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Акт учета перетоков по внутреннему сечению, Акт 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оборота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учета (оборота) по ГТП генерации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5DE5938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E11A157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78B4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57FD2F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A98E9B7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4ACBB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75710A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E4C67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1F45AEA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F4964ED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0332EE" w:rsidRPr="00137561" w14:paraId="29D7D90B" w14:textId="77777777" w:rsidTr="00137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51" w:type="dxa"/>
            <w:shd w:val="clear" w:color="auto" w:fill="auto"/>
            <w:vAlign w:val="bottom"/>
            <w:hideMark/>
          </w:tcPr>
          <w:p w14:paraId="23A0E4BA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51076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14:paraId="6E73880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результатах приема данных по 51075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135D020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87E5156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337CB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38041A3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A62CA5A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F9CB1D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F2115F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12A79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14:paraId="3C17504E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65708CD6" w14:textId="77777777" w:rsidR="000332EE" w:rsidRPr="00137561" w:rsidRDefault="000332EE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</w:tbl>
    <w:p w14:paraId="065D286F" w14:textId="77777777" w:rsidR="00BF4AEB" w:rsidRDefault="00BF4AEB" w:rsidP="00137561">
      <w:pPr>
        <w:rPr>
          <w:rFonts w:ascii="Garamond" w:hAnsi="Garamond" w:cs="Garamond"/>
          <w:b/>
          <w:bCs/>
        </w:rPr>
      </w:pPr>
    </w:p>
    <w:p w14:paraId="5145FCD6" w14:textId="6EE7DBE0" w:rsidR="00BF4AEB" w:rsidRDefault="000332EE" w:rsidP="00137561">
      <w:pPr>
        <w:rPr>
          <w:rFonts w:ascii="Garamond" w:hAnsi="Garamond" w:cs="Garamond"/>
          <w:b/>
          <w:bCs/>
        </w:rPr>
      </w:pPr>
      <w:r w:rsidRPr="00F2786E">
        <w:rPr>
          <w:rFonts w:ascii="Garamond" w:hAnsi="Garamond" w:cs="Garamond"/>
          <w:b/>
          <w:bCs/>
        </w:rPr>
        <w:t>Предлагаемая редакция</w:t>
      </w:r>
    </w:p>
    <w:p w14:paraId="1CED10D0" w14:textId="4DAAB794" w:rsidR="00BF4AEB" w:rsidRDefault="00BF4AEB" w:rsidP="00137561">
      <w:pPr>
        <w:rPr>
          <w:rFonts w:ascii="Garamond" w:hAnsi="Garamond" w:cs="Garamond"/>
          <w:b/>
          <w:bCs/>
        </w:rPr>
      </w:pPr>
    </w:p>
    <w:tbl>
      <w:tblPr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418"/>
        <w:gridCol w:w="851"/>
        <w:gridCol w:w="850"/>
        <w:gridCol w:w="851"/>
        <w:gridCol w:w="1276"/>
        <w:gridCol w:w="992"/>
        <w:gridCol w:w="992"/>
        <w:gridCol w:w="1418"/>
        <w:gridCol w:w="1559"/>
        <w:gridCol w:w="1134"/>
      </w:tblGrid>
      <w:tr w:rsidR="00BF4AEB" w:rsidRPr="00137561" w14:paraId="44599D1A" w14:textId="77777777" w:rsidTr="00256261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E7A142B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C648AAA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8287BD1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22D585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662BED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5B0106C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E72B33C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152E0E3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38A2103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5211A92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0552DE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48E3D7" w14:textId="77777777" w:rsidR="00BF4AEB" w:rsidRPr="00137561" w:rsidRDefault="00BF4AEB" w:rsidP="001375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</w:tr>
      <w:tr w:rsidR="00BF4AEB" w:rsidRPr="00137561" w14:paraId="3C50DEE5" w14:textId="77777777" w:rsidTr="00256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134" w:type="dxa"/>
            <w:shd w:val="clear" w:color="auto" w:fill="auto"/>
            <w:vAlign w:val="center"/>
            <w:hideMark/>
          </w:tcPr>
          <w:p w14:paraId="3CECBACC" w14:textId="7C2C7BFE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51019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_PART_ATS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0C70178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Согласие на закрытие приема результатов измерений от АИИС КУЭ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03EDF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C8C887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1C2DF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A5DF16D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103CBB9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WEB-интерфейс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AB4BF9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8E9282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7533A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60B548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17638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BF4AEB" w:rsidRPr="00137561" w14:paraId="0D2406F0" w14:textId="77777777" w:rsidTr="00256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134" w:type="dxa"/>
            <w:shd w:val="clear" w:color="auto" w:fill="auto"/>
            <w:vAlign w:val="center"/>
            <w:hideMark/>
          </w:tcPr>
          <w:p w14:paraId="0583D648" w14:textId="2D6E0A22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51019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_ATS_PART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2DC02887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Согласие на закрытие приема результатов измерений от АИИС КУЭ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F888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847EF2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7120F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D4CA4F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0605CB5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D17D92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CB2094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DC61B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95A28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87ADD1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BF4AEB" w:rsidRPr="00137561" w14:paraId="200F79D3" w14:textId="77777777" w:rsidTr="00256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134" w:type="dxa"/>
            <w:shd w:val="clear" w:color="auto" w:fill="auto"/>
            <w:vAlign w:val="center"/>
            <w:hideMark/>
          </w:tcPr>
          <w:p w14:paraId="3A2AD31F" w14:textId="76C62A91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51020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_PART_ATS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17F20D01" w14:textId="441FE59B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Акт учета перетоков по внутреннему сечению, Акт учета (оборота) по ГТП генерации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99071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A5717EB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D562E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200B5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E5EC56B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 xml:space="preserve">WEB-интерфейс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C86D0B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0C0A4E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3F481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F7CC1C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5E2071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BF4AEB" w:rsidRPr="00137561" w14:paraId="6F377B04" w14:textId="77777777" w:rsidTr="00256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134" w:type="dxa"/>
            <w:shd w:val="clear" w:color="auto" w:fill="auto"/>
            <w:vAlign w:val="center"/>
            <w:hideMark/>
          </w:tcPr>
          <w:p w14:paraId="0CC1675A" w14:textId="03ECCAE2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51020</w:t>
            </w: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_ATS_PART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72A6970C" w14:textId="16B84A65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Акт учета перетоков по внутреннему сечению, Акт учета (оборота) по ГТП генерации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D9FC4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E71E82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8A484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002B616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310472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58E5D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B3434D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9BFAF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AB7DD6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072587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BF4AEB" w:rsidRPr="00137561" w14:paraId="179F7377" w14:textId="77777777" w:rsidTr="00256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134" w:type="dxa"/>
            <w:shd w:val="clear" w:color="auto" w:fill="auto"/>
            <w:vAlign w:val="bottom"/>
            <w:hideMark/>
          </w:tcPr>
          <w:p w14:paraId="201C80AF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51076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0818F5F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результатах приема данных по 51075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65E22B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Регламент № 11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0A23702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250D37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78EE74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C60B6D9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539373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4C7CEC" w14:textId="2C617019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10A8D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1.3.6.1.4.1.18545.1.2.1.9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DEB27E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27280" w14:textId="77777777" w:rsidR="00BF4AEB" w:rsidRPr="00137561" w:rsidRDefault="00BF4AEB" w:rsidP="001375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56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</w:tbl>
    <w:p w14:paraId="06E4A4E2" w14:textId="3A01FAD0" w:rsidR="00FE5A79" w:rsidRDefault="00FE5A79" w:rsidP="007C5834">
      <w:pPr>
        <w:pStyle w:val="20"/>
        <w:ind w:right="281"/>
        <w:jc w:val="right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</w:rPr>
        <w:lastRenderedPageBreak/>
        <w:t>Приложение № 9.1</w:t>
      </w:r>
      <w:r>
        <w:rPr>
          <w:rFonts w:ascii="Garamond" w:hAnsi="Garamond"/>
          <w:sz w:val="28"/>
          <w:szCs w:val="28"/>
        </w:rPr>
        <w:t>.2</w:t>
      </w:r>
    </w:p>
    <w:p w14:paraId="2ECD1D67" w14:textId="58710215" w:rsidR="00FE5A79" w:rsidRDefault="00FE5A79" w:rsidP="00BF4AEB">
      <w:pPr>
        <w:jc w:val="both"/>
        <w:rPr>
          <w:rFonts w:ascii="Garamond" w:hAnsi="Garamond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8"/>
      </w:tblGrid>
      <w:tr w:rsidR="00FE5A79" w:rsidRPr="002B5432" w14:paraId="3F94E278" w14:textId="77777777" w:rsidTr="00047D00">
        <w:trPr>
          <w:trHeight w:val="928"/>
        </w:trPr>
        <w:tc>
          <w:tcPr>
            <w:tcW w:w="14688" w:type="dxa"/>
          </w:tcPr>
          <w:p w14:paraId="579E9E7D" w14:textId="3F115B91" w:rsidR="00FE5A79" w:rsidRPr="002B5432" w:rsidRDefault="00FE5A79" w:rsidP="007C5834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Инициатор: </w:t>
            </w:r>
            <w:r w:rsidRPr="00BA54F3">
              <w:rPr>
                <w:rFonts w:ascii="Garamond" w:hAnsi="Garamond"/>
                <w:szCs w:val="20"/>
              </w:rPr>
              <w:t>Ассоциация «НП Совет рынка»</w:t>
            </w:r>
            <w:r w:rsidR="007C5834">
              <w:rPr>
                <w:rFonts w:ascii="Garamond" w:hAnsi="Garamond"/>
                <w:szCs w:val="20"/>
              </w:rPr>
              <w:t>.</w:t>
            </w:r>
          </w:p>
          <w:p w14:paraId="7B3301EA" w14:textId="53D680D9" w:rsidR="00FE5A79" w:rsidRPr="00C12FC3" w:rsidRDefault="00FE5A79" w:rsidP="007C5834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i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Обоснование: </w:t>
            </w:r>
            <w:r w:rsidR="007C5834">
              <w:rPr>
                <w:rFonts w:ascii="Garamond" w:hAnsi="Garamond"/>
                <w:szCs w:val="20"/>
              </w:rPr>
              <w:t>у</w:t>
            </w:r>
            <w:r>
              <w:rPr>
                <w:rFonts w:ascii="Garamond" w:hAnsi="Garamond"/>
                <w:szCs w:val="20"/>
              </w:rPr>
              <w:t xml:space="preserve">чет особенностей информационного обмена между СО и КО при определении объемов отклонений в </w:t>
            </w:r>
            <w:r w:rsidRPr="00C12FC3">
              <w:rPr>
                <w:rFonts w:ascii="Garamond" w:hAnsi="Garamond"/>
                <w:szCs w:val="20"/>
              </w:rPr>
              <w:t>ГТП импорта, зарегистрированной на сечении экспорта-импорта, по которому осуществляется энергоснабжение энергорайона на территории Омской области или Курганской области</w:t>
            </w:r>
            <w:r>
              <w:rPr>
                <w:rFonts w:ascii="Garamond" w:hAnsi="Garamond"/>
                <w:szCs w:val="20"/>
              </w:rPr>
              <w:t>.</w:t>
            </w:r>
          </w:p>
          <w:p w14:paraId="6EDD6C69" w14:textId="2C2C3BF8" w:rsidR="00FE5A79" w:rsidRPr="002B5432" w:rsidRDefault="00FE5A79" w:rsidP="007C5834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</w:t>
            </w:r>
            <w:r w:rsidRPr="002B5432">
              <w:rPr>
                <w:rFonts w:ascii="Garamond" w:hAnsi="Garamond"/>
                <w:b/>
                <w:szCs w:val="20"/>
              </w:rPr>
              <w:t xml:space="preserve">ата вступления в силу: </w:t>
            </w:r>
            <w:r w:rsidR="003F4232" w:rsidRPr="00FD204E">
              <w:rPr>
                <w:rFonts w:ascii="Garamond" w:hAnsi="Garamond"/>
                <w:szCs w:val="20"/>
              </w:rPr>
              <w:t>с 22 июня 2021 года и распространяют свое действие на отношения сторон по Договору о присоединении к торговой системе оптового рынка, возникшие с 1 мая 2021 года</w:t>
            </w:r>
            <w:r w:rsidR="003F4232">
              <w:rPr>
                <w:rFonts w:ascii="Garamond" w:hAnsi="Garamond"/>
                <w:szCs w:val="20"/>
              </w:rPr>
              <w:t>.</w:t>
            </w:r>
          </w:p>
        </w:tc>
      </w:tr>
    </w:tbl>
    <w:p w14:paraId="72D7D2FA" w14:textId="77777777" w:rsidR="007C5834" w:rsidRDefault="007C5834" w:rsidP="007C5834">
      <w:pPr>
        <w:pStyle w:val="20"/>
        <w:widowControl w:val="0"/>
        <w:spacing w:before="0" w:beforeAutospacing="0" w:after="0" w:afterAutospacing="0"/>
        <w:ind w:right="281"/>
        <w:jc w:val="both"/>
        <w:rPr>
          <w:rFonts w:ascii="Garamond" w:hAnsi="Garamond"/>
          <w:sz w:val="26"/>
          <w:szCs w:val="26"/>
        </w:rPr>
      </w:pPr>
      <w:bookmarkStart w:id="22" w:name="_Toc101261834"/>
      <w:bookmarkStart w:id="23" w:name="_Toc101672096"/>
      <w:bookmarkStart w:id="24" w:name="_Toc103055809"/>
      <w:bookmarkStart w:id="25" w:name="_Toc105228112"/>
      <w:bookmarkStart w:id="26" w:name="_Toc107045995"/>
    </w:p>
    <w:p w14:paraId="7C3E578C" w14:textId="77777777" w:rsidR="00FE5A79" w:rsidRPr="002B5432" w:rsidRDefault="00FE5A79" w:rsidP="007C5834">
      <w:pPr>
        <w:pStyle w:val="20"/>
        <w:widowControl w:val="0"/>
        <w:spacing w:before="0" w:beforeAutospacing="0" w:after="0" w:afterAutospacing="0"/>
        <w:ind w:right="28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Предложения по изменениям</w:t>
      </w:r>
      <w:r w:rsidRPr="002B5432">
        <w:rPr>
          <w:rFonts w:ascii="Garamond" w:hAnsi="Garamond"/>
          <w:sz w:val="26"/>
          <w:szCs w:val="26"/>
        </w:rPr>
        <w:t xml:space="preserve"> и дополнениям в </w:t>
      </w:r>
      <w:bookmarkEnd w:id="22"/>
      <w:bookmarkEnd w:id="23"/>
      <w:r w:rsidRPr="002B5432">
        <w:rPr>
          <w:rFonts w:ascii="Garamond" w:hAnsi="Garamond"/>
          <w:sz w:val="26"/>
          <w:szCs w:val="26"/>
        </w:rPr>
        <w:t xml:space="preserve">РЕГЛАМЕНТ </w:t>
      </w:r>
      <w:r>
        <w:rPr>
          <w:rFonts w:ascii="Garamond" w:hAnsi="Garamond"/>
          <w:sz w:val="26"/>
          <w:szCs w:val="26"/>
        </w:rPr>
        <w:t>ОПРЕДЕЛЕНИЯ ОБЪЕМОВ, ИНИЦИАТИВ И СТОИМОСТИ ОТКЛОНЕНИЙ</w:t>
      </w:r>
      <w:r w:rsidRPr="002B5432">
        <w:rPr>
          <w:rFonts w:ascii="Garamond" w:hAnsi="Garamond"/>
          <w:sz w:val="26"/>
          <w:szCs w:val="26"/>
        </w:rPr>
        <w:t xml:space="preserve"> (Приложение №</w:t>
      </w:r>
      <w:r>
        <w:rPr>
          <w:rFonts w:ascii="Garamond" w:hAnsi="Garamond"/>
          <w:sz w:val="26"/>
          <w:szCs w:val="26"/>
        </w:rPr>
        <w:t xml:space="preserve"> 12 к Договору о присоединении </w:t>
      </w:r>
      <w:r w:rsidRPr="002B5432">
        <w:rPr>
          <w:rFonts w:ascii="Garamond" w:hAnsi="Garamond"/>
          <w:sz w:val="26"/>
          <w:szCs w:val="26"/>
        </w:rPr>
        <w:t>к торговой системе оптового рынка)</w:t>
      </w:r>
      <w:bookmarkEnd w:id="24"/>
      <w:bookmarkEnd w:id="25"/>
      <w:bookmarkEnd w:id="26"/>
    </w:p>
    <w:p w14:paraId="7EB18C05" w14:textId="77777777" w:rsidR="00FE5A79" w:rsidRPr="002B5432" w:rsidRDefault="00FE5A79" w:rsidP="007C5834">
      <w:pPr>
        <w:widowControl w:val="0"/>
        <w:rPr>
          <w:rFonts w:ascii="Garamond" w:hAnsi="Garamond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300"/>
        <w:gridCol w:w="7020"/>
      </w:tblGrid>
      <w:tr w:rsidR="00FE5A79" w:rsidRPr="002B5432" w14:paraId="270413A8" w14:textId="77777777" w:rsidTr="00047D00">
        <w:tc>
          <w:tcPr>
            <w:tcW w:w="1440" w:type="dxa"/>
            <w:vAlign w:val="center"/>
          </w:tcPr>
          <w:p w14:paraId="7C5586E3" w14:textId="77777777" w:rsidR="00FE5A79" w:rsidRDefault="00FE5A79" w:rsidP="00047D00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7824A208" w14:textId="77777777" w:rsidR="00FE5A79" w:rsidRPr="002B5432" w:rsidRDefault="00FE5A79" w:rsidP="00047D00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300" w:type="dxa"/>
          </w:tcPr>
          <w:p w14:paraId="3068F894" w14:textId="77777777" w:rsidR="00FE5A79" w:rsidRPr="008C14FB" w:rsidRDefault="00FE5A79" w:rsidP="00047D00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4615205B" w14:textId="77777777" w:rsidR="00FE5A79" w:rsidRPr="002B5432" w:rsidRDefault="00FE5A79" w:rsidP="00047D00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20" w:type="dxa"/>
          </w:tcPr>
          <w:p w14:paraId="33870DB0" w14:textId="77777777" w:rsidR="00FE5A79" w:rsidRPr="002B5432" w:rsidRDefault="00FE5A79" w:rsidP="00047D00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5F24EF7A" w14:textId="77777777" w:rsidR="00FE5A79" w:rsidRPr="002B5432" w:rsidRDefault="00FE5A79" w:rsidP="00047D00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E5A79" w:rsidRPr="002B5432" w14:paraId="1AD26704" w14:textId="77777777" w:rsidTr="00047D00">
        <w:trPr>
          <w:trHeight w:val="1501"/>
        </w:trPr>
        <w:tc>
          <w:tcPr>
            <w:tcW w:w="1440" w:type="dxa"/>
          </w:tcPr>
          <w:p w14:paraId="6272E2EE" w14:textId="77777777" w:rsidR="00FE5A79" w:rsidRPr="007C5834" w:rsidRDefault="00FE5A79" w:rsidP="007C583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C5834">
              <w:rPr>
                <w:rFonts w:ascii="Garamond" w:hAnsi="Garamond"/>
                <w:b/>
                <w:sz w:val="22"/>
                <w:szCs w:val="22"/>
              </w:rPr>
              <w:t>2.4.4</w:t>
            </w:r>
          </w:p>
        </w:tc>
        <w:tc>
          <w:tcPr>
            <w:tcW w:w="6300" w:type="dxa"/>
          </w:tcPr>
          <w:p w14:paraId="6C78A890" w14:textId="77777777" w:rsidR="00FE5A79" w:rsidRDefault="00FE5A79" w:rsidP="00047D00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0"/>
                <w:tab w:val="left" w:pos="4477"/>
              </w:tabs>
              <w:spacing w:before="60" w:after="60"/>
              <w:ind w:left="643" w:hanging="360"/>
              <w:rPr>
                <w:szCs w:val="22"/>
              </w:rPr>
            </w:pPr>
            <w:r w:rsidRPr="002B5432">
              <w:rPr>
                <w:szCs w:val="22"/>
              </w:rPr>
              <w:t>…</w:t>
            </w:r>
          </w:p>
          <w:p w14:paraId="6BE78FED" w14:textId="77777777" w:rsidR="00FE5A79" w:rsidRPr="00BA54F3" w:rsidRDefault="00FE5A79" w:rsidP="00047D00">
            <w:pPr>
              <w:widowControl w:val="0"/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 xml:space="preserve">Для ГТП импорта, зарегистрированной на сечении экспорта-импорта, по которому осуществляется энергоснабжение </w:t>
            </w:r>
            <w:r w:rsidRPr="00BA54F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энергорайона </w:t>
            </w: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 xml:space="preserve">на территории Омской области или Курганской области, не имеющего электрических связей с ЕЭС России и работающего параллельно с зарубежной энергосистемой или ее частью, определяется величина отклонений по собственной инициативе, обусловленная поставкой в </w:t>
            </w:r>
            <w:r w:rsidRPr="00BA54F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энергорайон </w:t>
            </w: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>на территории Омской области или Курганской области, не имеющий электрических связей с ЕЭС России и работающий параллельно с зарубежной энергосистемой или ее частью, как:</w:t>
            </w:r>
          </w:p>
          <w:p w14:paraId="2D895B6E" w14:textId="77777777" w:rsidR="00FE5A79" w:rsidRPr="00BA54F3" w:rsidRDefault="00FE5A79" w:rsidP="00047D00">
            <w:pPr>
              <w:spacing w:before="120" w:after="120"/>
              <w:ind w:left="720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A54F3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2100" w:dyaOrig="400" w14:anchorId="2DCED8D4">
                <v:shape id="_x0000_i1033" type="#_x0000_t75" style="width:104.5pt;height:21pt" o:ole="">
                  <v:imagedata r:id="rId20" o:title=""/>
                </v:shape>
                <o:OLEObject Type="Embed" ProgID="Equation.3" ShapeID="_x0000_i1033" DrawAspect="Content" ObjectID="_1685916630" r:id="rId21"/>
              </w:object>
            </w: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098546D5" w14:textId="77777777" w:rsidR="00FE5A79" w:rsidRPr="00BA54F3" w:rsidRDefault="00FE5A79" w:rsidP="00047D00">
            <w:pPr>
              <w:spacing w:before="180" w:after="6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A54F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При этом для соответствующей ГТП импорта </w:t>
            </w:r>
            <w:r w:rsidRPr="00BA54F3">
              <w:rPr>
                <w:rFonts w:ascii="Garamond" w:hAnsi="Garamond"/>
                <w:position w:val="-12"/>
                <w:sz w:val="22"/>
                <w:szCs w:val="22"/>
                <w:highlight w:val="yellow"/>
                <w:lang w:val="en-GB" w:eastAsia="en-US"/>
              </w:rPr>
              <w:object w:dxaOrig="980" w:dyaOrig="380" w14:anchorId="7360F61C">
                <v:shape id="_x0000_i1034" type="#_x0000_t75" style="width:49pt;height:19.5pt" o:ole="">
                  <v:imagedata r:id="rId22" o:title=""/>
                </v:shape>
                <o:OLEObject Type="Embed" ProgID="Equation.3" ShapeID="_x0000_i1034" DrawAspect="Content" ObjectID="_1685916631" r:id="rId23"/>
              </w:object>
            </w:r>
            <w:r w:rsidRPr="00BA54F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58FB11E0" w14:textId="77777777" w:rsidR="00FE5A79" w:rsidRPr="002B5432" w:rsidRDefault="00FE5A79" w:rsidP="00047D00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0"/>
                <w:tab w:val="left" w:pos="4477"/>
              </w:tabs>
              <w:spacing w:before="60" w:after="60"/>
              <w:rPr>
                <w:szCs w:val="22"/>
              </w:rPr>
            </w:pPr>
          </w:p>
        </w:tc>
        <w:tc>
          <w:tcPr>
            <w:tcW w:w="7020" w:type="dxa"/>
          </w:tcPr>
          <w:p w14:paraId="32E99691" w14:textId="77777777" w:rsidR="00FE5A79" w:rsidRPr="002B5432" w:rsidRDefault="00FE5A79" w:rsidP="00047D00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before="60" w:after="60"/>
              <w:rPr>
                <w:szCs w:val="22"/>
              </w:rPr>
            </w:pPr>
            <w:r w:rsidRPr="002B5432">
              <w:rPr>
                <w:szCs w:val="22"/>
              </w:rPr>
              <w:t>…</w:t>
            </w:r>
          </w:p>
          <w:p w14:paraId="46420A7F" w14:textId="77777777" w:rsidR="00FE5A79" w:rsidRPr="00BA54F3" w:rsidRDefault="00FE5A79" w:rsidP="00047D00">
            <w:pPr>
              <w:widowControl w:val="0"/>
              <w:spacing w:before="120" w:after="120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 xml:space="preserve">Для ГТП импорта, зарегистрированной на сечении экспорта-импорта, по которому осуществляется энергоснабжение </w:t>
            </w:r>
            <w:r w:rsidRPr="00BA54F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энергорайона </w:t>
            </w: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 xml:space="preserve">на территории Омской области или Курганской области, не имеющего электрических связей с ЕЭС России и работающего параллельно с зарубежной энергосистемой или ее частью, определяется величина отклонений по собственной инициативе, обусловленная поставкой в </w:t>
            </w:r>
            <w:r w:rsidRPr="00BA54F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энергорайон </w:t>
            </w: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>на территории Омской области или Курганской области, не имеющий электрических связей с ЕЭС России и работающий параллельно с зарубежной энергосистемой или ее частью, как:</w:t>
            </w:r>
          </w:p>
          <w:p w14:paraId="6E999176" w14:textId="77777777" w:rsidR="00FE5A79" w:rsidRPr="00BA54F3" w:rsidRDefault="00FE5A79" w:rsidP="00047D00">
            <w:pPr>
              <w:spacing w:before="120" w:after="120"/>
              <w:ind w:left="720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A54F3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2100" w:dyaOrig="400" w14:anchorId="69CE90BF">
                <v:shape id="_x0000_i1035" type="#_x0000_t75" style="width:104.5pt;height:21pt" o:ole="">
                  <v:imagedata r:id="rId20" o:title=""/>
                </v:shape>
                <o:OLEObject Type="Embed" ProgID="Equation.3" ShapeID="_x0000_i1035" DrawAspect="Content" ObjectID="_1685916632" r:id="rId24"/>
              </w:object>
            </w:r>
            <w:r w:rsidRPr="00BA54F3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146E4837" w14:textId="7B71A2FE" w:rsidR="00FE5A79" w:rsidRPr="0071049D" w:rsidRDefault="00FE5A79" w:rsidP="00047D00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before="60" w:after="60"/>
              <w:rPr>
                <w:szCs w:val="22"/>
                <w:highlight w:val="yellow"/>
              </w:rPr>
            </w:pPr>
            <w:r w:rsidRPr="0071049D">
              <w:rPr>
                <w:szCs w:val="22"/>
                <w:highlight w:val="yellow"/>
              </w:rPr>
              <w:t xml:space="preserve">В случае если для сечения, по которому осуществляется энергоснабжение </w:t>
            </w:r>
            <w:r w:rsidRPr="0071049D">
              <w:rPr>
                <w:color w:val="000000"/>
                <w:szCs w:val="22"/>
                <w:highlight w:val="yellow"/>
              </w:rPr>
              <w:t xml:space="preserve">энергорайона </w:t>
            </w:r>
            <w:r w:rsidRPr="0071049D">
              <w:rPr>
                <w:szCs w:val="22"/>
                <w:highlight w:val="yellow"/>
              </w:rPr>
              <w:t>на территории Омской области, не имеющего электрических связей с ЕЭС России и работающего параллельно с зарубежной энергосистемой или ее частью, при планировании на сутки вперед был учтен режим изолированной от ЕЭС России (при отключении всех электрических связей с ЕЭС России) и параллельной с зарубежной энергосистемой или ее частью работы энергорайона, но от СО получена информация о прекращении действия данного режима в соответствующий час, то для соотв</w:t>
            </w:r>
            <w:r w:rsidR="007C5834">
              <w:rPr>
                <w:szCs w:val="22"/>
                <w:highlight w:val="yellow"/>
              </w:rPr>
              <w:t xml:space="preserve">етствующей сечению ГТП импорта </w:t>
            </w:r>
            <w:r w:rsidRPr="0071049D">
              <w:rPr>
                <w:szCs w:val="22"/>
                <w:highlight w:val="yellow"/>
              </w:rPr>
              <w:t>треб</w:t>
            </w:r>
            <w:r w:rsidR="007C5834">
              <w:rPr>
                <w:szCs w:val="22"/>
                <w:highlight w:val="yellow"/>
              </w:rPr>
              <w:t>ования пункта 2.4.6 настоящего Р</w:t>
            </w:r>
            <w:r w:rsidRPr="0071049D">
              <w:rPr>
                <w:szCs w:val="22"/>
                <w:highlight w:val="yellow"/>
              </w:rPr>
              <w:t xml:space="preserve">егламента не выполняются и определяется величина </w:t>
            </w:r>
            <w:r w:rsidRPr="0071049D">
              <w:rPr>
                <w:szCs w:val="22"/>
                <w:highlight w:val="yellow"/>
              </w:rPr>
              <w:lastRenderedPageBreak/>
              <w:t>отклонений по собственной инициативе:</w:t>
            </w:r>
          </w:p>
          <w:p w14:paraId="65D532A1" w14:textId="7DDA04D9" w:rsidR="00FE5A79" w:rsidRPr="002F4602" w:rsidRDefault="00FE5A79" w:rsidP="00047D00">
            <w:pPr>
              <w:widowControl w:val="0"/>
              <w:ind w:firstLine="567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71049D">
              <w:rPr>
                <w:rFonts w:ascii="Garamond" w:hAnsi="Garamond"/>
                <w:position w:val="-14"/>
                <w:sz w:val="22"/>
                <w:szCs w:val="22"/>
                <w:highlight w:val="yellow"/>
                <w:lang w:val="en-GB" w:eastAsia="en-US"/>
              </w:rPr>
              <w:object w:dxaOrig="2079" w:dyaOrig="400" w14:anchorId="3493E3E7">
                <v:shape id="_x0000_i1036" type="#_x0000_t75" style="width:104pt;height:21pt" o:ole="">
                  <v:imagedata r:id="rId25" o:title=""/>
                </v:shape>
                <o:OLEObject Type="Embed" ProgID="Equation.3" ShapeID="_x0000_i1036" DrawAspect="Content" ObjectID="_1685916633" r:id="rId26"/>
              </w:object>
            </w:r>
            <w:r w:rsidR="002F4602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.</w:t>
            </w:r>
          </w:p>
          <w:p w14:paraId="21A6E601" w14:textId="5F6EE28A" w:rsidR="00FE5A79" w:rsidRPr="007C5834" w:rsidRDefault="00FE5A79" w:rsidP="00047D00">
            <w:pPr>
              <w:spacing w:before="180" w:after="6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71049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При этом для соответствующ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их</w:t>
            </w:r>
            <w:r w:rsidRPr="0071049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ГТП экспорта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и ГТП импорта</w:t>
            </w:r>
            <w:r w:rsidRPr="0071049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71049D">
              <w:rPr>
                <w:rFonts w:ascii="Garamond" w:hAnsi="Garamond"/>
                <w:position w:val="-12"/>
                <w:sz w:val="22"/>
                <w:szCs w:val="22"/>
                <w:highlight w:val="yellow"/>
                <w:lang w:val="en-GB" w:eastAsia="en-US"/>
              </w:rPr>
              <w:object w:dxaOrig="980" w:dyaOrig="380" w14:anchorId="289AD9B4">
                <v:shape id="_x0000_i1037" type="#_x0000_t75" style="width:49pt;height:19.5pt" o:ole="">
                  <v:imagedata r:id="rId22" o:title=""/>
                </v:shape>
                <o:OLEObject Type="Embed" ProgID="Equation.3" ShapeID="_x0000_i1037" DrawAspect="Content" ObjectID="_1685916634" r:id="rId27"/>
              </w:object>
            </w:r>
            <w:r w:rsidRPr="0071049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</w:tc>
      </w:tr>
    </w:tbl>
    <w:p w14:paraId="14C6D634" w14:textId="77777777" w:rsidR="00FE5A79" w:rsidRDefault="00FE5A79" w:rsidP="00FE5A79">
      <w:pPr>
        <w:widowControl w:val="0"/>
        <w:rPr>
          <w:rFonts w:ascii="Garamond" w:hAnsi="Garamond"/>
        </w:rPr>
      </w:pPr>
    </w:p>
    <w:p w14:paraId="2B1442E3" w14:textId="77777777" w:rsidR="00FE5A79" w:rsidRPr="008A6EA6" w:rsidRDefault="00FE5A79" w:rsidP="00FE5A79">
      <w:pPr>
        <w:pStyle w:val="20"/>
        <w:widowControl w:val="0"/>
        <w:numPr>
          <w:ilvl w:val="1"/>
          <w:numId w:val="0"/>
        </w:numPr>
        <w:tabs>
          <w:tab w:val="num" w:pos="756"/>
        </w:tabs>
        <w:jc w:val="both"/>
        <w:rPr>
          <w:rFonts w:ascii="Garamond" w:hAnsi="Garamond"/>
          <w:sz w:val="28"/>
          <w:szCs w:val="28"/>
        </w:rPr>
      </w:pPr>
      <w:r w:rsidRPr="008A6EA6">
        <w:rPr>
          <w:rFonts w:ascii="Garamond" w:hAnsi="Garamond"/>
          <w:sz w:val="28"/>
          <w:szCs w:val="28"/>
        </w:rPr>
        <w:t xml:space="preserve"> </w:t>
      </w:r>
    </w:p>
    <w:p w14:paraId="4356C892" w14:textId="77777777" w:rsidR="00FE5A79" w:rsidRDefault="00FE5A79" w:rsidP="00FE5A79"/>
    <w:p w14:paraId="0269BEF1" w14:textId="77777777" w:rsidR="00FE5A79" w:rsidRDefault="00FE5A79" w:rsidP="00BF4AEB">
      <w:pPr>
        <w:jc w:val="both"/>
        <w:rPr>
          <w:rFonts w:ascii="Garamond" w:hAnsi="Garamond"/>
          <w:sz w:val="18"/>
          <w:szCs w:val="18"/>
        </w:rPr>
      </w:pPr>
    </w:p>
    <w:sectPr w:rsidR="00FE5A79" w:rsidSect="000D089A">
      <w:pgSz w:w="16838" w:h="11906" w:orient="landscape"/>
      <w:pgMar w:top="993" w:right="822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4F8C7" w14:textId="77777777" w:rsidR="00AD05A3" w:rsidRDefault="00AD05A3" w:rsidP="004E7F22">
      <w:r>
        <w:separator/>
      </w:r>
    </w:p>
  </w:endnote>
  <w:endnote w:type="continuationSeparator" w:id="0">
    <w:p w14:paraId="00F25B20" w14:textId="77777777" w:rsidR="00AD05A3" w:rsidRDefault="00AD05A3" w:rsidP="004E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89F7B" w14:textId="77777777" w:rsidR="00AD05A3" w:rsidRDefault="00AD05A3" w:rsidP="004E7F22">
      <w:r>
        <w:separator/>
      </w:r>
    </w:p>
  </w:footnote>
  <w:footnote w:type="continuationSeparator" w:id="0">
    <w:p w14:paraId="4EF945DA" w14:textId="77777777" w:rsidR="00AD05A3" w:rsidRDefault="00AD05A3" w:rsidP="004E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0E542A38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."/>
      <w:legacy w:legacy="1" w:legacySpace="120" w:legacyIndent="360"/>
      <w:lvlJc w:val="left"/>
    </w:lvl>
    <w:lvl w:ilvl="2">
      <w:start w:val="1"/>
      <w:numFmt w:val="decimal"/>
      <w:lvlText w:val="%2.%3"/>
      <w:legacy w:legacy="1" w:legacySpace="120" w:legacyIndent="360"/>
      <w:lvlJc w:val="left"/>
    </w:lvl>
    <w:lvl w:ilvl="3">
      <w:start w:val="1"/>
      <w:numFmt w:val="decimal"/>
      <w:lvlText w:val="%2.%3.%4"/>
      <w:legacy w:legacy="1" w:legacySpace="120" w:legacyIndent="360"/>
      <w:lvlJc w:val="left"/>
    </w:lvl>
    <w:lvl w:ilvl="4">
      <w:start w:val="1"/>
      <w:numFmt w:val="decimal"/>
      <w:lvlText w:val="%5)"/>
      <w:legacy w:legacy="1" w:legacySpace="120" w:legacyIndent="360"/>
      <w:lvlJc w:val="left"/>
    </w:lvl>
    <w:lvl w:ilvl="5">
      <w:start w:val="1"/>
      <w:numFmt w:val="lowerRoman"/>
      <w:lvlText w:val="%6)"/>
      <w:legacy w:legacy="1" w:legacySpace="120" w:legacyIndent="360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A825E6C"/>
    <w:multiLevelType w:val="hybridMultilevel"/>
    <w:tmpl w:val="34D63D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59E8703C">
      <w:start w:val="1"/>
      <w:numFmt w:val="none"/>
      <w:lvlText w:val="4.6"/>
      <w:lvlJc w:val="left"/>
      <w:pPr>
        <w:tabs>
          <w:tab w:val="num" w:pos="2220"/>
        </w:tabs>
        <w:ind w:left="2220" w:hanging="360"/>
      </w:pPr>
      <w:rPr>
        <w:rFonts w:cs="Times New Roman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C74711A"/>
    <w:multiLevelType w:val="hybridMultilevel"/>
    <w:tmpl w:val="9C7834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E104E"/>
    <w:multiLevelType w:val="hybridMultilevel"/>
    <w:tmpl w:val="0ED69A0A"/>
    <w:lvl w:ilvl="0" w:tplc="045ED2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5"/>
      <w:numFmt w:val="bullet"/>
      <w:lvlText w:val="-"/>
      <w:lvlJc w:val="left"/>
      <w:pPr>
        <w:tabs>
          <w:tab w:val="num" w:pos="1440"/>
        </w:tabs>
        <w:ind w:left="742" w:firstLine="33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45939"/>
    <w:multiLevelType w:val="hybridMultilevel"/>
    <w:tmpl w:val="67F4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0F98"/>
    <w:multiLevelType w:val="hybridMultilevel"/>
    <w:tmpl w:val="AEC09B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5926208">
      <w:start w:val="1"/>
      <w:numFmt w:val="none"/>
      <w:lvlText w:val="4.7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  <w:i w:val="0"/>
        <w:sz w:val="22"/>
        <w:szCs w:val="22"/>
      </w:rPr>
    </w:lvl>
    <w:lvl w:ilvl="2" w:tplc="2CE6CA46">
      <w:start w:val="1"/>
      <w:numFmt w:val="none"/>
      <w:lvlText w:val="4.8"/>
      <w:lvlJc w:val="left"/>
      <w:pPr>
        <w:tabs>
          <w:tab w:val="num" w:pos="2509"/>
        </w:tabs>
        <w:ind w:left="2509" w:hanging="360"/>
      </w:pPr>
      <w:rPr>
        <w:rFonts w:cs="Times New Roman" w:hint="default"/>
        <w:b/>
        <w:i w:val="0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5D547E8"/>
    <w:multiLevelType w:val="hybridMultilevel"/>
    <w:tmpl w:val="924A9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D1640C"/>
    <w:multiLevelType w:val="hybridMultilevel"/>
    <w:tmpl w:val="BC988D22"/>
    <w:lvl w:ilvl="0" w:tplc="0F8CAE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C141BB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F05E5A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2DED0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F088042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194845A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53CA8A8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F6A6C28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3FC3856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FD3115C"/>
    <w:multiLevelType w:val="hybridMultilevel"/>
    <w:tmpl w:val="FB627B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72CE3F0">
      <w:start w:val="1"/>
      <w:numFmt w:val="none"/>
      <w:lvlText w:val="4.2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213FC8"/>
    <w:multiLevelType w:val="hybridMultilevel"/>
    <w:tmpl w:val="2954E68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F2D2D"/>
    <w:multiLevelType w:val="hybridMultilevel"/>
    <w:tmpl w:val="BC5E042E"/>
    <w:lvl w:ilvl="0" w:tplc="041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217C4DBE"/>
    <w:multiLevelType w:val="hybridMultilevel"/>
    <w:tmpl w:val="697E9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C46C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196003C"/>
    <w:multiLevelType w:val="singleLevel"/>
    <w:tmpl w:val="82B608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2C30A8"/>
    <w:multiLevelType w:val="hybridMultilevel"/>
    <w:tmpl w:val="DBCCCC86"/>
    <w:lvl w:ilvl="0" w:tplc="27E4E0CC">
      <w:start w:val="2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1450"/>
    <w:multiLevelType w:val="hybridMultilevel"/>
    <w:tmpl w:val="CF4AF92A"/>
    <w:lvl w:ilvl="0" w:tplc="0ED2E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22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A1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EA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0A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6C4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C7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47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8A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B7FC1"/>
    <w:multiLevelType w:val="hybridMultilevel"/>
    <w:tmpl w:val="1660AE02"/>
    <w:lvl w:ilvl="0" w:tplc="5422FFE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5DA0"/>
    <w:multiLevelType w:val="hybridMultilevel"/>
    <w:tmpl w:val="2D00CD7C"/>
    <w:lvl w:ilvl="0" w:tplc="38EC02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027D6"/>
    <w:multiLevelType w:val="hybridMultilevel"/>
    <w:tmpl w:val="0C92A0C0"/>
    <w:lvl w:ilvl="0" w:tplc="AD1C97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3F6BCA"/>
    <w:multiLevelType w:val="hybridMultilevel"/>
    <w:tmpl w:val="F3C8E0E0"/>
    <w:lvl w:ilvl="0" w:tplc="34C6047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4365E"/>
    <w:multiLevelType w:val="hybridMultilevel"/>
    <w:tmpl w:val="C01EC630"/>
    <w:lvl w:ilvl="0" w:tplc="C736DE3A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E9271EC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E64A4570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48ECEEE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9786614E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730879F6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391AF6AE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BBEE93A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EB388512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444962CD"/>
    <w:multiLevelType w:val="hybridMultilevel"/>
    <w:tmpl w:val="E5A69968"/>
    <w:lvl w:ilvl="0" w:tplc="0198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7E1364D"/>
    <w:multiLevelType w:val="hybridMultilevel"/>
    <w:tmpl w:val="BE96F27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37031"/>
    <w:multiLevelType w:val="multilevel"/>
    <w:tmpl w:val="D3A6282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7" w15:restartNumberingAfterBreak="0">
    <w:nsid w:val="60D45E69"/>
    <w:multiLevelType w:val="hybridMultilevel"/>
    <w:tmpl w:val="43CC79BA"/>
    <w:lvl w:ilvl="0" w:tplc="943C63B0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8" w15:restartNumberingAfterBreak="0">
    <w:nsid w:val="69D44918"/>
    <w:multiLevelType w:val="hybridMultilevel"/>
    <w:tmpl w:val="CEF66A2E"/>
    <w:lvl w:ilvl="0" w:tplc="F2124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311C4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16B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A9E9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7B625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189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F84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AD7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69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085A8D"/>
    <w:multiLevelType w:val="hybridMultilevel"/>
    <w:tmpl w:val="42401418"/>
    <w:lvl w:ilvl="0" w:tplc="1CC06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3C22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7A1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EA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0A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6C4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C7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47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8A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7E7AA9"/>
    <w:multiLevelType w:val="hybridMultilevel"/>
    <w:tmpl w:val="5638216A"/>
    <w:lvl w:ilvl="0" w:tplc="CEC049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20105"/>
    <w:multiLevelType w:val="hybridMultilevel"/>
    <w:tmpl w:val="A288CD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3C6E84"/>
    <w:multiLevelType w:val="hybridMultilevel"/>
    <w:tmpl w:val="21343308"/>
    <w:name w:val="WW8Num7132222222"/>
    <w:lvl w:ilvl="0" w:tplc="27E4E0CC">
      <w:start w:val="2"/>
      <w:numFmt w:val="bullet"/>
      <w:lvlText w:val="−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22"/>
  </w:num>
  <w:num w:numId="5">
    <w:abstractNumId w:val="24"/>
  </w:num>
  <w:num w:numId="6">
    <w:abstractNumId w:val="7"/>
  </w:num>
  <w:num w:numId="7">
    <w:abstractNumId w:val="6"/>
  </w:num>
  <w:num w:numId="8">
    <w:abstractNumId w:val="26"/>
  </w:num>
  <w:num w:numId="9">
    <w:abstractNumId w:val="15"/>
  </w:num>
  <w:num w:numId="10">
    <w:abstractNumId w:val="5"/>
  </w:num>
  <w:num w:numId="11">
    <w:abstractNumId w:val="16"/>
  </w:num>
  <w:num w:numId="12">
    <w:abstractNumId w:val="1"/>
  </w:num>
  <w:num w:numId="13">
    <w:abstractNumId w:val="13"/>
  </w:num>
  <w:num w:numId="14">
    <w:abstractNumId w:val="20"/>
  </w:num>
  <w:num w:numId="15">
    <w:abstractNumId w:val="3"/>
  </w:num>
  <w:num w:numId="16">
    <w:abstractNumId w:val="30"/>
  </w:num>
  <w:num w:numId="17">
    <w:abstractNumId w:val="23"/>
  </w:num>
  <w:num w:numId="18">
    <w:abstractNumId w:val="18"/>
  </w:num>
  <w:num w:numId="19">
    <w:abstractNumId w:val="25"/>
  </w:num>
  <w:num w:numId="20">
    <w:abstractNumId w:val="11"/>
  </w:num>
  <w:num w:numId="21">
    <w:abstractNumId w:val="17"/>
  </w:num>
  <w:num w:numId="22">
    <w:abstractNumId w:val="29"/>
  </w:num>
  <w:num w:numId="23">
    <w:abstractNumId w:val="28"/>
  </w:num>
  <w:num w:numId="24">
    <w:abstractNumId w:val="9"/>
  </w:num>
  <w:num w:numId="25">
    <w:abstractNumId w:val="21"/>
  </w:num>
  <w:num w:numId="26">
    <w:abstractNumId w:val="19"/>
  </w:num>
  <w:num w:numId="27">
    <w:abstractNumId w:val="4"/>
  </w:num>
  <w:num w:numId="28">
    <w:abstractNumId w:val="12"/>
  </w:num>
  <w:num w:numId="29">
    <w:abstractNumId w:val="14"/>
  </w:num>
  <w:num w:numId="30">
    <w:abstractNumId w:val="8"/>
  </w:num>
  <w:num w:numId="31">
    <w:abstractNumId w:val="27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FA"/>
    <w:rsid w:val="00010E2D"/>
    <w:rsid w:val="00016C33"/>
    <w:rsid w:val="00021889"/>
    <w:rsid w:val="00022007"/>
    <w:rsid w:val="00026C1D"/>
    <w:rsid w:val="0002709D"/>
    <w:rsid w:val="00030AD9"/>
    <w:rsid w:val="00030CE1"/>
    <w:rsid w:val="000332EE"/>
    <w:rsid w:val="00037A19"/>
    <w:rsid w:val="0004560E"/>
    <w:rsid w:val="0004584E"/>
    <w:rsid w:val="00050378"/>
    <w:rsid w:val="00050486"/>
    <w:rsid w:val="00053FD1"/>
    <w:rsid w:val="000562CD"/>
    <w:rsid w:val="00057CCA"/>
    <w:rsid w:val="000651A1"/>
    <w:rsid w:val="00073C97"/>
    <w:rsid w:val="00091853"/>
    <w:rsid w:val="000B6251"/>
    <w:rsid w:val="000B7AAB"/>
    <w:rsid w:val="000C441A"/>
    <w:rsid w:val="000C5C73"/>
    <w:rsid w:val="000D089A"/>
    <w:rsid w:val="000D0F4C"/>
    <w:rsid w:val="000E0AC3"/>
    <w:rsid w:val="000E191A"/>
    <w:rsid w:val="000E6D09"/>
    <w:rsid w:val="000F3520"/>
    <w:rsid w:val="000F6D04"/>
    <w:rsid w:val="00111A9F"/>
    <w:rsid w:val="00123812"/>
    <w:rsid w:val="00123F5A"/>
    <w:rsid w:val="001266E4"/>
    <w:rsid w:val="00130513"/>
    <w:rsid w:val="00130E00"/>
    <w:rsid w:val="00137561"/>
    <w:rsid w:val="00140BE0"/>
    <w:rsid w:val="001416A7"/>
    <w:rsid w:val="00164E9B"/>
    <w:rsid w:val="00174C22"/>
    <w:rsid w:val="001775EB"/>
    <w:rsid w:val="0019489F"/>
    <w:rsid w:val="001A060F"/>
    <w:rsid w:val="001A59CD"/>
    <w:rsid w:val="001B06F7"/>
    <w:rsid w:val="001C1C1E"/>
    <w:rsid w:val="001C5665"/>
    <w:rsid w:val="001D22DC"/>
    <w:rsid w:val="001E1A46"/>
    <w:rsid w:val="001E779F"/>
    <w:rsid w:val="001F5EC6"/>
    <w:rsid w:val="001F65E2"/>
    <w:rsid w:val="0020494A"/>
    <w:rsid w:val="00210F75"/>
    <w:rsid w:val="00211754"/>
    <w:rsid w:val="002141E9"/>
    <w:rsid w:val="0021456E"/>
    <w:rsid w:val="00216716"/>
    <w:rsid w:val="00225AE4"/>
    <w:rsid w:val="00227153"/>
    <w:rsid w:val="002303F1"/>
    <w:rsid w:val="00234C98"/>
    <w:rsid w:val="0023510C"/>
    <w:rsid w:val="002421FC"/>
    <w:rsid w:val="00256261"/>
    <w:rsid w:val="002620FF"/>
    <w:rsid w:val="0026410C"/>
    <w:rsid w:val="00270111"/>
    <w:rsid w:val="002730F0"/>
    <w:rsid w:val="00273EEF"/>
    <w:rsid w:val="00281D7D"/>
    <w:rsid w:val="00284C70"/>
    <w:rsid w:val="0028501B"/>
    <w:rsid w:val="00286299"/>
    <w:rsid w:val="00286C9E"/>
    <w:rsid w:val="00292FB6"/>
    <w:rsid w:val="002A14C0"/>
    <w:rsid w:val="002B2D29"/>
    <w:rsid w:val="002B49F0"/>
    <w:rsid w:val="002B66A9"/>
    <w:rsid w:val="002D1C42"/>
    <w:rsid w:val="002D22B1"/>
    <w:rsid w:val="002D28C9"/>
    <w:rsid w:val="002D3C4E"/>
    <w:rsid w:val="002D55C9"/>
    <w:rsid w:val="002E3801"/>
    <w:rsid w:val="002F2907"/>
    <w:rsid w:val="002F4602"/>
    <w:rsid w:val="00300295"/>
    <w:rsid w:val="003029BA"/>
    <w:rsid w:val="003038CC"/>
    <w:rsid w:val="00326173"/>
    <w:rsid w:val="00331221"/>
    <w:rsid w:val="00333656"/>
    <w:rsid w:val="00343A24"/>
    <w:rsid w:val="00343FD7"/>
    <w:rsid w:val="00362203"/>
    <w:rsid w:val="00365016"/>
    <w:rsid w:val="003668C6"/>
    <w:rsid w:val="003800E9"/>
    <w:rsid w:val="003A2C13"/>
    <w:rsid w:val="003B1880"/>
    <w:rsid w:val="003B2037"/>
    <w:rsid w:val="003B6D72"/>
    <w:rsid w:val="003E08F0"/>
    <w:rsid w:val="003E7BF9"/>
    <w:rsid w:val="003F4232"/>
    <w:rsid w:val="003F786D"/>
    <w:rsid w:val="00413211"/>
    <w:rsid w:val="004142C8"/>
    <w:rsid w:val="00422112"/>
    <w:rsid w:val="004369F1"/>
    <w:rsid w:val="00437D77"/>
    <w:rsid w:val="0044258A"/>
    <w:rsid w:val="00445CCC"/>
    <w:rsid w:val="00453C5E"/>
    <w:rsid w:val="0046239A"/>
    <w:rsid w:val="004714CD"/>
    <w:rsid w:val="00474FE8"/>
    <w:rsid w:val="004751A1"/>
    <w:rsid w:val="00483FA4"/>
    <w:rsid w:val="004841D6"/>
    <w:rsid w:val="00485042"/>
    <w:rsid w:val="00491073"/>
    <w:rsid w:val="0049143F"/>
    <w:rsid w:val="004914CB"/>
    <w:rsid w:val="00491D7E"/>
    <w:rsid w:val="004A0B14"/>
    <w:rsid w:val="004B1BA9"/>
    <w:rsid w:val="004B2A45"/>
    <w:rsid w:val="004C0B5E"/>
    <w:rsid w:val="004C508D"/>
    <w:rsid w:val="004D4110"/>
    <w:rsid w:val="004D4EB2"/>
    <w:rsid w:val="004D6ABB"/>
    <w:rsid w:val="004E2DBC"/>
    <w:rsid w:val="004E467F"/>
    <w:rsid w:val="004E7F22"/>
    <w:rsid w:val="004F3BE6"/>
    <w:rsid w:val="00501CC3"/>
    <w:rsid w:val="00512663"/>
    <w:rsid w:val="00516199"/>
    <w:rsid w:val="005301C4"/>
    <w:rsid w:val="0053496A"/>
    <w:rsid w:val="00537F54"/>
    <w:rsid w:val="00540B1D"/>
    <w:rsid w:val="00540EF8"/>
    <w:rsid w:val="00542C7B"/>
    <w:rsid w:val="005513D3"/>
    <w:rsid w:val="00552771"/>
    <w:rsid w:val="00554562"/>
    <w:rsid w:val="005650EB"/>
    <w:rsid w:val="00575901"/>
    <w:rsid w:val="00581E16"/>
    <w:rsid w:val="00595476"/>
    <w:rsid w:val="00597367"/>
    <w:rsid w:val="005A4FB7"/>
    <w:rsid w:val="005B19F4"/>
    <w:rsid w:val="005C5A3C"/>
    <w:rsid w:val="005D4647"/>
    <w:rsid w:val="005D46E8"/>
    <w:rsid w:val="005D6B8A"/>
    <w:rsid w:val="005F2F63"/>
    <w:rsid w:val="00604B1D"/>
    <w:rsid w:val="00611858"/>
    <w:rsid w:val="00613CAE"/>
    <w:rsid w:val="00620C41"/>
    <w:rsid w:val="006238E1"/>
    <w:rsid w:val="0063647B"/>
    <w:rsid w:val="0064297C"/>
    <w:rsid w:val="00651FBD"/>
    <w:rsid w:val="00652947"/>
    <w:rsid w:val="00662484"/>
    <w:rsid w:val="0066279A"/>
    <w:rsid w:val="00662E22"/>
    <w:rsid w:val="00664CCA"/>
    <w:rsid w:val="00665E3F"/>
    <w:rsid w:val="0066768D"/>
    <w:rsid w:val="00680B3C"/>
    <w:rsid w:val="006A028C"/>
    <w:rsid w:val="006B66A5"/>
    <w:rsid w:val="006C21C9"/>
    <w:rsid w:val="006D07BC"/>
    <w:rsid w:val="006E044B"/>
    <w:rsid w:val="006E6AFF"/>
    <w:rsid w:val="006E6D17"/>
    <w:rsid w:val="006F6917"/>
    <w:rsid w:val="00703552"/>
    <w:rsid w:val="0070436A"/>
    <w:rsid w:val="0070737A"/>
    <w:rsid w:val="007075A1"/>
    <w:rsid w:val="00717578"/>
    <w:rsid w:val="007209C7"/>
    <w:rsid w:val="00720A7D"/>
    <w:rsid w:val="007212B4"/>
    <w:rsid w:val="00722EB2"/>
    <w:rsid w:val="007236BA"/>
    <w:rsid w:val="00741AC4"/>
    <w:rsid w:val="007528F4"/>
    <w:rsid w:val="00754E6C"/>
    <w:rsid w:val="007575C9"/>
    <w:rsid w:val="0077022E"/>
    <w:rsid w:val="007722E9"/>
    <w:rsid w:val="00774119"/>
    <w:rsid w:val="007850C8"/>
    <w:rsid w:val="00792694"/>
    <w:rsid w:val="007972DE"/>
    <w:rsid w:val="00797BF9"/>
    <w:rsid w:val="00797E74"/>
    <w:rsid w:val="007B5D16"/>
    <w:rsid w:val="007B62E4"/>
    <w:rsid w:val="007C05E3"/>
    <w:rsid w:val="007C2204"/>
    <w:rsid w:val="007C5834"/>
    <w:rsid w:val="007D36FE"/>
    <w:rsid w:val="007D7781"/>
    <w:rsid w:val="007E3BE7"/>
    <w:rsid w:val="007F1584"/>
    <w:rsid w:val="007F5CDA"/>
    <w:rsid w:val="008029DB"/>
    <w:rsid w:val="008066A8"/>
    <w:rsid w:val="008126D9"/>
    <w:rsid w:val="00812FBD"/>
    <w:rsid w:val="00814627"/>
    <w:rsid w:val="00815E30"/>
    <w:rsid w:val="00824994"/>
    <w:rsid w:val="00830B2D"/>
    <w:rsid w:val="00836D3B"/>
    <w:rsid w:val="00840DEE"/>
    <w:rsid w:val="00847B80"/>
    <w:rsid w:val="00850A32"/>
    <w:rsid w:val="00850B00"/>
    <w:rsid w:val="008521AA"/>
    <w:rsid w:val="008522D7"/>
    <w:rsid w:val="00864C22"/>
    <w:rsid w:val="008675A1"/>
    <w:rsid w:val="008675D2"/>
    <w:rsid w:val="0086791E"/>
    <w:rsid w:val="0087214F"/>
    <w:rsid w:val="00883C24"/>
    <w:rsid w:val="00885E47"/>
    <w:rsid w:val="008952F9"/>
    <w:rsid w:val="00896FF8"/>
    <w:rsid w:val="008B13C6"/>
    <w:rsid w:val="008B4801"/>
    <w:rsid w:val="008B4D5C"/>
    <w:rsid w:val="008C27C0"/>
    <w:rsid w:val="008C4DC2"/>
    <w:rsid w:val="008C7664"/>
    <w:rsid w:val="008D0BB9"/>
    <w:rsid w:val="008D0D65"/>
    <w:rsid w:val="008F07A6"/>
    <w:rsid w:val="008F3BFA"/>
    <w:rsid w:val="008F6078"/>
    <w:rsid w:val="00901FF2"/>
    <w:rsid w:val="009023AA"/>
    <w:rsid w:val="00904D5E"/>
    <w:rsid w:val="0090665F"/>
    <w:rsid w:val="00923865"/>
    <w:rsid w:val="009352E5"/>
    <w:rsid w:val="00943A85"/>
    <w:rsid w:val="00945F37"/>
    <w:rsid w:val="00954FB3"/>
    <w:rsid w:val="009567E9"/>
    <w:rsid w:val="00964C41"/>
    <w:rsid w:val="0096690C"/>
    <w:rsid w:val="00970FD4"/>
    <w:rsid w:val="00973F01"/>
    <w:rsid w:val="00974371"/>
    <w:rsid w:val="009754A8"/>
    <w:rsid w:val="0098745E"/>
    <w:rsid w:val="0099491A"/>
    <w:rsid w:val="009A4B67"/>
    <w:rsid w:val="009A71E5"/>
    <w:rsid w:val="009B2EDA"/>
    <w:rsid w:val="009B567C"/>
    <w:rsid w:val="009C11A8"/>
    <w:rsid w:val="009D1A5C"/>
    <w:rsid w:val="009D3ABB"/>
    <w:rsid w:val="009E3F4F"/>
    <w:rsid w:val="009E7FA0"/>
    <w:rsid w:val="009F00B6"/>
    <w:rsid w:val="00A01C9F"/>
    <w:rsid w:val="00A0490F"/>
    <w:rsid w:val="00A11E33"/>
    <w:rsid w:val="00A1280E"/>
    <w:rsid w:val="00A14AE2"/>
    <w:rsid w:val="00A155E7"/>
    <w:rsid w:val="00A216D2"/>
    <w:rsid w:val="00A564CD"/>
    <w:rsid w:val="00A670EB"/>
    <w:rsid w:val="00A735D0"/>
    <w:rsid w:val="00A756B4"/>
    <w:rsid w:val="00A944BA"/>
    <w:rsid w:val="00A973BC"/>
    <w:rsid w:val="00A97E69"/>
    <w:rsid w:val="00AA71F6"/>
    <w:rsid w:val="00AB4F78"/>
    <w:rsid w:val="00AD05A3"/>
    <w:rsid w:val="00AE2BFC"/>
    <w:rsid w:val="00AE364E"/>
    <w:rsid w:val="00AE64A3"/>
    <w:rsid w:val="00AE6D5C"/>
    <w:rsid w:val="00AE7B58"/>
    <w:rsid w:val="00AF196F"/>
    <w:rsid w:val="00AF698D"/>
    <w:rsid w:val="00B02EDE"/>
    <w:rsid w:val="00B10458"/>
    <w:rsid w:val="00B30B78"/>
    <w:rsid w:val="00B32BC9"/>
    <w:rsid w:val="00B3308B"/>
    <w:rsid w:val="00B44BB4"/>
    <w:rsid w:val="00B464C7"/>
    <w:rsid w:val="00B46742"/>
    <w:rsid w:val="00B517FA"/>
    <w:rsid w:val="00B53C65"/>
    <w:rsid w:val="00B5599E"/>
    <w:rsid w:val="00B627EB"/>
    <w:rsid w:val="00B816C3"/>
    <w:rsid w:val="00B9046D"/>
    <w:rsid w:val="00B906F1"/>
    <w:rsid w:val="00BA4433"/>
    <w:rsid w:val="00BB0611"/>
    <w:rsid w:val="00BC44E7"/>
    <w:rsid w:val="00BD278B"/>
    <w:rsid w:val="00BE58EF"/>
    <w:rsid w:val="00BE7DEF"/>
    <w:rsid w:val="00BF19F1"/>
    <w:rsid w:val="00BF2B38"/>
    <w:rsid w:val="00BF3B3A"/>
    <w:rsid w:val="00BF4AEB"/>
    <w:rsid w:val="00BF50DC"/>
    <w:rsid w:val="00C01950"/>
    <w:rsid w:val="00C16521"/>
    <w:rsid w:val="00C21E64"/>
    <w:rsid w:val="00C2258E"/>
    <w:rsid w:val="00C279C5"/>
    <w:rsid w:val="00C40539"/>
    <w:rsid w:val="00C47186"/>
    <w:rsid w:val="00C52725"/>
    <w:rsid w:val="00C52E89"/>
    <w:rsid w:val="00C55AD7"/>
    <w:rsid w:val="00C56CF9"/>
    <w:rsid w:val="00C619D2"/>
    <w:rsid w:val="00C6347A"/>
    <w:rsid w:val="00C636A6"/>
    <w:rsid w:val="00C67E52"/>
    <w:rsid w:val="00C706F0"/>
    <w:rsid w:val="00C84C8F"/>
    <w:rsid w:val="00C91729"/>
    <w:rsid w:val="00C97A8C"/>
    <w:rsid w:val="00CA522A"/>
    <w:rsid w:val="00CB042F"/>
    <w:rsid w:val="00CB0669"/>
    <w:rsid w:val="00CB777F"/>
    <w:rsid w:val="00CC635E"/>
    <w:rsid w:val="00CD1127"/>
    <w:rsid w:val="00CD1A98"/>
    <w:rsid w:val="00CD2C51"/>
    <w:rsid w:val="00CD352C"/>
    <w:rsid w:val="00CD7FAD"/>
    <w:rsid w:val="00CE24CB"/>
    <w:rsid w:val="00CE53D7"/>
    <w:rsid w:val="00CE6D39"/>
    <w:rsid w:val="00D031FB"/>
    <w:rsid w:val="00D05D9C"/>
    <w:rsid w:val="00D11A98"/>
    <w:rsid w:val="00D15DA5"/>
    <w:rsid w:val="00D2085B"/>
    <w:rsid w:val="00D226DD"/>
    <w:rsid w:val="00D23A6C"/>
    <w:rsid w:val="00D2499B"/>
    <w:rsid w:val="00D26FA2"/>
    <w:rsid w:val="00D27EC1"/>
    <w:rsid w:val="00D404D9"/>
    <w:rsid w:val="00D41FFB"/>
    <w:rsid w:val="00D63B95"/>
    <w:rsid w:val="00D67774"/>
    <w:rsid w:val="00D73E8D"/>
    <w:rsid w:val="00D90F76"/>
    <w:rsid w:val="00D94AC9"/>
    <w:rsid w:val="00DA2EF8"/>
    <w:rsid w:val="00DA2F52"/>
    <w:rsid w:val="00DA6C7E"/>
    <w:rsid w:val="00DB48C4"/>
    <w:rsid w:val="00DB6BD4"/>
    <w:rsid w:val="00DC0076"/>
    <w:rsid w:val="00DC16F9"/>
    <w:rsid w:val="00DC7D81"/>
    <w:rsid w:val="00DD3EF2"/>
    <w:rsid w:val="00DD4FAA"/>
    <w:rsid w:val="00DD549B"/>
    <w:rsid w:val="00DE2A27"/>
    <w:rsid w:val="00DE39A1"/>
    <w:rsid w:val="00DF13FD"/>
    <w:rsid w:val="00DF1FF5"/>
    <w:rsid w:val="00DF33E0"/>
    <w:rsid w:val="00E015C3"/>
    <w:rsid w:val="00E03378"/>
    <w:rsid w:val="00E106CC"/>
    <w:rsid w:val="00E10742"/>
    <w:rsid w:val="00E2404B"/>
    <w:rsid w:val="00E51690"/>
    <w:rsid w:val="00E5775E"/>
    <w:rsid w:val="00E75198"/>
    <w:rsid w:val="00E80331"/>
    <w:rsid w:val="00E836AC"/>
    <w:rsid w:val="00E83A5A"/>
    <w:rsid w:val="00EB68C9"/>
    <w:rsid w:val="00ED5873"/>
    <w:rsid w:val="00EE1753"/>
    <w:rsid w:val="00EF076A"/>
    <w:rsid w:val="00EF3B94"/>
    <w:rsid w:val="00EF4363"/>
    <w:rsid w:val="00F215D9"/>
    <w:rsid w:val="00F21968"/>
    <w:rsid w:val="00F23A80"/>
    <w:rsid w:val="00F30A97"/>
    <w:rsid w:val="00F347EE"/>
    <w:rsid w:val="00F37A07"/>
    <w:rsid w:val="00F40C04"/>
    <w:rsid w:val="00F43A5A"/>
    <w:rsid w:val="00F505AE"/>
    <w:rsid w:val="00F5303D"/>
    <w:rsid w:val="00F5312E"/>
    <w:rsid w:val="00F544C1"/>
    <w:rsid w:val="00F56EAD"/>
    <w:rsid w:val="00F615DD"/>
    <w:rsid w:val="00F629A3"/>
    <w:rsid w:val="00F64711"/>
    <w:rsid w:val="00F66C2A"/>
    <w:rsid w:val="00F94599"/>
    <w:rsid w:val="00F95FE3"/>
    <w:rsid w:val="00FB28EF"/>
    <w:rsid w:val="00FB7568"/>
    <w:rsid w:val="00FC0C4B"/>
    <w:rsid w:val="00FC511D"/>
    <w:rsid w:val="00FC5BD7"/>
    <w:rsid w:val="00FC6996"/>
    <w:rsid w:val="00FE187E"/>
    <w:rsid w:val="00FE1912"/>
    <w:rsid w:val="00FE5A79"/>
    <w:rsid w:val="00FE5BB5"/>
    <w:rsid w:val="00FF5DC0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3EF64C"/>
  <w15:chartTrackingRefBased/>
  <w15:docId w15:val="{5924C077-3F20-46D0-8F63-B1F300D7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111,Section,Section Heading,level2 hdg"/>
    <w:basedOn w:val="a"/>
    <w:next w:val="20"/>
    <w:link w:val="10"/>
    <w:qFormat/>
    <w:rsid w:val="00EB68C9"/>
    <w:pPr>
      <w:keepNext/>
      <w:pageBreakBefore/>
      <w:spacing w:before="240" w:after="240"/>
      <w:outlineLvl w:val="0"/>
    </w:pPr>
    <w:rPr>
      <w:b/>
      <w:kern w:val="28"/>
      <w:sz w:val="28"/>
      <w:szCs w:val="20"/>
      <w:lang w:eastAsia="en-US"/>
    </w:rPr>
  </w:style>
  <w:style w:type="paragraph" w:styleId="20">
    <w:name w:val="heading 2"/>
    <w:aliases w:val="Заголовок пункта (1.1),h2,h21,5,Reset numbering,222"/>
    <w:basedOn w:val="a"/>
    <w:link w:val="21"/>
    <w:qFormat/>
    <w:rsid w:val="00B517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aliases w:val="H3,Заголовок подпукта (1.1.1),Level 1 - 1"/>
    <w:basedOn w:val="a"/>
    <w:next w:val="a"/>
    <w:link w:val="30"/>
    <w:unhideWhenUsed/>
    <w:qFormat/>
    <w:rsid w:val="00B51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aliases w:val="H4,H41,Sub-Minor,Level 2 - a"/>
    <w:basedOn w:val="a"/>
    <w:next w:val="a"/>
    <w:link w:val="40"/>
    <w:unhideWhenUsed/>
    <w:qFormat/>
    <w:rsid w:val="00B517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EB68C9"/>
    <w:p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link w:val="60"/>
    <w:qFormat/>
    <w:rsid w:val="00EB68C9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qFormat/>
    <w:rsid w:val="00EB68C9"/>
    <w:p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aliases w:val="Legal Level 1.1.1."/>
    <w:basedOn w:val="a"/>
    <w:next w:val="a"/>
    <w:link w:val="80"/>
    <w:qFormat/>
    <w:rsid w:val="00EB68C9"/>
    <w:p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aliases w:val="Legal Level 1.1.1.1."/>
    <w:basedOn w:val="a"/>
    <w:next w:val="a"/>
    <w:link w:val="90"/>
    <w:qFormat/>
    <w:rsid w:val="00EB68C9"/>
    <w:p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aliases w:val="Заголовок пункта (1.1) Знак,h2 Знак,h21 Знак,5 Знак,Reset numbering Знак,222 Знак"/>
    <w:basedOn w:val="a0"/>
    <w:link w:val="20"/>
    <w:uiPriority w:val="9"/>
    <w:rsid w:val="00B51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H3 Знак,Заголовок подпукта (1.1.1) Знак,Level 1 - 1 Знак"/>
    <w:basedOn w:val="a0"/>
    <w:link w:val="3"/>
    <w:uiPriority w:val="9"/>
    <w:rsid w:val="00B517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uiPriority w:val="9"/>
    <w:semiHidden/>
    <w:rsid w:val="00B517F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517FA"/>
    <w:pPr>
      <w:ind w:left="720"/>
      <w:contextualSpacing/>
    </w:pPr>
  </w:style>
  <w:style w:type="character" w:styleId="a4">
    <w:name w:val="annotation reference"/>
    <w:rsid w:val="00B517FA"/>
    <w:rPr>
      <w:rFonts w:cs="Times New Roman"/>
      <w:sz w:val="16"/>
      <w:szCs w:val="16"/>
    </w:rPr>
  </w:style>
  <w:style w:type="paragraph" w:styleId="a5">
    <w:name w:val="annotation text"/>
    <w:basedOn w:val="a"/>
    <w:link w:val="a6"/>
    <w:rsid w:val="00B517F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51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517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517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51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7F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B517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aliases w:val="body text"/>
    <w:basedOn w:val="a"/>
    <w:link w:val="ac"/>
    <w:uiPriority w:val="99"/>
    <w:unhideWhenUsed/>
    <w:rsid w:val="00A0490F"/>
    <w:pPr>
      <w:spacing w:after="120"/>
    </w:pPr>
  </w:style>
  <w:style w:type="character" w:customStyle="1" w:styleId="ac">
    <w:name w:val="Основной текст Знак"/>
    <w:aliases w:val="body text Знак"/>
    <w:basedOn w:val="a0"/>
    <w:link w:val="ab"/>
    <w:uiPriority w:val="99"/>
    <w:rsid w:val="00A04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rsid w:val="001416A7"/>
    <w:pPr>
      <w:spacing w:before="240" w:line="360" w:lineRule="auto"/>
    </w:pPr>
    <w:rPr>
      <w:b/>
      <w:bCs/>
      <w:sz w:val="20"/>
      <w:szCs w:val="20"/>
      <w:lang w:eastAsia="en-US"/>
    </w:rPr>
  </w:style>
  <w:style w:type="character" w:styleId="ad">
    <w:name w:val="Hyperlink"/>
    <w:uiPriority w:val="99"/>
    <w:rsid w:val="001416A7"/>
    <w:rPr>
      <w:rFonts w:cs="Times New Roman"/>
      <w:b/>
      <w:bCs/>
      <w:color w:val="690000"/>
      <w:sz w:val="14"/>
      <w:szCs w:val="14"/>
      <w:u w:val="none"/>
      <w:effect w:val="none"/>
    </w:rPr>
  </w:style>
  <w:style w:type="paragraph" w:styleId="31">
    <w:name w:val="toc 3"/>
    <w:basedOn w:val="a"/>
    <w:next w:val="a"/>
    <w:autoRedefine/>
    <w:uiPriority w:val="39"/>
    <w:unhideWhenUsed/>
    <w:rsid w:val="001416A7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1416A7"/>
    <w:pPr>
      <w:spacing w:after="100"/>
    </w:pPr>
  </w:style>
  <w:style w:type="paragraph" w:customStyle="1" w:styleId="subsubclauseindent">
    <w:name w:val="subsubclauseindent"/>
    <w:basedOn w:val="a"/>
    <w:uiPriority w:val="99"/>
    <w:rsid w:val="00D2085B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E836AC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E836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4E7F2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E7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E7F2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E7F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"/>
    <w:basedOn w:val="a0"/>
    <w:link w:val="1"/>
    <w:rsid w:val="00EB68C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sid w:val="00EB68C9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0"/>
    <w:link w:val="6"/>
    <w:rsid w:val="00EB68C9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sid w:val="00EB68C9"/>
    <w:rPr>
      <w:rFonts w:ascii="Garamond" w:eastAsia="Times New Roman" w:hAnsi="Garamond" w:cs="Times New Roman"/>
      <w:szCs w:val="20"/>
    </w:rPr>
  </w:style>
  <w:style w:type="character" w:customStyle="1" w:styleId="80">
    <w:name w:val="Заголовок 8 Знак"/>
    <w:aliases w:val="Legal Level 1.1.1. Знак"/>
    <w:basedOn w:val="a0"/>
    <w:link w:val="8"/>
    <w:rsid w:val="00EB68C9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aliases w:val="Legal Level 1.1.1.1. Знак"/>
    <w:basedOn w:val="a0"/>
    <w:link w:val="9"/>
    <w:rsid w:val="00EB68C9"/>
    <w:rPr>
      <w:rFonts w:ascii="Arial" w:eastAsia="Times New Roman" w:hAnsi="Arial" w:cs="Times New Roman"/>
      <w:i/>
      <w:sz w:val="18"/>
      <w:szCs w:val="20"/>
    </w:rPr>
  </w:style>
  <w:style w:type="paragraph" w:styleId="61">
    <w:name w:val="toc 6"/>
    <w:basedOn w:val="a"/>
    <w:next w:val="a"/>
    <w:semiHidden/>
    <w:rsid w:val="00E03378"/>
    <w:pPr>
      <w:ind w:left="1100"/>
    </w:pPr>
    <w:rPr>
      <w:sz w:val="18"/>
      <w:szCs w:val="20"/>
      <w:lang w:eastAsia="en-US"/>
    </w:rPr>
  </w:style>
  <w:style w:type="paragraph" w:styleId="71">
    <w:name w:val="toc 7"/>
    <w:basedOn w:val="a"/>
    <w:next w:val="a"/>
    <w:semiHidden/>
    <w:rsid w:val="00C84C8F"/>
    <w:pPr>
      <w:ind w:left="1320"/>
    </w:pPr>
    <w:rPr>
      <w:sz w:val="18"/>
      <w:szCs w:val="20"/>
      <w:lang w:eastAsia="en-US"/>
    </w:rPr>
  </w:style>
  <w:style w:type="paragraph" w:customStyle="1" w:styleId="af4">
    <w:name w:val="Юристы Знак"/>
    <w:basedOn w:val="32"/>
    <w:rsid w:val="00B906F1"/>
    <w:pPr>
      <w:spacing w:before="120" w:after="0"/>
      <w:ind w:left="0"/>
      <w:jc w:val="both"/>
    </w:pPr>
    <w:rPr>
      <w:sz w:val="22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B906F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6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Стиль1"/>
    <w:basedOn w:val="a"/>
    <w:rsid w:val="00DC16F9"/>
    <w:pPr>
      <w:spacing w:before="120"/>
      <w:jc w:val="both"/>
    </w:pPr>
  </w:style>
  <w:style w:type="paragraph" w:styleId="af5">
    <w:name w:val="Title"/>
    <w:basedOn w:val="a"/>
    <w:link w:val="af6"/>
    <w:qFormat/>
    <w:rsid w:val="006C21C9"/>
    <w:pPr>
      <w:spacing w:before="120"/>
      <w:jc w:val="center"/>
    </w:pPr>
    <w:rPr>
      <w:rFonts w:ascii="Garamond" w:hAnsi="Garamond"/>
      <w:b/>
      <w:bCs/>
      <w:sz w:val="32"/>
    </w:rPr>
  </w:style>
  <w:style w:type="character" w:customStyle="1" w:styleId="af6">
    <w:name w:val="Название Знак"/>
    <w:basedOn w:val="a0"/>
    <w:link w:val="af5"/>
    <w:rsid w:val="006C21C9"/>
    <w:rPr>
      <w:rFonts w:ascii="Garamond" w:eastAsia="Times New Roman" w:hAnsi="Garamond" w:cs="Times New Roman"/>
      <w:b/>
      <w:bCs/>
      <w:sz w:val="32"/>
      <w:szCs w:val="24"/>
      <w:lang w:eastAsia="ru-RU"/>
    </w:rPr>
  </w:style>
  <w:style w:type="paragraph" w:styleId="34">
    <w:name w:val="Body Text 3"/>
    <w:basedOn w:val="a"/>
    <w:link w:val="35"/>
    <w:rsid w:val="00A735D0"/>
    <w:pPr>
      <w:spacing w:before="180" w:after="60"/>
    </w:pPr>
    <w:rPr>
      <w:rFonts w:ascii="Garamond" w:hAnsi="Garamond"/>
      <w:b/>
      <w:sz w:val="22"/>
      <w:szCs w:val="20"/>
      <w:lang w:eastAsia="en-US"/>
    </w:rPr>
  </w:style>
  <w:style w:type="character" w:customStyle="1" w:styleId="35">
    <w:name w:val="Основной текст 3 Знак"/>
    <w:basedOn w:val="a0"/>
    <w:link w:val="34"/>
    <w:rsid w:val="00A735D0"/>
    <w:rPr>
      <w:rFonts w:ascii="Garamond" w:eastAsia="Times New Roman" w:hAnsi="Garamond" w:cs="Times New Roman"/>
      <w:b/>
      <w:szCs w:val="20"/>
    </w:rPr>
  </w:style>
  <w:style w:type="paragraph" w:styleId="23">
    <w:name w:val="Body Text Indent 2"/>
    <w:basedOn w:val="a"/>
    <w:link w:val="24"/>
    <w:rsid w:val="00F64711"/>
    <w:pPr>
      <w:spacing w:before="120"/>
      <w:ind w:firstLine="720"/>
      <w:jc w:val="both"/>
    </w:pPr>
    <w:rPr>
      <w:rFonts w:ascii="Garamond" w:hAnsi="Garamond"/>
      <w:i/>
      <w:iCs/>
      <w:sz w:val="22"/>
      <w:szCs w:val="20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F64711"/>
    <w:rPr>
      <w:rFonts w:ascii="Garamond" w:eastAsia="Times New Roman" w:hAnsi="Garamond" w:cs="Times New Roman"/>
      <w:i/>
      <w:iCs/>
      <w:szCs w:val="20"/>
    </w:rPr>
  </w:style>
  <w:style w:type="character" w:styleId="af7">
    <w:name w:val="Emphasis"/>
    <w:basedOn w:val="a0"/>
    <w:qFormat/>
    <w:rsid w:val="00720A7D"/>
    <w:rPr>
      <w:i/>
      <w:iCs/>
    </w:rPr>
  </w:style>
  <w:style w:type="paragraph" w:customStyle="1" w:styleId="ConsPlusTitle">
    <w:name w:val="ConsPlusTitle"/>
    <w:rsid w:val="007C2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footnote text"/>
    <w:basedOn w:val="a"/>
    <w:link w:val="af9"/>
    <w:semiHidden/>
    <w:rsid w:val="004714CD"/>
    <w:pPr>
      <w:spacing w:before="180" w:after="60"/>
    </w:pPr>
    <w:rPr>
      <w:rFonts w:ascii="Garamond" w:hAnsi="Garamond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semiHidden/>
    <w:rsid w:val="004714CD"/>
    <w:rPr>
      <w:rFonts w:ascii="Garamond" w:eastAsia="Times New Roman" w:hAnsi="Garamond" w:cs="Times New Roman"/>
      <w:sz w:val="20"/>
      <w:szCs w:val="20"/>
    </w:rPr>
  </w:style>
  <w:style w:type="character" w:styleId="afa">
    <w:name w:val="footnote reference"/>
    <w:basedOn w:val="a0"/>
    <w:semiHidden/>
    <w:rsid w:val="004714CD"/>
    <w:rPr>
      <w:vertAlign w:val="superscript"/>
    </w:rPr>
  </w:style>
  <w:style w:type="paragraph" w:styleId="afb">
    <w:name w:val="Revision"/>
    <w:hidden/>
    <w:uiPriority w:val="99"/>
    <w:semiHidden/>
    <w:rsid w:val="00C40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18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Number 2"/>
    <w:basedOn w:val="a"/>
    <w:rsid w:val="00FE5A79"/>
    <w:pPr>
      <w:keepNext/>
      <w:keepLines/>
      <w:numPr>
        <w:numId w:val="33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F4BD-E90D-4743-96D6-20B8E47E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13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31798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Гирина Марина Владимировна</cp:lastModifiedBy>
  <cp:revision>40</cp:revision>
  <dcterms:created xsi:type="dcterms:W3CDTF">2021-05-28T13:17:00Z</dcterms:created>
  <dcterms:modified xsi:type="dcterms:W3CDTF">2021-06-22T04:42:00Z</dcterms:modified>
</cp:coreProperties>
</file>