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D7" w:rsidRPr="005803D7" w:rsidRDefault="005803D7" w:rsidP="005803D7">
      <w:pPr>
        <w:widowControl w:val="0"/>
        <w:jc w:val="both"/>
        <w:rPr>
          <w:rFonts w:ascii="Garamond" w:hAnsi="Garamond"/>
          <w:b/>
          <w:sz w:val="28"/>
          <w:szCs w:val="28"/>
        </w:rPr>
      </w:pPr>
      <w:r w:rsidRPr="005803D7">
        <w:rPr>
          <w:rFonts w:ascii="Garamond" w:hAnsi="Garamond"/>
          <w:b/>
          <w:sz w:val="28"/>
          <w:szCs w:val="28"/>
        </w:rPr>
        <w:t xml:space="preserve">Вопрос 5. О продлении изменений, связанных с </w:t>
      </w:r>
      <w:r>
        <w:rPr>
          <w:rFonts w:ascii="Garamond" w:hAnsi="Garamond"/>
          <w:b/>
          <w:sz w:val="28"/>
          <w:szCs w:val="28"/>
        </w:rPr>
        <w:t>расчетом неустойки в отношении организации, осуществляющей экспортно-импортные операции</w:t>
      </w:r>
    </w:p>
    <w:p w:rsidR="005803D7" w:rsidRPr="005803D7" w:rsidRDefault="005803D7" w:rsidP="005803D7">
      <w:pPr>
        <w:widowControl w:val="0"/>
        <w:jc w:val="both"/>
        <w:rPr>
          <w:rFonts w:ascii="Garamond" w:hAnsi="Garamond"/>
          <w:b/>
          <w:sz w:val="28"/>
          <w:szCs w:val="28"/>
        </w:rPr>
      </w:pPr>
    </w:p>
    <w:p w:rsidR="005803D7" w:rsidRPr="005803D7" w:rsidRDefault="005803D7" w:rsidP="005803D7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5803D7"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</w:rPr>
        <w:t>5</w:t>
      </w:r>
    </w:p>
    <w:p w:rsidR="005803D7" w:rsidRPr="00DE5A50" w:rsidRDefault="005803D7" w:rsidP="005803D7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  <w:r w:rsidRPr="00DE5A50">
        <w:rPr>
          <w:rFonts w:ascii="Garamond" w:hAnsi="Garamond"/>
          <w:b/>
          <w:sz w:val="24"/>
          <w:szCs w:val="24"/>
        </w:rPr>
        <w:t>Инициатор:</w:t>
      </w:r>
      <w:r w:rsidRPr="00DE5A5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Член Наблюдательного совета </w:t>
      </w:r>
      <w:r w:rsidRPr="00DE5A50">
        <w:rPr>
          <w:rFonts w:ascii="Garamond" w:hAnsi="Garamond"/>
          <w:sz w:val="24"/>
          <w:szCs w:val="24"/>
        </w:rPr>
        <w:t>Ассоциаци</w:t>
      </w:r>
      <w:r>
        <w:rPr>
          <w:rFonts w:ascii="Garamond" w:hAnsi="Garamond"/>
          <w:sz w:val="24"/>
          <w:szCs w:val="24"/>
        </w:rPr>
        <w:t>и</w:t>
      </w:r>
      <w:r w:rsidRPr="00DE5A50">
        <w:rPr>
          <w:rFonts w:ascii="Garamond" w:hAnsi="Garamond"/>
          <w:sz w:val="24"/>
          <w:szCs w:val="24"/>
        </w:rPr>
        <w:t xml:space="preserve"> «НП Совет рынка»</w:t>
      </w:r>
      <w:r>
        <w:rPr>
          <w:rFonts w:ascii="Garamond" w:hAnsi="Garamond"/>
          <w:sz w:val="24"/>
          <w:szCs w:val="24"/>
        </w:rPr>
        <w:t xml:space="preserve"> В.М. Кравченко</w:t>
      </w:r>
    </w:p>
    <w:p w:rsidR="005803D7" w:rsidRDefault="005803D7" w:rsidP="005803D7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</w:p>
    <w:p w:rsidR="00766E52" w:rsidRDefault="00766E52" w:rsidP="00766E52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Продлить действие решения, принятого на Наблюдательном совете Ассоциации «НП Совет рынка» 22 ноября 2016 года (Протокол № 21/2016) в рамках Вопроса 2 «Об изменениях и дополнениях к Договору о присоединении к торговой системе оптового рынка» правка X.2 Изменения, связанные с расчетом неустойки в отношении организации, осуществляющей экспортно-импортные операции, по 31 декабря 2018 года (включительно).</w:t>
      </w:r>
    </w:p>
    <w:p w:rsidR="005803D7" w:rsidRPr="005803D7" w:rsidRDefault="005803D7" w:rsidP="005803D7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5803D7" w:rsidRPr="00DE5A50" w:rsidRDefault="005803D7" w:rsidP="005803D7">
      <w:pPr>
        <w:pStyle w:val="BodyText212"/>
        <w:widowControl w:val="0"/>
        <w:tabs>
          <w:tab w:val="left" w:pos="993"/>
        </w:tabs>
        <w:rPr>
          <w:rFonts w:ascii="Garamond" w:hAnsi="Garamond"/>
          <w:b/>
          <w:sz w:val="28"/>
          <w:szCs w:val="28"/>
        </w:rPr>
      </w:pPr>
      <w:r w:rsidRPr="00DE5A50">
        <w:rPr>
          <w:rFonts w:ascii="Garamond" w:hAnsi="Garamond"/>
          <w:b/>
          <w:sz w:val="28"/>
          <w:szCs w:val="28"/>
        </w:rPr>
        <w:t xml:space="preserve">ПРИНЯТО на НС 22 </w:t>
      </w:r>
      <w:r>
        <w:rPr>
          <w:rFonts w:ascii="Garamond" w:hAnsi="Garamond"/>
          <w:b/>
          <w:sz w:val="28"/>
          <w:szCs w:val="28"/>
        </w:rPr>
        <w:t>ноября</w:t>
      </w:r>
      <w:r w:rsidRPr="00DE5A50">
        <w:rPr>
          <w:rFonts w:ascii="Garamond" w:hAnsi="Garamond"/>
          <w:b/>
          <w:sz w:val="28"/>
          <w:szCs w:val="28"/>
        </w:rPr>
        <w:t xml:space="preserve"> 201</w:t>
      </w:r>
      <w:r>
        <w:rPr>
          <w:rFonts w:ascii="Garamond" w:hAnsi="Garamond"/>
          <w:b/>
          <w:sz w:val="28"/>
          <w:szCs w:val="28"/>
        </w:rPr>
        <w:t>6</w:t>
      </w:r>
      <w:r w:rsidRPr="00DE5A50">
        <w:rPr>
          <w:rFonts w:ascii="Garamond" w:hAnsi="Garamond"/>
          <w:b/>
          <w:sz w:val="28"/>
          <w:szCs w:val="28"/>
        </w:rPr>
        <w:t xml:space="preserve"> года</w:t>
      </w:r>
    </w:p>
    <w:p w:rsidR="005803D7" w:rsidRDefault="005803D7" w:rsidP="005803D7">
      <w:pPr>
        <w:widowControl w:val="0"/>
        <w:jc w:val="both"/>
        <w:rPr>
          <w:rFonts w:ascii="Garamond" w:hAnsi="Garamond"/>
          <w:b/>
        </w:rPr>
      </w:pPr>
    </w:p>
    <w:p w:rsidR="005803D7" w:rsidRPr="005803D7" w:rsidRDefault="005803D7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5803D7" w:rsidRPr="005803D7" w:rsidRDefault="005803D7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9D0D5A" w:rsidRDefault="009D0D5A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282E5D">
        <w:rPr>
          <w:rFonts w:ascii="Garamond" w:hAnsi="Garamond"/>
          <w:b/>
          <w:sz w:val="28"/>
          <w:szCs w:val="28"/>
        </w:rPr>
        <w:t>.2</w:t>
      </w:r>
      <w:r>
        <w:rPr>
          <w:rFonts w:ascii="Garamond" w:hAnsi="Garamond"/>
          <w:b/>
          <w:sz w:val="28"/>
          <w:szCs w:val="28"/>
        </w:rPr>
        <w:t>.</w:t>
      </w:r>
      <w:r w:rsidRPr="00282E5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Изменения, связанные с расчетом неустойки в отношении организации, осуществляющей экспортно-импортные операции</w:t>
      </w:r>
    </w:p>
    <w:p w:rsidR="009D0D5A" w:rsidRDefault="009D0D5A" w:rsidP="006B1B83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9D0D5A" w:rsidRDefault="009D0D5A" w:rsidP="006B1B83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10.2</w:t>
      </w:r>
    </w:p>
    <w:p w:rsidR="009D0D5A" w:rsidRPr="008C2627" w:rsidRDefault="009D0D5A" w:rsidP="006B1B83">
      <w:pPr>
        <w:widowControl w:val="0"/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9D0D5A" w:rsidRPr="006B1B83" w:rsidTr="00190A81">
        <w:trPr>
          <w:trHeight w:val="928"/>
        </w:trPr>
        <w:tc>
          <w:tcPr>
            <w:tcW w:w="14992" w:type="dxa"/>
          </w:tcPr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 член Наблюдательного совета Ассоциации «НП Совет рынка» В.М. Кравченко.</w:t>
            </w:r>
          </w:p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п</w:t>
            </w:r>
            <w:r w:rsidRPr="006B1B83">
              <w:rPr>
                <w:rFonts w:ascii="Garamond" w:hAnsi="Garamond"/>
                <w:sz w:val="24"/>
                <w:szCs w:val="24"/>
              </w:rPr>
              <w:t xml:space="preserve">редлагаемые изменения продлевают до декабря 2017 года порядок расчета неустойки по всем договорам купли-продажи электрической энергии и мощности участника оптового рынка – организации, осуществляющей экспортно-импортные операции, а также уточнить перечень участников, в отношении которых осуществляется контроль за соблюдением Правил оптового рынка и ДОП. В связи с тем, что нумерация пунктов 12 раздела была изменена, редакция предлагаемых изменений отличается от ранее принятых (внесены технические поправки). </w:t>
            </w:r>
          </w:p>
          <w:p w:rsidR="009D0D5A" w:rsidRPr="006B1B83" w:rsidRDefault="009D0D5A" w:rsidP="006B1B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B1B83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6B1B83">
              <w:rPr>
                <w:rFonts w:ascii="Garamond" w:hAnsi="Garamond"/>
                <w:sz w:val="24"/>
                <w:szCs w:val="24"/>
              </w:rPr>
              <w:t>с 1 января 2017 года и действуют по 31 декабря 2017 года (включительно).</w:t>
            </w:r>
          </w:p>
        </w:tc>
      </w:tr>
    </w:tbl>
    <w:p w:rsidR="009D0D5A" w:rsidRDefault="009D0D5A" w:rsidP="006B1B83">
      <w:pPr>
        <w:widowControl w:val="0"/>
        <w:spacing w:after="0" w:line="240" w:lineRule="auto"/>
        <w:rPr>
          <w:rFonts w:ascii="Garamond" w:hAnsi="Garamond"/>
        </w:rPr>
      </w:pPr>
    </w:p>
    <w:p w:rsidR="009D0D5A" w:rsidRPr="006B1B83" w:rsidRDefault="009D0D5A" w:rsidP="006B1B83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6B1B83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6B1B83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6B1B83">
        <w:rPr>
          <w:rFonts w:ascii="Garamond" w:hAnsi="Garamond"/>
          <w:b/>
          <w:sz w:val="26"/>
          <w:szCs w:val="26"/>
        </w:rPr>
        <w:t xml:space="preserve"> (</w:t>
      </w:r>
      <w:r w:rsidRPr="006B1B83">
        <w:rPr>
          <w:rFonts w:ascii="Garamond" w:hAnsi="Garamond"/>
          <w:b/>
          <w:bCs/>
          <w:sz w:val="26"/>
          <w:szCs w:val="26"/>
        </w:rPr>
        <w:t>Приложение № 16 к</w:t>
      </w:r>
      <w:r w:rsidRPr="006B1B83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6B1B83">
        <w:rPr>
          <w:rFonts w:ascii="Garamond" w:hAnsi="Garamond"/>
          <w:b/>
          <w:bCs/>
          <w:sz w:val="26"/>
          <w:szCs w:val="26"/>
        </w:rPr>
        <w:t>Д</w:t>
      </w:r>
      <w:r w:rsidRPr="006B1B83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:rsidR="009D0D5A" w:rsidRDefault="009D0D5A" w:rsidP="006B1B83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8820"/>
      </w:tblGrid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№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040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820" w:type="dxa"/>
            <w:vAlign w:val="center"/>
          </w:tcPr>
          <w:p w:rsidR="009D0D5A" w:rsidRDefault="009D0D5A" w:rsidP="006B1B83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D0D5A" w:rsidRDefault="009D0D5A" w:rsidP="006B1B8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190A8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5040" w:type="dxa"/>
          </w:tcPr>
          <w:p w:rsidR="009D0D5A" w:rsidRDefault="009D0D5A" w:rsidP="00190A81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Добавить подпункт с изменением нумерации </w:t>
            </w:r>
          </w:p>
        </w:tc>
        <w:tc>
          <w:tcPr>
            <w:tcW w:w="8820" w:type="dxa"/>
            <w:vAlign w:val="center"/>
          </w:tcPr>
          <w:p w:rsidR="009D0D5A" w:rsidRDefault="009D0D5A" w:rsidP="00190A81">
            <w:pPr>
              <w:pStyle w:val="a3"/>
              <w:ind w:firstLine="571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11) ЦФР осуществляет </w:t>
            </w:r>
            <w:r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расчет неустойки (пени) за нарушение сроков исполнения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обязательств в отношении ПАО «Интер РАО» в соответствии с п. 12.5.3 настоящего Регламента.</w:t>
            </w:r>
          </w:p>
        </w:tc>
      </w:tr>
      <w:tr w:rsidR="009D0D5A" w:rsidTr="00190A81">
        <w:trPr>
          <w:trHeight w:val="435"/>
        </w:trPr>
        <w:tc>
          <w:tcPr>
            <w:tcW w:w="1008" w:type="dxa"/>
            <w:vAlign w:val="center"/>
          </w:tcPr>
          <w:p w:rsidR="009D0D5A" w:rsidRDefault="009D0D5A" w:rsidP="00190A81">
            <w:pPr>
              <w:spacing w:after="0"/>
              <w:jc w:val="center"/>
              <w:rPr>
                <w:rFonts w:ascii="Garamond" w:hAnsi="Garamond"/>
                <w:b/>
                <w:color w:val="FF3B3B"/>
              </w:rPr>
            </w:pPr>
            <w:r>
              <w:rPr>
                <w:rFonts w:ascii="Garamond" w:hAnsi="Garamond"/>
                <w:b/>
                <w:lang w:val="en-US"/>
              </w:rPr>
              <w:t>12.5.3</w:t>
            </w:r>
          </w:p>
        </w:tc>
        <w:tc>
          <w:tcPr>
            <w:tcW w:w="5040" w:type="dxa"/>
          </w:tcPr>
          <w:p w:rsidR="009D0D5A" w:rsidRDefault="009D0D5A" w:rsidP="00190A81">
            <w:pPr>
              <w:spacing w:after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Добавить пункт</w:t>
            </w:r>
          </w:p>
        </w:tc>
        <w:tc>
          <w:tcPr>
            <w:tcW w:w="8820" w:type="dxa"/>
            <w:vAlign w:val="center"/>
          </w:tcPr>
          <w:p w:rsidR="009D0D5A" w:rsidRDefault="009D0D5A" w:rsidP="00190A81">
            <w:pPr>
              <w:spacing w:after="0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12.5.3. Порядок расчета неустойки (пени) на задолженность участника оптового рынка – организации, осуществляющей экспортно-импортные операции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12.5.3.1. Не позднее 5 (пяти) рабочих дней после утверждения Наблюдательным советом СР в отношении ПАО «Интер РАО» (далее – организация, осуществляющая экспортно-импортные операции) суммы допустимой задолженности, в отношении которой применяются особенности расчета и оплаты неустойки (пени), СР передает в ЦФР на бумажном носителе с подписью уполномоченного лица выписку из протокола заседания Наблюдательного совета СР, включающую информацию о сумме допустимой задолженности, в отношении которой применяются особенности расчета и оплаты неустойки (пени). 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 xml:space="preserve">12.5.3.2. </w:t>
            </w:r>
            <w:r>
              <w:rPr>
                <w:rFonts w:ascii="Garamond" w:hAnsi="Garamond"/>
                <w:spacing w:val="1"/>
              </w:rPr>
              <w:t xml:space="preserve">ЦФР не осуществляет расчет </w:t>
            </w:r>
            <w:r>
              <w:rPr>
                <w:rFonts w:ascii="Garamond" w:hAnsi="Garamond"/>
              </w:rPr>
              <w:t>обязательств по оплате неустойки (пени) по итогу месяца</w:t>
            </w:r>
            <w:r>
              <w:rPr>
                <w:rFonts w:ascii="Garamond" w:hAnsi="Garamond"/>
                <w:spacing w:val="1"/>
              </w:rPr>
              <w:t xml:space="preserve"> за нарушение сроков исполнения обязательств </w:t>
            </w:r>
            <w:r>
              <w:rPr>
                <w:rFonts w:ascii="Garamond" w:hAnsi="Garamond"/>
              </w:rPr>
              <w:t xml:space="preserve">по оплате электрической энергии и (или) мощности, а также услуг инфраструктурных организаций (с учетом особенностей, предусмотренных п. 12.5.3.4 настоящего Регламента в отношении КО) организацией, осуществляющей экспортно-импортные операции, в случае, если величина неисполненных (ненадлежащим образом исполненных) обязательств по итогам соответствующего </w:t>
            </w:r>
            <w:r>
              <w:rPr>
                <w:rFonts w:ascii="Garamond" w:hAnsi="Garamond"/>
                <w:spacing w:val="1"/>
              </w:rPr>
              <w:t xml:space="preserve">рабочего дня не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(пени), полученную от СР. в соответствии с п. 12.5.3.1 настоящего Регламента.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12.5.3.3. В случае если величина неисполненных (ненадлежащим образом исполненных) обязательств по итогам соответствующего </w:t>
            </w:r>
            <w:r>
              <w:rPr>
                <w:rFonts w:ascii="Garamond" w:hAnsi="Garamond"/>
                <w:spacing w:val="1"/>
              </w:rPr>
              <w:t xml:space="preserve">рабочего дня превышает </w:t>
            </w:r>
            <w:r>
              <w:rPr>
                <w:rFonts w:ascii="Garamond" w:hAnsi="Garamond"/>
              </w:rPr>
              <w:t xml:space="preserve">сумму допустимой задолженности, в отношении которой применяются особенности расчета и оплаты неустойки (пени), полученную от СР в соответствии с п. 12.5.3.1 настоящего Регламента, </w:t>
            </w:r>
            <w:r>
              <w:rPr>
                <w:rFonts w:ascii="Garamond" w:hAnsi="Garamond"/>
                <w:spacing w:val="1"/>
              </w:rPr>
              <w:t>ЦФР осуществляет расчет о</w:t>
            </w:r>
            <w:r>
              <w:rPr>
                <w:rFonts w:ascii="Garamond" w:hAnsi="Garamond"/>
              </w:rPr>
              <w:t xml:space="preserve">бязательств по оплате неустойки (пени) по итогу месяца </w:t>
            </w:r>
            <w:r>
              <w:rPr>
                <w:rFonts w:ascii="Garamond" w:hAnsi="Garamond"/>
                <w:spacing w:val="1"/>
              </w:rPr>
              <w:t xml:space="preserve">за нарушение сроков исполнения обязательств </w:t>
            </w:r>
            <w:r>
              <w:rPr>
                <w:rFonts w:ascii="Garamond" w:hAnsi="Garamond"/>
              </w:rPr>
              <w:t>по оплате электрической энергии и (или) мощности, а также услуг инфраструктурных организаций в общем порядке, предусмотренном настоящим Регламентом.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  <w:r>
              <w:rPr>
                <w:rFonts w:ascii="Garamond" w:hAnsi="Garamond"/>
                <w:bCs/>
              </w:rPr>
              <w:t>5.3</w:t>
            </w:r>
            <w:r>
              <w:rPr>
                <w:rFonts w:ascii="Garamond" w:hAnsi="Garamond"/>
              </w:rPr>
              <w:t>.4. ЦФР включает в Сводный реестр платежей, передаваемый в уполномоченную кредитную организацию, обязательства по оплате неустойки (пени), рассчитанные КО:</w:t>
            </w:r>
          </w:p>
          <w:p w:rsidR="009D0D5A" w:rsidRDefault="009D0D5A" w:rsidP="008C262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 по оплате услуг КО, фактически оказанных участникам оптового рынка, </w:t>
            </w:r>
          </w:p>
          <w:p w:rsidR="009D0D5A" w:rsidRDefault="009D0D5A" w:rsidP="008C262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 оплате авансовых платежей за услугу КО –</w:t>
            </w:r>
          </w:p>
          <w:p w:rsidR="009D0D5A" w:rsidRDefault="009D0D5A" w:rsidP="00190A81">
            <w:pPr>
              <w:spacing w:before="120" w:after="120"/>
              <w:jc w:val="both"/>
              <w:rPr>
                <w:rFonts w:ascii="Garamond" w:hAnsi="Garamond"/>
                <w:spacing w:val="1"/>
              </w:rPr>
            </w:pPr>
            <w:r>
              <w:rPr>
                <w:rFonts w:ascii="Garamond" w:hAnsi="Garamond"/>
              </w:rPr>
              <w:t>в отношении организации, осуществляющей экспортно-импортные операции, в случае, если величина неисполненных (ненадлежащим образом исполненных) обязательств такого участника по итогам хотя бы одного рабочего дня месяца, в котором рассчитана соответствующая неустойка (пени) по оплате услуг КО,</w:t>
            </w:r>
            <w:r>
              <w:rPr>
                <w:rFonts w:ascii="Garamond" w:hAnsi="Garamond"/>
                <w:spacing w:val="1"/>
              </w:rPr>
              <w:t xml:space="preserve"> превышает </w:t>
            </w:r>
            <w:r>
              <w:rPr>
                <w:rFonts w:ascii="Garamond" w:hAnsi="Garamond"/>
              </w:rPr>
              <w:t>сумму допустимой задолженности, в отношении которой применяются особенности расчета и оплаты неустойки (пени), полученную от СР в соответствии с п. 12.5.3.1 настоящего Регламента.</w:t>
            </w:r>
          </w:p>
          <w:p w:rsidR="009D0D5A" w:rsidRDefault="009D0D5A" w:rsidP="00190A81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</w:rPr>
              <w:t xml:space="preserve">12.5.3.5. При определении величины неисполненных (ненадлежащим образом исполненных) обязательств не учитываются обязательства по оплате, расчеты по которым в соответствии с </w:t>
            </w:r>
            <w:r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 осуществляются вне уполномоченной кредитной организации. Не учитываются также неисполненные обязательства контрагента в случае, если при проведении платежей в Информации об остатках на торговых счетах, направленной уполномоченной кредитной организацией в ЦФР в соответствии с приложением 54 к настоящему Регламенту, отсутствуют данные о торговом счете участника – получателя денежных средств.</w:t>
            </w:r>
          </w:p>
        </w:tc>
      </w:tr>
    </w:tbl>
    <w:p w:rsidR="009D0D5A" w:rsidRDefault="009D0D5A" w:rsidP="008C2627">
      <w:pPr>
        <w:pStyle w:val="a3"/>
        <w:ind w:firstLine="567"/>
        <w:rPr>
          <w:rFonts w:ascii="Garamond" w:hAnsi="Garamond"/>
          <w:spacing w:val="1"/>
          <w:lang w:val="ru-RU"/>
        </w:rPr>
      </w:pPr>
    </w:p>
    <w:p w:rsidR="009D0D5A" w:rsidRPr="008C2627" w:rsidRDefault="009D0D5A" w:rsidP="008C262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Действующая</w:t>
      </w:r>
      <w:r w:rsidRPr="008C2627">
        <w:rPr>
          <w:rFonts w:ascii="Garamond" w:hAnsi="Garamond"/>
          <w:b/>
          <w:sz w:val="24"/>
          <w:szCs w:val="24"/>
        </w:rPr>
        <w:t xml:space="preserve"> редакция</w:t>
      </w:r>
    </w:p>
    <w:p w:rsidR="009D0D5A" w:rsidRDefault="009D0D5A" w:rsidP="008C2627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9D0D5A" w:rsidRDefault="009D0D5A" w:rsidP="008C2627">
      <w:pPr>
        <w:rPr>
          <w:rFonts w:ascii="Garamond" w:hAnsi="Garamond"/>
          <w:b/>
        </w:rPr>
      </w:pPr>
    </w:p>
    <w:p w:rsidR="009D0D5A" w:rsidRDefault="009D0D5A" w:rsidP="008C262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9D0D5A" w:rsidRDefault="009D0D5A" w:rsidP="008C2627">
      <w:pPr>
        <w:jc w:val="center"/>
        <w:rPr>
          <w:rFonts w:ascii="Garamond" w:hAnsi="Garamond"/>
          <w:b/>
        </w:rPr>
      </w:pPr>
    </w:p>
    <w:p w:rsidR="009D0D5A" w:rsidRDefault="009D0D5A" w:rsidP="008C2627">
      <w:pPr>
        <w:pStyle w:val="a3"/>
        <w:tabs>
          <w:tab w:val="left" w:pos="990"/>
        </w:tabs>
        <w:ind w:firstLine="595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>
        <w:rPr>
          <w:rFonts w:ascii="Garamond" w:hAnsi="Garamond"/>
          <w:bCs/>
          <w:szCs w:val="22"/>
          <w:lang w:val="ru-RU"/>
        </w:rPr>
        <w:t xml:space="preserve">авансовые требования </w:t>
      </w:r>
      <w:r>
        <w:rPr>
          <w:rFonts w:ascii="Garamond" w:hAnsi="Garamond"/>
          <w:szCs w:val="22"/>
          <w:lang w:val="ru-RU"/>
        </w:rPr>
        <w:t xml:space="preserve">за расчетный период </w:t>
      </w:r>
      <w:r>
        <w:rPr>
          <w:rFonts w:ascii="Garamond" w:hAnsi="Garamond"/>
          <w:i/>
          <w:szCs w:val="22"/>
          <w:lang w:val="ru-RU"/>
        </w:rPr>
        <w:t>m</w:t>
      </w:r>
      <w:r>
        <w:rPr>
          <w:rFonts w:ascii="Garamond" w:hAnsi="Garamond"/>
          <w:szCs w:val="22"/>
          <w:lang w:val="ru-RU"/>
        </w:rPr>
        <w:t>, включаются: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>участники оптового рынка с низкой платежной дисциплиной;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>
        <w:rPr>
          <w:rFonts w:ascii="Garamond" w:hAnsi="Garamond"/>
          <w:i/>
        </w:rPr>
        <w:t>m</w:t>
      </w:r>
      <w:r>
        <w:rPr>
          <w:rFonts w:ascii="Garamond" w:hAnsi="Garamond"/>
        </w:rPr>
        <w:t xml:space="preserve"> (приложение 46 к настоящему Регламенту), </w:t>
      </w:r>
      <w:r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>
        <w:rPr>
          <w:rFonts w:ascii="Garamond" w:hAnsi="Garamond"/>
          <w:i/>
          <w:color w:val="000000"/>
          <w:lang w:val="en-US"/>
        </w:rPr>
        <w:t>m</w:t>
      </w:r>
      <w:r>
        <w:rPr>
          <w:rFonts w:ascii="Garamond" w:hAnsi="Garamond"/>
          <w:color w:val="000000"/>
        </w:rPr>
        <w:t xml:space="preserve">-1 (приложение 2 к </w:t>
      </w:r>
      <w:r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>
        <w:rPr>
          <w:rFonts w:ascii="Garamond" w:hAnsi="Garamond"/>
          <w:color w:val="000000"/>
        </w:rPr>
        <w:t xml:space="preserve"> (Приложение № 26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;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numPr>
          <w:ilvl w:val="0"/>
          <w:numId w:val="2"/>
        </w:numPr>
        <w:tabs>
          <w:tab w:val="left" w:pos="990"/>
        </w:tabs>
        <w:spacing w:before="120" w:after="120" w:line="240" w:lineRule="auto"/>
        <w:ind w:left="0" w:firstLine="595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>
        <w:rPr>
          <w:rFonts w:ascii="Garamond" w:hAnsi="Garamond"/>
        </w:rPr>
        <w:t>за расчетные периоды после 1 июля 2013 года,</w:t>
      </w:r>
      <w:r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>
        <w:rPr>
          <w:rFonts w:ascii="Garamond" w:hAnsi="Garamond"/>
          <w:color w:val="000000"/>
        </w:rPr>
        <w:t>(Приложение № 23 к</w:t>
      </w:r>
      <w:r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rPr>
          <w:rFonts w:ascii="Garamond" w:hAnsi="Garamond"/>
          <w:b/>
          <w:sz w:val="24"/>
          <w:szCs w:val="24"/>
        </w:rPr>
      </w:pPr>
    </w:p>
    <w:p w:rsidR="009D0D5A" w:rsidRPr="008C2627" w:rsidRDefault="009D0D5A" w:rsidP="008C2627">
      <w:pPr>
        <w:rPr>
          <w:rFonts w:ascii="Garamond" w:hAnsi="Garamond"/>
          <w:b/>
          <w:sz w:val="24"/>
          <w:szCs w:val="24"/>
        </w:rPr>
      </w:pPr>
      <w:r w:rsidRPr="008C2627">
        <w:rPr>
          <w:rFonts w:ascii="Garamond" w:hAnsi="Garamond"/>
          <w:b/>
          <w:sz w:val="24"/>
          <w:szCs w:val="24"/>
        </w:rPr>
        <w:t>Предлагаемая редакция</w:t>
      </w:r>
    </w:p>
    <w:p w:rsidR="009D0D5A" w:rsidRDefault="009D0D5A" w:rsidP="008C2627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46а</w:t>
      </w:r>
    </w:p>
    <w:p w:rsidR="009D0D5A" w:rsidRDefault="009D0D5A" w:rsidP="008C2627">
      <w:pPr>
        <w:rPr>
          <w:rFonts w:ascii="Garamond" w:hAnsi="Garamond"/>
          <w:b/>
        </w:rPr>
      </w:pPr>
    </w:p>
    <w:p w:rsidR="009D0D5A" w:rsidRPr="006B1B83" w:rsidRDefault="009D0D5A" w:rsidP="008C2627">
      <w:pPr>
        <w:jc w:val="center"/>
        <w:rPr>
          <w:rFonts w:ascii="Garamond" w:hAnsi="Garamond"/>
          <w:b/>
        </w:rPr>
      </w:pPr>
      <w:r w:rsidRPr="006B1B83">
        <w:rPr>
          <w:rFonts w:ascii="Garamond" w:hAnsi="Garamond"/>
          <w:b/>
        </w:rPr>
        <w:t xml:space="preserve">Порядок формирования Реестра участников оптового рынка, в отношении которых не формируются авансовые требования за расчетный период </w:t>
      </w:r>
    </w:p>
    <w:p w:rsidR="009D0D5A" w:rsidRPr="006B1B83" w:rsidRDefault="009D0D5A" w:rsidP="008C2627">
      <w:pPr>
        <w:jc w:val="center"/>
        <w:rPr>
          <w:rFonts w:ascii="Garamond" w:hAnsi="Garamond"/>
          <w:b/>
        </w:rPr>
      </w:pPr>
    </w:p>
    <w:p w:rsidR="009D0D5A" w:rsidRPr="006B1B83" w:rsidRDefault="009D0D5A" w:rsidP="008C2627">
      <w:pPr>
        <w:pStyle w:val="a3"/>
        <w:tabs>
          <w:tab w:val="left" w:pos="990"/>
        </w:tabs>
        <w:ind w:firstLine="595"/>
        <w:rPr>
          <w:rFonts w:ascii="Garamond" w:hAnsi="Garamond"/>
          <w:sz w:val="22"/>
          <w:szCs w:val="22"/>
          <w:lang w:val="ru-RU"/>
        </w:rPr>
      </w:pPr>
      <w:r w:rsidRPr="006B1B83">
        <w:rPr>
          <w:rFonts w:ascii="Garamond" w:hAnsi="Garamond"/>
          <w:sz w:val="22"/>
          <w:szCs w:val="22"/>
          <w:lang w:val="ru-RU"/>
        </w:rPr>
        <w:t xml:space="preserve">В Реестр участников оптового рынка, в отношении которых не формируются </w:t>
      </w:r>
      <w:r w:rsidRPr="006B1B83">
        <w:rPr>
          <w:rFonts w:ascii="Garamond" w:hAnsi="Garamond"/>
          <w:bCs/>
          <w:sz w:val="22"/>
          <w:szCs w:val="22"/>
          <w:lang w:val="ru-RU"/>
        </w:rPr>
        <w:t xml:space="preserve">авансовые требования </w:t>
      </w:r>
      <w:r w:rsidRPr="006B1B83">
        <w:rPr>
          <w:rFonts w:ascii="Garamond" w:hAnsi="Garamond"/>
          <w:sz w:val="22"/>
          <w:szCs w:val="22"/>
          <w:lang w:val="ru-RU"/>
        </w:rPr>
        <w:t xml:space="preserve">за расчетный период </w:t>
      </w:r>
      <w:r w:rsidRPr="006B1B83">
        <w:rPr>
          <w:rFonts w:ascii="Garamond" w:hAnsi="Garamond"/>
          <w:i/>
          <w:sz w:val="22"/>
          <w:szCs w:val="22"/>
          <w:lang w:val="ru-RU"/>
        </w:rPr>
        <w:t>m</w:t>
      </w:r>
      <w:r w:rsidRPr="006B1B83">
        <w:rPr>
          <w:rFonts w:ascii="Garamond" w:hAnsi="Garamond"/>
          <w:sz w:val="22"/>
          <w:szCs w:val="22"/>
          <w:lang w:val="ru-RU"/>
        </w:rPr>
        <w:t>, включаются: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</w:rPr>
        <w:t>участники оптового рынка с низкой платежной дисциплиной;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  <w:color w:val="000000"/>
        </w:rPr>
        <w:t>участники оптового рынка, в отношении которых судом принято решение о признании их банкротами и об открытии конкурсного производства;</w:t>
      </w:r>
    </w:p>
    <w:p w:rsidR="009D0D5A" w:rsidRPr="006B1B83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</w:rPr>
        <w:t xml:space="preserve">участники оптового рынка, включенные в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</w:r>
      <w:r w:rsidRPr="006B1B83">
        <w:rPr>
          <w:rFonts w:ascii="Garamond" w:hAnsi="Garamond"/>
          <w:i/>
        </w:rPr>
        <w:t>m</w:t>
      </w:r>
      <w:r w:rsidRPr="006B1B83">
        <w:rPr>
          <w:rFonts w:ascii="Garamond" w:hAnsi="Garamond"/>
        </w:rPr>
        <w:t xml:space="preserve"> (приложение 46 к настоящему Регламенту), </w:t>
      </w:r>
      <w:r w:rsidRPr="006B1B83">
        <w:rPr>
          <w:rFonts w:ascii="Garamond" w:hAnsi="Garamond"/>
          <w:color w:val="000000"/>
        </w:rPr>
        <w:t xml:space="preserve">за исключением участников оптового рынка, включенных в Перечень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неценовых зон Архангельской области и Республики Коми, подлежащих мониторингу своевременного исполнения/неисполнения обязательств на оптовом рынке по состоянию на 1-е число месяца </w:t>
      </w:r>
      <w:r w:rsidRPr="006B1B83">
        <w:rPr>
          <w:rFonts w:ascii="Garamond" w:hAnsi="Garamond"/>
          <w:i/>
          <w:color w:val="000000"/>
          <w:lang w:val="en-US"/>
        </w:rPr>
        <w:t>m</w:t>
      </w:r>
      <w:r w:rsidRPr="006B1B83">
        <w:rPr>
          <w:rFonts w:ascii="Garamond" w:hAnsi="Garamond"/>
          <w:color w:val="000000"/>
        </w:rPr>
        <w:t xml:space="preserve">-1 (приложение 2 к </w:t>
      </w:r>
      <w:r w:rsidRPr="006B1B83">
        <w:rPr>
          <w:rFonts w:ascii="Garamond" w:hAnsi="Garamond"/>
          <w:i/>
          <w:color w:val="000000"/>
        </w:rPr>
        <w:t>Положению о порядке предоставления финансовых гарантий на оптовом рынке</w:t>
      </w:r>
      <w:r w:rsidRPr="006B1B83">
        <w:rPr>
          <w:rFonts w:ascii="Garamond" w:hAnsi="Garamond"/>
          <w:color w:val="000000"/>
        </w:rPr>
        <w:t xml:space="preserve"> (Приложение № 26 к</w:t>
      </w:r>
      <w:r w:rsidRPr="006B1B83">
        <w:rPr>
          <w:rFonts w:ascii="Garamond" w:hAnsi="Garamond"/>
          <w:i/>
          <w:color w:val="000000"/>
        </w:rPr>
        <w:t xml:space="preserve"> Договору о присоединении к торговой системе оптового рынка</w:t>
      </w:r>
      <w:r w:rsidRPr="006B1B83">
        <w:rPr>
          <w:rFonts w:ascii="Garamond" w:hAnsi="Garamond"/>
          <w:i/>
          <w:iCs/>
          <w:color w:val="000000"/>
        </w:rPr>
        <w:t>)</w:t>
      </w:r>
      <w:r w:rsidRPr="006B1B83">
        <w:rPr>
          <w:rFonts w:ascii="Garamond" w:hAnsi="Garamond"/>
          <w:iCs/>
          <w:color w:val="000000"/>
          <w:highlight w:val="yellow"/>
        </w:rPr>
        <w:t>,</w:t>
      </w:r>
      <w:r w:rsidRPr="006B1B83">
        <w:rPr>
          <w:rFonts w:ascii="Garamond" w:hAnsi="Garamond"/>
          <w:i/>
          <w:iCs/>
          <w:color w:val="000000"/>
        </w:rPr>
        <w:t xml:space="preserve"> </w:t>
      </w:r>
      <w:r w:rsidRPr="006B1B83">
        <w:rPr>
          <w:rFonts w:ascii="Garamond" w:hAnsi="Garamond"/>
          <w:highlight w:val="yellow"/>
        </w:rPr>
        <w:t>и организации, осуществляющей экспортно-импортные операции</w:t>
      </w:r>
      <w:r w:rsidRPr="006B1B83">
        <w:rPr>
          <w:rFonts w:ascii="Garamond" w:hAnsi="Garamond"/>
          <w:color w:val="000000"/>
        </w:rPr>
        <w:t>;</w:t>
      </w:r>
      <w:r w:rsidRPr="006B1B83">
        <w:rPr>
          <w:rFonts w:ascii="Garamond" w:hAnsi="Garamond"/>
        </w:rPr>
        <w:t xml:space="preserve"> </w:t>
      </w:r>
    </w:p>
    <w:p w:rsidR="009D0D5A" w:rsidRDefault="009D0D5A" w:rsidP="006B1B83">
      <w:pPr>
        <w:numPr>
          <w:ilvl w:val="0"/>
          <w:numId w:val="8"/>
        </w:numPr>
        <w:tabs>
          <w:tab w:val="clear" w:pos="720"/>
          <w:tab w:val="left" w:pos="990"/>
          <w:tab w:val="num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6B1B83">
        <w:rPr>
          <w:rFonts w:ascii="Garamond" w:hAnsi="Garamond"/>
          <w:color w:val="000000"/>
        </w:rPr>
        <w:t xml:space="preserve">участники оптового рынка, в отношении обязательств которых </w:t>
      </w:r>
      <w:r w:rsidRPr="006B1B83">
        <w:rPr>
          <w:rFonts w:ascii="Garamond" w:hAnsi="Garamond"/>
        </w:rPr>
        <w:t>за расчетные периоды после 1 июля 2013 года,</w:t>
      </w:r>
      <w:r w:rsidRPr="006B1B83">
        <w:rPr>
          <w:rFonts w:ascii="Garamond" w:hAnsi="Garamond"/>
          <w:color w:val="000000"/>
        </w:rPr>
        <w:t xml:space="preserve"> на следующий рабочий день после последней даты платежа (28-е число месяца) либо на второй рабочий день после даты платежа, если дата платежа (28-е число месяца) приходится на нерабочий день, выполняется условие 1, описанное в пункте 2.3</w:t>
      </w:r>
      <w:r w:rsidRPr="006B1B83">
        <w:rPr>
          <w:rFonts w:ascii="Garamond" w:hAnsi="Garamond"/>
          <w:i/>
          <w:color w:val="000000"/>
        </w:rPr>
        <w:t xml:space="preserve"> Регламента контроля за соблюдением участниками оптового рынка Правил оптового рынка, Договора о присоединении к торговой системе оптового рынка и Положения о порядке получения статуса субъекта оптового рынка и ведения реестра субъектов оптового рынка </w:t>
      </w:r>
      <w:r w:rsidRPr="006B1B83">
        <w:rPr>
          <w:rFonts w:ascii="Garamond" w:hAnsi="Garamond"/>
          <w:color w:val="000000"/>
        </w:rPr>
        <w:t>(Приложение № 23 к</w:t>
      </w:r>
      <w:r w:rsidRPr="006B1B83">
        <w:rPr>
          <w:rFonts w:ascii="Garamond" w:hAnsi="Garamond"/>
          <w:i/>
          <w:color w:val="000000"/>
        </w:rPr>
        <w:t xml:space="preserve"> Договору</w:t>
      </w:r>
      <w:r>
        <w:rPr>
          <w:rFonts w:ascii="Garamond" w:hAnsi="Garamond"/>
          <w:i/>
          <w:color w:val="000000"/>
        </w:rPr>
        <w:t xml:space="preserve"> о присоединении к торговой системе оптового рынка</w:t>
      </w:r>
      <w:r>
        <w:rPr>
          <w:rFonts w:ascii="Garamond" w:hAnsi="Garamond"/>
          <w:i/>
          <w:iCs/>
          <w:color w:val="000000"/>
        </w:rPr>
        <w:t>)</w:t>
      </w:r>
      <w:r>
        <w:rPr>
          <w:rFonts w:ascii="Garamond" w:hAnsi="Garamond"/>
          <w:color w:val="000000"/>
        </w:rPr>
        <w:t>.</w:t>
      </w:r>
      <w:r>
        <w:rPr>
          <w:rFonts w:ascii="Garamond" w:hAnsi="Garamond"/>
        </w:rPr>
        <w:t xml:space="preserve"> </w:t>
      </w:r>
    </w:p>
    <w:p w:rsidR="009D0D5A" w:rsidRDefault="009D0D5A" w:rsidP="008C2627">
      <w:pPr>
        <w:widowControl w:val="0"/>
        <w:rPr>
          <w:rFonts w:ascii="Garamond" w:hAnsi="Garamond"/>
        </w:rPr>
      </w:pPr>
    </w:p>
    <w:p w:rsidR="009D0D5A" w:rsidRDefault="009D0D5A" w:rsidP="008C2627">
      <w:pPr>
        <w:pStyle w:val="2"/>
        <w:keepNext w:val="0"/>
        <w:widowControl w:val="0"/>
        <w:tabs>
          <w:tab w:val="num" w:pos="756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>
        <w:rPr>
          <w:rFonts w:ascii="Garamond" w:hAnsi="Garamond"/>
          <w:b/>
          <w:bCs/>
          <w:caps/>
          <w:sz w:val="26"/>
          <w:szCs w:val="26"/>
        </w:rPr>
        <w:t>контроля ЗА соблюдением участниками оптов</w:t>
      </w:r>
      <w:r w:rsidR="005B01D0">
        <w:rPr>
          <w:rFonts w:ascii="Garamond" w:hAnsi="Garamond"/>
          <w:b/>
          <w:bCs/>
          <w:caps/>
          <w:sz w:val="26"/>
          <w:szCs w:val="26"/>
        </w:rPr>
        <w:t>ого рынка ПРАВИЛ ОПТОВОГО РЫНКА И</w:t>
      </w:r>
      <w:r>
        <w:rPr>
          <w:rFonts w:ascii="Garamond" w:hAnsi="Garamond"/>
          <w:b/>
          <w:bCs/>
          <w:caps/>
          <w:sz w:val="26"/>
          <w:szCs w:val="26"/>
        </w:rPr>
        <w:t xml:space="preserve"> договора о присоединении к торговой системе оптового рынка </w:t>
      </w:r>
      <w:r>
        <w:rPr>
          <w:rFonts w:ascii="Garamond" w:hAnsi="Garamond"/>
          <w:b/>
          <w:bCs/>
          <w:sz w:val="26"/>
          <w:szCs w:val="26"/>
        </w:rPr>
        <w:t>(Приложение № 23 к Договору о присоединении к торговой системе оптового рынка)</w:t>
      </w:r>
    </w:p>
    <w:p w:rsidR="009D0D5A" w:rsidRDefault="009D0D5A" w:rsidP="008C2627">
      <w:pPr>
        <w:widowControl w:val="0"/>
        <w:jc w:val="both"/>
        <w:rPr>
          <w:rFonts w:ascii="Garamond" w:hAnsi="Garamond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6378"/>
        <w:gridCol w:w="7228"/>
      </w:tblGrid>
      <w:tr w:rsidR="009D0D5A" w:rsidTr="00190A81">
        <w:tc>
          <w:tcPr>
            <w:tcW w:w="1485" w:type="dxa"/>
            <w:vAlign w:val="center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9" w:type="dxa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9D0D5A" w:rsidRDefault="009D0D5A" w:rsidP="005B01D0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D0D5A" w:rsidRDefault="009D0D5A" w:rsidP="005B01D0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D0D5A" w:rsidTr="00190A81">
        <w:tc>
          <w:tcPr>
            <w:tcW w:w="1485" w:type="dxa"/>
            <w:vAlign w:val="center"/>
          </w:tcPr>
          <w:p w:rsidR="009D0D5A" w:rsidRDefault="009D0D5A" w:rsidP="00190A81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2.1.1</w:t>
            </w:r>
          </w:p>
        </w:tc>
        <w:tc>
          <w:tcPr>
            <w:tcW w:w="6379" w:type="dxa"/>
          </w:tcPr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 в рамках настоящего Регламента осуществляется по следующим договорам на оптовом рынке: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</w:t>
            </w:r>
          </w:p>
        </w:tc>
        <w:tc>
          <w:tcPr>
            <w:tcW w:w="7229" w:type="dxa"/>
          </w:tcPr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:rsidR="009D0D5A" w:rsidRDefault="009D0D5A" w:rsidP="00190A81">
            <w:pPr>
              <w:pStyle w:val="10"/>
              <w:spacing w:before="120" w:after="1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Контроль расчетов участников на ОРЭМ</w:t>
            </w:r>
            <w:r w:rsidRPr="008C2627">
              <w:rPr>
                <w:rFonts w:ascii="Garamond" w:hAnsi="Garamond"/>
                <w:sz w:val="22"/>
                <w:szCs w:val="22"/>
                <w:highlight w:val="yellow"/>
              </w:rPr>
              <w:t>, з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 исключением ПАО «Интер РАО»</w:t>
            </w:r>
            <w:r>
              <w:rPr>
                <w:rFonts w:ascii="Garamond" w:hAnsi="Garamond"/>
                <w:sz w:val="22"/>
                <w:szCs w:val="22"/>
              </w:rPr>
              <w:t>, в рамках настоящего Регламента осуществляется по следующим договорам на оптовом рынке:</w:t>
            </w:r>
          </w:p>
          <w:p w:rsidR="009D0D5A" w:rsidRDefault="009D0D5A" w:rsidP="00190A81">
            <w:pPr>
              <w:widowControl w:val="0"/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9D0D5A" w:rsidRDefault="009D0D5A" w:rsidP="008C2627">
      <w:pPr>
        <w:widowControl w:val="0"/>
        <w:rPr>
          <w:rFonts w:ascii="Garamond" w:hAnsi="Garamond"/>
        </w:rPr>
      </w:pPr>
    </w:p>
    <w:sectPr w:rsidR="009D0D5A" w:rsidSect="00592C5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627"/>
    <w:rsid w:val="000E27FA"/>
    <w:rsid w:val="00161C4B"/>
    <w:rsid w:val="00190A81"/>
    <w:rsid w:val="001B1CE2"/>
    <w:rsid w:val="00282E5D"/>
    <w:rsid w:val="002B3548"/>
    <w:rsid w:val="002F6BBF"/>
    <w:rsid w:val="005803D7"/>
    <w:rsid w:val="00592C51"/>
    <w:rsid w:val="005B01D0"/>
    <w:rsid w:val="006B1B83"/>
    <w:rsid w:val="006D0DA9"/>
    <w:rsid w:val="00766E52"/>
    <w:rsid w:val="00811BC7"/>
    <w:rsid w:val="00866A7F"/>
    <w:rsid w:val="008C2627"/>
    <w:rsid w:val="0099360A"/>
    <w:rsid w:val="009D0D5A"/>
    <w:rsid w:val="00DB2BEC"/>
    <w:rsid w:val="00DE07BA"/>
    <w:rsid w:val="00E90DA1"/>
    <w:rsid w:val="00F52B0A"/>
    <w:rsid w:val="00F6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E1C52-52D9-4D73-9B6A-C98943B6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27"/>
    <w:pPr>
      <w:spacing w:after="160" w:line="259" w:lineRule="auto"/>
    </w:pPr>
    <w:rPr>
      <w:lang w:eastAsia="en-US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rsid w:val="008C2627"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sid w:val="008C2627"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"/>
    <w:uiPriority w:val="99"/>
    <w:rsid w:val="008C2627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">
    <w:name w:val="Основной текст Знак1"/>
    <w:aliases w:val="body text Знак"/>
    <w:basedOn w:val="a0"/>
    <w:link w:val="a3"/>
    <w:uiPriority w:val="99"/>
    <w:locked/>
    <w:rsid w:val="008C2627"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sid w:val="008C2627"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rsid w:val="008C262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8C2627"/>
    <w:rPr>
      <w:rFonts w:ascii="Courier New" w:hAnsi="Courier New"/>
      <w:sz w:val="20"/>
      <w:lang w:eastAsia="ru-RU"/>
    </w:rPr>
  </w:style>
  <w:style w:type="paragraph" w:customStyle="1" w:styleId="10">
    <w:name w:val="Обычный1"/>
    <w:uiPriority w:val="99"/>
    <w:rsid w:val="008C2627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rsid w:val="002F6B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2F6BBF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rsid w:val="002F6BB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F6BBF"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rsid w:val="005803D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Евгения Шупилова</cp:lastModifiedBy>
  <cp:revision>10</cp:revision>
  <cp:lastPrinted>2016-11-22T08:48:00Z</cp:lastPrinted>
  <dcterms:created xsi:type="dcterms:W3CDTF">2016-11-21T07:31:00Z</dcterms:created>
  <dcterms:modified xsi:type="dcterms:W3CDTF">2017-02-08T07:25:00Z</dcterms:modified>
</cp:coreProperties>
</file>