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4F" w:rsidRDefault="00B7672B" w:rsidP="00B7672B">
      <w:pPr>
        <w:autoSpaceDE w:val="0"/>
        <w:autoSpaceDN w:val="0"/>
        <w:adjustRightInd w:val="0"/>
        <w:spacing w:after="0" w:line="240" w:lineRule="auto"/>
        <w:outlineLvl w:val="0"/>
        <w:rPr>
          <w:rFonts w:ascii="Garamond" w:eastAsia="Cambria" w:hAnsi="Garamond" w:cs="Cambria"/>
          <w:b/>
          <w:bCs/>
          <w:sz w:val="28"/>
          <w:szCs w:val="28"/>
        </w:rPr>
      </w:pPr>
      <w:r>
        <w:rPr>
          <w:rFonts w:ascii="Garamond" w:eastAsia="Cambria" w:hAnsi="Garamond" w:cs="Cambria"/>
          <w:b/>
          <w:bCs/>
          <w:sz w:val="28"/>
          <w:szCs w:val="28"/>
          <w:lang w:val="en-US"/>
        </w:rPr>
        <w:t>V</w:t>
      </w:r>
      <w:r>
        <w:rPr>
          <w:rFonts w:ascii="Garamond" w:eastAsia="Cambria" w:hAnsi="Garamond" w:cs="Cambria"/>
          <w:b/>
          <w:bCs/>
          <w:sz w:val="28"/>
          <w:szCs w:val="28"/>
        </w:rPr>
        <w:t xml:space="preserve">.5. Изменения, связанные с уточнением действий АО «ЦФР» при проведении расчетов по договорам, заключенным на оптовом рынке электроэнергии </w:t>
      </w:r>
    </w:p>
    <w:p w:rsidR="004E0C4F" w:rsidRDefault="004E0C4F" w:rsidP="00B767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:rsidR="004E0C4F" w:rsidRDefault="00B7672B" w:rsidP="00B767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Приложение № 5.5</w:t>
      </w:r>
    </w:p>
    <w:p w:rsidR="004E0C4F" w:rsidRDefault="004E0C4F" w:rsidP="00B7672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72B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Инициатор: </w:t>
      </w:r>
      <w:r w:rsidRPr="00B7672B">
        <w:rPr>
          <w:rFonts w:ascii="Garamond" w:eastAsia="Times New Roman" w:hAnsi="Garamond" w:cs="Garamond"/>
          <w:bCs/>
          <w:sz w:val="24"/>
          <w:szCs w:val="24"/>
          <w:lang w:eastAsia="ru-RU"/>
        </w:rPr>
        <w:t>АО «ЦФР».</w:t>
      </w: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72B">
        <w:rPr>
          <w:rFonts w:ascii="Garamond" w:hAnsi="Garamond"/>
          <w:b/>
          <w:sz w:val="24"/>
          <w:szCs w:val="24"/>
        </w:rPr>
        <w:t xml:space="preserve">Обоснование: </w:t>
      </w:r>
      <w:r w:rsidRPr="00B7672B">
        <w:rPr>
          <w:rFonts w:ascii="Garamond" w:hAnsi="Garamond"/>
          <w:sz w:val="24"/>
          <w:szCs w:val="24"/>
        </w:rPr>
        <w:t>необходимо</w:t>
      </w:r>
      <w:r w:rsidRPr="00B7672B">
        <w:rPr>
          <w:rFonts w:ascii="Garamond" w:hAnsi="Garamond"/>
          <w:b/>
          <w:sz w:val="24"/>
          <w:szCs w:val="24"/>
        </w:rPr>
        <w:t xml:space="preserve"> </w:t>
      </w:r>
      <w:r w:rsidRPr="00B7672B">
        <w:rPr>
          <w:rFonts w:ascii="Garamond" w:hAnsi="Garamond"/>
          <w:sz w:val="24"/>
          <w:szCs w:val="24"/>
        </w:rPr>
        <w:t>уточнить нормы Регламента финансовых расчетов на оптовом рынке электроэнергии, касающиеся:</w:t>
      </w: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72B">
        <w:rPr>
          <w:rFonts w:ascii="Garamond" w:hAnsi="Garamond"/>
          <w:sz w:val="24"/>
          <w:szCs w:val="24"/>
        </w:rPr>
        <w:t xml:space="preserve">– порядка формирования и публикации фактических счетов-требований и счетов-извещений участникам </w:t>
      </w:r>
      <w:r w:rsidR="00440F4E">
        <w:rPr>
          <w:rFonts w:ascii="Garamond" w:hAnsi="Garamond"/>
          <w:sz w:val="24"/>
          <w:szCs w:val="24"/>
        </w:rPr>
        <w:t xml:space="preserve">оптового рынка </w:t>
      </w:r>
      <w:r w:rsidRPr="00B7672B">
        <w:rPr>
          <w:rFonts w:ascii="Garamond" w:hAnsi="Garamond"/>
          <w:sz w:val="24"/>
          <w:szCs w:val="24"/>
        </w:rPr>
        <w:t>в случае реорганизации;</w:t>
      </w: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7672B">
        <w:rPr>
          <w:rFonts w:ascii="Garamond" w:hAnsi="Garamond"/>
          <w:sz w:val="24"/>
          <w:szCs w:val="24"/>
        </w:rPr>
        <w:t>– уточнения сроков определения АО «ЦФР» размера доплат/возвратов;</w:t>
      </w: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B7672B">
        <w:rPr>
          <w:rFonts w:ascii="Garamond" w:hAnsi="Garamond"/>
          <w:sz w:val="24"/>
          <w:szCs w:val="24"/>
        </w:rPr>
        <w:t>– уточнения формулировок, указанных в описании порядка отказа от получения неустойки (пени).</w:t>
      </w:r>
    </w:p>
    <w:p w:rsidR="004E0C4F" w:rsidRPr="00B7672B" w:rsidRDefault="00B7672B" w:rsidP="00B76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Garamond" w:eastAsia="Times New Roman" w:hAnsi="Garamond" w:cs="Garamond"/>
          <w:bCs/>
          <w:sz w:val="24"/>
          <w:szCs w:val="24"/>
          <w:lang w:eastAsia="ru-RU"/>
        </w:rPr>
      </w:pPr>
      <w:r w:rsidRPr="00B7672B">
        <w:rPr>
          <w:rFonts w:ascii="Garamond" w:eastAsia="Times New Roman" w:hAnsi="Garamond" w:cs="Garamond"/>
          <w:b/>
          <w:bCs/>
          <w:sz w:val="24"/>
          <w:szCs w:val="24"/>
          <w:lang w:eastAsia="ru-RU"/>
        </w:rPr>
        <w:t xml:space="preserve">Дата вступления в силу: </w:t>
      </w:r>
      <w:r w:rsidRPr="00B7672B">
        <w:rPr>
          <w:rFonts w:ascii="Garamond" w:hAnsi="Garamond"/>
          <w:sz w:val="24"/>
          <w:szCs w:val="24"/>
        </w:rPr>
        <w:t>1 января 2024 года.</w:t>
      </w:r>
    </w:p>
    <w:p w:rsidR="00B7672B" w:rsidRDefault="00B7672B" w:rsidP="00B7672B">
      <w:pPr>
        <w:spacing w:after="0" w:line="240" w:lineRule="auto"/>
        <w:ind w:right="-312"/>
        <w:jc w:val="both"/>
        <w:rPr>
          <w:rFonts w:ascii="Garamond" w:hAnsi="Garamond"/>
          <w:b/>
          <w:sz w:val="26"/>
          <w:szCs w:val="26"/>
        </w:rPr>
      </w:pPr>
    </w:p>
    <w:p w:rsidR="004E0C4F" w:rsidRDefault="00B7672B" w:rsidP="00B7672B">
      <w:pPr>
        <w:spacing w:after="0" w:line="240" w:lineRule="auto"/>
        <w:ind w:right="-31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:rsidR="004E0C4F" w:rsidRDefault="004E0C4F" w:rsidP="00B7672B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8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6657"/>
        <w:gridCol w:w="7223"/>
      </w:tblGrid>
      <w:tr w:rsidR="004E0C4F" w:rsidTr="00440F4E">
        <w:tc>
          <w:tcPr>
            <w:tcW w:w="998" w:type="dxa"/>
            <w:vAlign w:val="center"/>
          </w:tcPr>
          <w:p w:rsidR="004E0C4F" w:rsidRDefault="00B7672B" w:rsidP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:rsidR="004E0C4F" w:rsidRDefault="00B7672B" w:rsidP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 w:rsidP="00B7672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:rsidR="004E0C4F" w:rsidRDefault="00B7672B" w:rsidP="00B7672B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 w:rsidP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:rsidR="004E0C4F" w:rsidRDefault="00B7672B" w:rsidP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4E0C4F" w:rsidTr="00440F4E">
        <w:trPr>
          <w:trHeight w:val="272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2.7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  <w:spacing w:before="0" w:after="0"/>
            </w:pPr>
            <w:bookmarkStart w:id="0" w:name="_Toc149691859"/>
            <w:r>
              <w:t>Особенности проведения платежей и предоставления документов при реорганизации участника оптового рынка</w:t>
            </w:r>
            <w:bookmarkEnd w:id="0"/>
            <w:r>
              <w:t xml:space="preserve"> 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ru-RU"/>
              </w:rPr>
            </w:pPr>
            <w:r>
              <w:rPr>
                <w:rFonts w:ascii="Garamond" w:hAnsi="Garamond"/>
                <w:bCs/>
              </w:rPr>
              <w:t>В отчетах по</w:t>
            </w:r>
            <w:r>
              <w:rPr>
                <w:rFonts w:ascii="Garamond" w:hAnsi="Garamond"/>
                <w:color w:val="000000"/>
                <w:lang w:eastAsia="ru-RU"/>
              </w:rPr>
              <w:t xml:space="preserve"> форме приложений 5, 66 к настоящему Регламенту, а также в расширенном отчете, являющемся приложением к Отчету комиссионера,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  <w:lang w:eastAsia="ru-RU"/>
              </w:rPr>
              <w:t>за расчетный период, в котором завершена реорганизация участника оптового рынка ЦФР указывает правопреемника.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eastAsia="ru-RU"/>
              </w:rPr>
              <w:t xml:space="preserve">В отчетах </w:t>
            </w:r>
            <w:r>
              <w:rPr>
                <w:rFonts w:ascii="Garamond" w:hAnsi="Garamond"/>
                <w:color w:val="000000"/>
              </w:rPr>
              <w:t>по форме приложений 32 и 117 к настоящему Регламенту ЦФР указывает: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</w:t>
            </w:r>
            <w:proofErr w:type="spellStart"/>
            <w:r>
              <w:rPr>
                <w:rFonts w:ascii="Garamond" w:hAnsi="Garamond"/>
                <w:color w:val="000000"/>
              </w:rPr>
              <w:t>правопредшественника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, если дата, на которую сформирован отчет, наступила до даты получения ЦФР информации о завершении реорганизации; 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ru-RU"/>
              </w:rPr>
            </w:pPr>
            <w:r>
              <w:rPr>
                <w:rFonts w:ascii="Garamond" w:hAnsi="Garamond"/>
                <w:color w:val="000000"/>
              </w:rPr>
              <w:lastRenderedPageBreak/>
              <w:t xml:space="preserve">– правопреемника, если дата, на которую сформирован отчет, совпадает либо наступила позднее даты получения ЦФР информации о завершении реорганизации. 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В отчетах по форме приложений 16, 23, 25, 58, 67 к настоящему Регламенту с рабочего дня, следующего за датой получения ЦФР информации о завершении реорганизации, ЦФР указывает правопреемника.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  <w:spacing w:before="0" w:after="0"/>
            </w:pPr>
            <w:r>
              <w:lastRenderedPageBreak/>
              <w:t xml:space="preserve">Особенности проведения платежей и предоставления документов при реорганизации участника оптового рынка 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color w:val="000000"/>
              </w:rPr>
              <w:t>…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ru-RU"/>
              </w:rPr>
            </w:pPr>
            <w:r>
              <w:rPr>
                <w:rFonts w:ascii="Garamond" w:hAnsi="Garamond"/>
                <w:bCs/>
              </w:rPr>
              <w:t>В отчетах по</w:t>
            </w:r>
            <w:r>
              <w:rPr>
                <w:rFonts w:ascii="Garamond" w:hAnsi="Garamond"/>
                <w:color w:val="000000"/>
                <w:lang w:eastAsia="ru-RU"/>
              </w:rPr>
              <w:t xml:space="preserve"> форме приложений 5, 66</w:t>
            </w:r>
            <w:r>
              <w:rPr>
                <w:rFonts w:ascii="Garamond" w:hAnsi="Garamond"/>
                <w:color w:val="000000"/>
                <w:highlight w:val="yellow"/>
                <w:lang w:eastAsia="ru-RU"/>
              </w:rPr>
              <w:t>, 29а, 29б</w:t>
            </w:r>
            <w:r>
              <w:rPr>
                <w:rFonts w:ascii="Garamond" w:hAnsi="Garamond"/>
                <w:color w:val="000000"/>
                <w:lang w:eastAsia="ru-RU"/>
              </w:rPr>
              <w:t xml:space="preserve"> к настоящему Регламенту, а также в расширенном отчете, являющемся приложением к Отчету комиссионера,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color w:val="000000"/>
                <w:lang w:eastAsia="ru-RU"/>
              </w:rPr>
              <w:t>за расчетный период, в котором завершена реорганизация участника оптового рынка ЦФР указывает правопреемника.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eastAsia="ru-RU"/>
              </w:rPr>
              <w:t xml:space="preserve">В отчетах </w:t>
            </w:r>
            <w:r>
              <w:rPr>
                <w:rFonts w:ascii="Garamond" w:hAnsi="Garamond"/>
                <w:color w:val="000000"/>
              </w:rPr>
              <w:t>по форме приложений 32 и 117 к настоящему Регламенту ЦФР указывает: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– </w:t>
            </w:r>
            <w:proofErr w:type="spellStart"/>
            <w:r>
              <w:rPr>
                <w:rFonts w:ascii="Garamond" w:hAnsi="Garamond"/>
                <w:color w:val="000000"/>
              </w:rPr>
              <w:t>правопредшественника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, если дата, на которую сформирован отчет, наступила до даты получения ЦФР информации о завершении реорганизации; </w:t>
            </w:r>
          </w:p>
          <w:p w:rsidR="004E0C4F" w:rsidRDefault="00B7672B">
            <w:pPr>
              <w:spacing w:before="120" w:after="120" w:line="240" w:lineRule="auto"/>
              <w:ind w:firstLine="567"/>
              <w:jc w:val="both"/>
              <w:rPr>
                <w:rFonts w:ascii="Garamond" w:hAnsi="Garamond"/>
                <w:color w:val="000000"/>
                <w:lang w:eastAsia="ru-RU"/>
              </w:rPr>
            </w:pPr>
            <w:r>
              <w:rPr>
                <w:rFonts w:ascii="Garamond" w:hAnsi="Garamond"/>
                <w:color w:val="000000"/>
              </w:rPr>
              <w:t xml:space="preserve">– правопреемника, если дата, на которую сформирован отчет, совпадает либо наступила позднее даты получения ЦФР информации о завершении реорганизации. </w:t>
            </w:r>
          </w:p>
          <w:p w:rsidR="004E0C4F" w:rsidRDefault="00B7672B">
            <w:pPr>
              <w:pStyle w:val="25"/>
              <w:spacing w:before="120" w:line="240" w:lineRule="auto"/>
              <w:ind w:firstLine="567"/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В отчетах по форме приложений 16, 23, 25, 58, 67 к настоящему Регламенту с рабочего дня, следующего за датой получения ЦФР информации о завершении реорганизации, ЦФР указывает правопреемника.</w:t>
            </w:r>
          </w:p>
          <w:p w:rsidR="004E0C4F" w:rsidRDefault="00B7672B">
            <w:pPr>
              <w:pStyle w:val="25"/>
              <w:spacing w:before="120" w:line="240" w:lineRule="auto"/>
              <w:ind w:firstLine="567"/>
              <w:jc w:val="both"/>
            </w:pPr>
            <w:r>
              <w:rPr>
                <w:rFonts w:ascii="Garamond" w:hAnsi="Garamond"/>
                <w:color w:val="000000"/>
              </w:rPr>
              <w:t>…</w:t>
            </w:r>
          </w:p>
        </w:tc>
      </w:tr>
      <w:tr w:rsidR="004E0C4F" w:rsidTr="00440F4E"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6.1.6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bookmarkStart w:id="1" w:name="_Toc146827142"/>
            <w:r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bookmarkEnd w:id="1"/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Default="00B7672B" w:rsidP="00E976FD">
            <w:pPr>
              <w:pStyle w:val="3"/>
              <w:ind w:firstLine="566"/>
              <w:rPr>
                <w:rFonts w:cs="Garamond"/>
                <w:b w:val="0"/>
                <w:bCs/>
              </w:rPr>
            </w:pPr>
            <w:r>
              <w:rPr>
                <w:b w:val="0"/>
              </w:rPr>
              <w:t>Не позднее 17-го числа месяца, следующего за расчетным месяцем,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режиме.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r>
              <w:t>Порядок взаимодействия КО и ЦФР при проведении расчетов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Default="00B7672B" w:rsidP="00E976FD">
            <w:pPr>
              <w:pStyle w:val="3"/>
              <w:ind w:firstLine="566"/>
            </w:pPr>
            <w:r>
              <w:rPr>
                <w:b w:val="0"/>
              </w:rPr>
              <w:t xml:space="preserve">Не позднее 17-го числа месяца, следующего за расчетным месяцем, </w:t>
            </w:r>
            <w:r>
              <w:rPr>
                <w:b w:val="0"/>
                <w:highlight w:val="yellow"/>
              </w:rPr>
              <w:t>или в первый рабочий день, следующий за датой, если указанная дата приходится на нерабочий день,</w:t>
            </w:r>
            <w:r>
              <w:rPr>
                <w:b w:val="0"/>
              </w:rPr>
              <w:t xml:space="preserve"> ЦФР на основании реестра объемов и стоимости мощности, фактически поставленной по договорам купли-продажи мощности, производимой с использованием генерирующих объектов, поставляющих мощность в вынужденном режиме, и реестров авансовых обязательств/требований по договорам купли-продажи мощности, производимой с использованием генерирующих объектов, поставляющих мощность в вынужденном режиме, за расчетный период определяет размер доплат/возвратов по договорам купли-продажи мощности, производимой с использованием генерирующих объектов, поставляющих мощность в вынужденном режиме</w:t>
            </w:r>
            <w:r>
              <w:t>.</w:t>
            </w:r>
          </w:p>
        </w:tc>
      </w:tr>
      <w:tr w:rsidR="004E0C4F" w:rsidTr="00440F4E"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7.6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bookmarkStart w:id="2" w:name="_Toc188246748"/>
            <w:bookmarkStart w:id="3" w:name="_Toc149691948"/>
            <w:r>
              <w:t>Порядок взаимодействия КО и ЦФР при проведении расчетов по обязательствам/требованиям на территории неценовых зон</w:t>
            </w:r>
            <w:bookmarkEnd w:id="2"/>
            <w:bookmarkEnd w:id="3"/>
          </w:p>
          <w:p w:rsidR="004E0C4F" w:rsidRDefault="00B7672B">
            <w:pPr>
              <w:pStyle w:val="aff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4E0C4F" w:rsidRPr="00B7672B" w:rsidRDefault="00B7672B" w:rsidP="00B7672B">
            <w:pPr>
              <w:pStyle w:val="aff0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ЦФР не позднее 17-го числа месяца, следующего за расчетным, или в первый рабочий день, если указанная дата приходится на нерабочий день, публикует персонально для каждого участника оптового рынка и ФСК в разделе с ограниченным в соответствии с Правилами ЭДО СЭД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на сайте КО фактические счета-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требования и счета-извещения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r>
              <w:lastRenderedPageBreak/>
              <w:t>Порядок взаимодействия КО и ЦФР при проведении расчетов по обязательствам/требованиям на территории неценовых зон</w:t>
            </w:r>
          </w:p>
          <w:p w:rsidR="004E0C4F" w:rsidRDefault="00B7672B">
            <w:pPr>
              <w:pStyle w:val="aff0"/>
              <w:spacing w:before="120" w:after="120"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4E0C4F" w:rsidRPr="00B7672B" w:rsidRDefault="00B7672B" w:rsidP="00B7672B">
            <w:pPr>
              <w:pStyle w:val="aff0"/>
              <w:spacing w:before="120" w:after="120"/>
              <w:ind w:firstLine="594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ЦФР не позднее 17-го числа месяца, следующего за расчетным, или в первый рабочий день,</w:t>
            </w:r>
            <w:r>
              <w:rPr>
                <w:rFonts w:ascii="Garamond" w:hAnsi="Garamond"/>
                <w:b/>
                <w:highlight w:val="yellow"/>
              </w:rPr>
              <w:t xml:space="preserve"> </w:t>
            </w:r>
            <w:r>
              <w:rPr>
                <w:rFonts w:ascii="Garamond" w:hAnsi="Garamond"/>
                <w:sz w:val="22"/>
                <w:highlight w:val="yellow"/>
              </w:rPr>
              <w:t>следующий за датой</w:t>
            </w:r>
            <w:r w:rsidR="00E976FD" w:rsidRPr="00B846DC">
              <w:rPr>
                <w:rFonts w:ascii="Garamond" w:hAnsi="Garamond"/>
                <w:sz w:val="22"/>
                <w:highlight w:val="yellow"/>
              </w:rPr>
              <w:t>,</w:t>
            </w:r>
            <w:r>
              <w:rPr>
                <w:rFonts w:ascii="Garamond" w:hAnsi="Garamond"/>
                <w:sz w:val="20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если указанная дата приходится на нерабочий день, публикует персонально для каждого участника оптового рынка и ФСК в разделе с ограниченным в соответствии с Правилами ЭДО СЭД </w:t>
            </w:r>
            <w:proofErr w:type="gramStart"/>
            <w:r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на сайте КО фактические счета-требования и счета-</w:t>
            </w:r>
            <w:r>
              <w:rPr>
                <w:rFonts w:ascii="Garamond" w:hAnsi="Garamond"/>
                <w:sz w:val="22"/>
                <w:szCs w:val="22"/>
              </w:rPr>
              <w:lastRenderedPageBreak/>
              <w:t>извещения (приложения 29а и 29б к настоящему Регламенту). ЦФР в фактических счетах-требованиях и счетах-извещениях указывает расчетную стоимость единицы электрической энергии и мощности по каждому из договоров.</w:t>
            </w:r>
          </w:p>
        </w:tc>
      </w:tr>
      <w:tr w:rsidR="004E0C4F" w:rsidTr="00440F4E">
        <w:tc>
          <w:tcPr>
            <w:tcW w:w="998" w:type="dxa"/>
            <w:vAlign w:val="center"/>
          </w:tcPr>
          <w:p w:rsidR="004E0C4F" w:rsidRDefault="00B7672B" w:rsidP="00E976FD">
            <w:pPr>
              <w:spacing w:before="120" w:after="120"/>
              <w:jc w:val="both"/>
              <w:rPr>
                <w:rFonts w:ascii="Garamond" w:eastAsia="Arial Unicode MS" w:hAnsi="Garamond" w:cs="Times New Roman"/>
                <w:b/>
                <w:lang w:eastAsia="ru-RU"/>
              </w:rPr>
            </w:pPr>
            <w:r>
              <w:rPr>
                <w:rFonts w:ascii="Garamond" w:eastAsia="Arial Unicode MS" w:hAnsi="Garamond" w:cs="Times New Roman"/>
                <w:b/>
                <w:lang w:eastAsia="ru-RU"/>
              </w:rPr>
              <w:lastRenderedPageBreak/>
              <w:t>9.1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spacing w:before="120" w:after="120"/>
              <w:ind w:firstLine="567"/>
              <w:jc w:val="both"/>
              <w:rPr>
                <w:rFonts w:ascii="Garamond" w:eastAsia="Arial Unicode MS" w:hAnsi="Garamond" w:cs="Times New Roman"/>
                <w:lang w:eastAsia="ru-RU"/>
              </w:rPr>
            </w:pPr>
            <w:r>
              <w:rPr>
                <w:rFonts w:ascii="Garamond" w:eastAsia="Arial Unicode MS" w:hAnsi="Garamond" w:cs="Times New Roman"/>
                <w:lang w:eastAsia="ru-RU"/>
              </w:rPr>
              <w:t>Отчет о движении денежных средств публикуется ЦФР на сайте КО по итогам расчетов за каждый рабочий день, в который ЦФР проводились торговые сессии с уполномоченной кредитной организацией, персонально для каждого участника оптового рынка, ФСК и СО по форме, установленной приложением 58 к настоящему Регламенту. Отчет о движении денежных средств содержит информацию об остатках денежных средств на торговом счете участника оптового рынка, ФСК, СО на начало и конец торговых сессий, а также информацию о списании и зачислении денежных средств по торговому счету участника оптового рынка при проведении торговых сессий, которые проводились ЦФР в течение рабочего дня с уполномоченной кредитной организацией.</w:t>
            </w:r>
          </w:p>
          <w:p w:rsidR="004E0C4F" w:rsidRDefault="004E0C4F">
            <w:pPr>
              <w:pStyle w:val="3"/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spacing w:before="120" w:after="120"/>
              <w:ind w:firstLine="567"/>
              <w:jc w:val="both"/>
            </w:pPr>
            <w:r>
              <w:rPr>
                <w:rFonts w:ascii="Garamond" w:eastAsia="Arial Unicode MS" w:hAnsi="Garamond" w:cs="Times New Roman"/>
                <w:lang w:eastAsia="ru-RU"/>
              </w:rPr>
              <w:t xml:space="preserve">Отчет о движении денежных средств публикуется ЦФР на сайте КО по итогам расчетов за каждый рабочий день, в который ЦФР проводились торговые сессии с уполномоченной кредитной организацией, персонально для каждого участника оптового рынка, ФСК и СО по форме, установленной приложением 58 к настоящему Регламенту. Отчет о движении денежных средств содержит информацию об остатках денежных средств на торговом счете участника оптового рынка, ФСК, СО на начало и конец торговых сессий, а также информацию о списании и зачислении денежных средств по торговому счету участника оптового рынка при проведении торговых сессий, которые проводились ЦФР в течение рабочего дня с уполномоченной кредитной организацией. </w:t>
            </w:r>
            <w:r>
              <w:rPr>
                <w:rFonts w:ascii="Garamond" w:eastAsia="Arial Unicode MS" w:hAnsi="Garamond" w:cs="Times New Roman"/>
                <w:highlight w:val="yellow"/>
                <w:lang w:eastAsia="ru-RU"/>
              </w:rPr>
              <w:t>В случае отсутствия в течение рабочего дня списания и зачисления денежных средств по торговому счету участника оптового рынка при проведении торговых сессий с уполномоченной кредитной организацией</w:t>
            </w:r>
            <w:r w:rsidR="00440F4E">
              <w:rPr>
                <w:rFonts w:ascii="Garamond" w:eastAsia="Arial Unicode MS" w:hAnsi="Garamond" w:cs="Times New Roman"/>
                <w:highlight w:val="yellow"/>
                <w:lang w:eastAsia="ru-RU"/>
              </w:rPr>
              <w:t>,</w:t>
            </w:r>
            <w:r>
              <w:rPr>
                <w:rFonts w:ascii="Garamond" w:eastAsia="Arial Unicode MS" w:hAnsi="Garamond" w:cs="Times New Roman"/>
                <w:highlight w:val="yellow"/>
                <w:lang w:eastAsia="ru-RU"/>
              </w:rPr>
              <w:t xml:space="preserve"> отчет не публикуется.</w:t>
            </w:r>
          </w:p>
        </w:tc>
      </w:tr>
      <w:tr w:rsidR="004E0C4F" w:rsidTr="00440F4E"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12.5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Cs w:val="20"/>
              </w:rPr>
              <w:t>Особенности расчета неустойки (пени)</w:t>
            </w:r>
          </w:p>
          <w:p w:rsidR="004E0C4F" w:rsidRDefault="004E0C4F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</w:p>
          <w:p w:rsidR="004E0C4F" w:rsidRDefault="00B7672B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Cs w:val="20"/>
              </w:rPr>
              <w:t>…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 xml:space="preserve">10) ЦФР не осуществляет расчет неустойки (пени), если от участника оптового рынка, СО,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КО,</w:t>
            </w:r>
            <w:r>
              <w:rPr>
                <w:rFonts w:ascii="Garamond" w:hAnsi="Garamond"/>
                <w:color w:val="000000"/>
                <w:lang w:val="ru-RU"/>
              </w:rPr>
              <w:t xml:space="preserve"> ФСК, в пользу которого рассчитывается неустойка (пени), поступило в ЦФР письменное уведомление об отказе от получения неустойки (пени):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 xml:space="preserve">– по форме, установленной приложением 31 к настоящему Регламенту, по договорам, заключенным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между</w:t>
            </w:r>
            <w:r>
              <w:rPr>
                <w:rFonts w:ascii="Garamond" w:hAnsi="Garamond"/>
                <w:color w:val="000000"/>
                <w:lang w:val="ru-RU"/>
              </w:rPr>
              <w:t xml:space="preserve"> участниками оптового рынка в соответствии с Договором о присоединении к торговой системе оптового рынка; 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 xml:space="preserve">– по форме, установленной приложением 31а к настоящему Регламенту, по договорам купли-продажи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на РСВ, договорам купли-продажи на БР, договорам купли-продажи электрической энергии в НЦЗ, </w:t>
            </w:r>
            <w:r>
              <w:rPr>
                <w:rFonts w:ascii="Garamond" w:hAnsi="Garamond"/>
                <w:color w:val="000000"/>
                <w:lang w:val="ru-RU"/>
              </w:rPr>
              <w:t>заключенным во исполнение договоров комиссии с ЦФР.</w:t>
            </w:r>
          </w:p>
          <w:p w:rsidR="004E0C4F" w:rsidRDefault="00B7672B">
            <w:pPr>
              <w:widowControl w:val="0"/>
              <w:spacing w:after="0" w:line="240" w:lineRule="auto"/>
              <w:ind w:firstLine="600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Cs w:val="20"/>
              </w:rPr>
              <w:lastRenderedPageBreak/>
              <w:t>ЦФР не позднее следующего рабочего дня после получения уведомлений по формам, установленным приложениями 31, 31а к настоящему Регламенту, прекращает проведение учета обязательств по оплате неустойки (пени) и исключает из отчетов, предусмотренных разделом 9 настоящего Регламента, а также из иных документов, содержащих информацию о сумме задолженности участника оптового рынка, сведения об обязательствах по оплате неустойки (пени), указанных в полученном уведомлении об отказе от получения неустойки (пени).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Cs w:val="20"/>
              </w:rPr>
              <w:lastRenderedPageBreak/>
              <w:t>Особенности расчета неустойки (пени)</w:t>
            </w:r>
          </w:p>
          <w:p w:rsidR="004E0C4F" w:rsidRDefault="004E0C4F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</w:p>
          <w:p w:rsidR="004E0C4F" w:rsidRDefault="00B7672B">
            <w:pPr>
              <w:widowControl w:val="0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Cs w:val="20"/>
              </w:rPr>
              <w:t>…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10) ЦФР не осуществляет расчет неустойки (пени), если от участника оптового рынка, СО, ФСК, в пользу которого рассчитывается неустойка (пени), поступило в ЦФР письменное уведомление об отказе от получения неустойки (пени):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– по форме, установленной приложением 31 к настоящему Регламенту, по договорам, заключенным участниками оптового рынка</w:t>
            </w:r>
            <w:r w:rsidRPr="00E976FD">
              <w:rPr>
                <w:rFonts w:ascii="Garamond" w:hAnsi="Garamond"/>
                <w:color w:val="000000"/>
                <w:highlight w:val="yellow"/>
                <w:lang w:val="ru-RU"/>
              </w:rPr>
              <w:t>, С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О, ФСК</w:t>
            </w:r>
            <w:r>
              <w:rPr>
                <w:rFonts w:ascii="Garamond" w:hAnsi="Garamond"/>
                <w:color w:val="000000"/>
                <w:lang w:val="ru-RU"/>
              </w:rPr>
              <w:t xml:space="preserve"> в соответствии с </w:t>
            </w:r>
            <w:r w:rsidRPr="00440F4E">
              <w:rPr>
                <w:rFonts w:ascii="Garamond" w:hAnsi="Garamond"/>
                <w:i/>
                <w:color w:val="000000"/>
                <w:lang w:val="ru-RU"/>
              </w:rPr>
              <w:t>Договором о присоединении к торговой системе оптового рынка</w:t>
            </w:r>
            <w:r>
              <w:rPr>
                <w:rFonts w:ascii="Garamond" w:hAnsi="Garamond"/>
                <w:color w:val="000000"/>
                <w:lang w:val="ru-RU"/>
              </w:rPr>
              <w:t xml:space="preserve">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(за исключением договоров купли-продажи, заключенны</w:t>
            </w:r>
            <w:r w:rsidR="00440F4E">
              <w:rPr>
                <w:rFonts w:ascii="Garamond" w:hAnsi="Garamond"/>
                <w:color w:val="000000"/>
                <w:highlight w:val="yellow"/>
                <w:lang w:val="ru-RU"/>
              </w:rPr>
              <w:t>х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 во исполнение договоров комиссии с ЦФР)</w:t>
            </w:r>
            <w:r>
              <w:rPr>
                <w:rFonts w:ascii="Garamond" w:hAnsi="Garamond"/>
                <w:color w:val="000000"/>
                <w:lang w:val="ru-RU"/>
              </w:rPr>
              <w:t xml:space="preserve">; </w:t>
            </w:r>
          </w:p>
          <w:p w:rsidR="004E0C4F" w:rsidRDefault="00B7672B">
            <w:pPr>
              <w:pStyle w:val="a3"/>
              <w:ind w:firstLine="540"/>
              <w:rPr>
                <w:rFonts w:ascii="Garamond" w:hAnsi="Garamond"/>
                <w:color w:val="000000"/>
                <w:lang w:val="ru-RU"/>
              </w:rPr>
            </w:pPr>
            <w:r>
              <w:rPr>
                <w:rFonts w:ascii="Garamond" w:hAnsi="Garamond"/>
                <w:color w:val="000000"/>
                <w:lang w:val="ru-RU"/>
              </w:rPr>
              <w:t>– по форме, установленной приложением 31а к настоящему Регламенту, по договорам купли-продажи</w:t>
            </w:r>
            <w:r w:rsidRPr="00E976FD">
              <w:rPr>
                <w:rFonts w:ascii="Garamond" w:hAnsi="Garamond"/>
                <w:color w:val="000000"/>
                <w:highlight w:val="yellow"/>
                <w:lang w:val="ru-RU"/>
              </w:rPr>
              <w:t xml:space="preserve">, заключенным </w:t>
            </w:r>
            <w:r>
              <w:rPr>
                <w:rFonts w:ascii="Garamond" w:hAnsi="Garamond"/>
                <w:color w:val="000000"/>
                <w:highlight w:val="yellow"/>
                <w:lang w:val="ru-RU"/>
              </w:rPr>
              <w:t>во исполнение договоров комиссии с ЦФР</w:t>
            </w:r>
            <w:r>
              <w:rPr>
                <w:rFonts w:ascii="Garamond" w:hAnsi="Garamond"/>
                <w:color w:val="000000"/>
                <w:lang w:val="ru-RU"/>
              </w:rPr>
              <w:t>.</w:t>
            </w:r>
          </w:p>
          <w:p w:rsidR="004E0C4F" w:rsidRDefault="00B7672B">
            <w:pPr>
              <w:widowControl w:val="0"/>
              <w:spacing w:after="0" w:line="240" w:lineRule="auto"/>
              <w:ind w:firstLine="601"/>
              <w:jc w:val="both"/>
              <w:rPr>
                <w:rFonts w:ascii="Garamond" w:hAnsi="Garamond"/>
                <w:b/>
              </w:rPr>
            </w:pPr>
            <w:r>
              <w:rPr>
                <w:rFonts w:ascii="Garamond" w:eastAsia="Times New Roman" w:hAnsi="Garamond" w:cs="Times New Roman"/>
                <w:color w:val="000000"/>
                <w:szCs w:val="20"/>
              </w:rPr>
              <w:lastRenderedPageBreak/>
              <w:t>ЦФР не позднее следующего рабочего дня после получения уведомлений по формам, установленным приложениями 31, 31а к настоящему Регламенту, прекращает проведение учета обязательств по оплате неустойки (пени) и исключает из отчетов, предусмотренных разделом 9 настоящего Регламента, а также из иных документов, содержащих информацию о сумме задолженности участника оптового рынка, сведения об обязательствах по оплате неустойки (пени), указанных в полученном уведомлении об отказе от получения неустойки (пени).</w:t>
            </w:r>
          </w:p>
        </w:tc>
      </w:tr>
      <w:tr w:rsidR="004E0C4F" w:rsidTr="00440F4E">
        <w:trPr>
          <w:trHeight w:val="515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13.1.8</w:t>
            </w:r>
          </w:p>
        </w:tc>
        <w:tc>
          <w:tcPr>
            <w:tcW w:w="6657" w:type="dxa"/>
          </w:tcPr>
          <w:p w:rsidR="004E0C4F" w:rsidRDefault="00B7672B">
            <w:pPr>
              <w:pStyle w:val="3"/>
            </w:pPr>
            <w:bookmarkStart w:id="4" w:name="_Toc394919040"/>
            <w:bookmarkStart w:id="5" w:name="_Toc146827271"/>
            <w:r>
              <w:t>Порядок взаимодействия СР, КО и ЦФР при проведении расчетов по договорам по результатам конкурентного отбора мощности</w:t>
            </w:r>
            <w:bookmarkEnd w:id="4"/>
            <w:bookmarkEnd w:id="5"/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Default="00B7672B" w:rsidP="00B7672B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ЦФР на основании реестра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и реестров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за расчетный период определяет размер доплат/возвратов по договорам КОМ, договорам КОМ НГО, </w:t>
            </w:r>
            <w:r>
              <w:rPr>
                <w:rFonts w:ascii="Garamond" w:eastAsia="Times New Roman" w:hAnsi="Garamond" w:cs="Times New Roman"/>
              </w:rPr>
              <w:lastRenderedPageBreak/>
              <w:t>договорам КОМ в целях компенсации потерь, договорам КОМ НГО в целях компенсации потерь.</w:t>
            </w:r>
          </w:p>
        </w:tc>
        <w:tc>
          <w:tcPr>
            <w:tcW w:w="7223" w:type="dxa"/>
          </w:tcPr>
          <w:p w:rsidR="004E0C4F" w:rsidRDefault="00B7672B">
            <w:pPr>
              <w:pStyle w:val="3"/>
            </w:pPr>
            <w:r>
              <w:lastRenderedPageBreak/>
              <w:t>Порядок взаимодействия СР, КО и ЦФР при проведении расчетов по договорам по результатам конкурентного отбора мощности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</w:t>
            </w:r>
            <w:r>
              <w:rPr>
                <w:rFonts w:ascii="Garamond" w:eastAsia="Times New Roman" w:hAnsi="Garamond" w:cs="Times New Roman"/>
                <w:highlight w:val="yellow"/>
              </w:rPr>
              <w:t>или в первый рабочий день,</w:t>
            </w:r>
            <w:r>
              <w:rPr>
                <w:rFonts w:ascii="Garamond" w:eastAsia="Arial Unicode MS" w:hAnsi="Garamond" w:cs="Times New Roman"/>
                <w:b/>
                <w:highlight w:val="yellow"/>
              </w:rPr>
              <w:t xml:space="preserve"> </w:t>
            </w:r>
            <w:r>
              <w:rPr>
                <w:rFonts w:ascii="Garamond" w:eastAsia="Arial Unicode MS" w:hAnsi="Garamond" w:cs="Times New Roman"/>
                <w:highlight w:val="yellow"/>
              </w:rPr>
              <w:t>следующий за датой,</w:t>
            </w:r>
            <w:r>
              <w:rPr>
                <w:rFonts w:ascii="Garamond" w:eastAsia="Times New Roman" w:hAnsi="Garamond" w:cs="Times New Roman"/>
                <w:highlight w:val="yellow"/>
              </w:rPr>
              <w:t xml:space="preserve"> если указанная дата приходится на нерабочий день,</w:t>
            </w:r>
            <w:r>
              <w:rPr>
                <w:rFonts w:ascii="Garamond" w:eastAsia="Times New Roman" w:hAnsi="Garamond" w:cs="Times New Roman"/>
              </w:rPr>
              <w:t xml:space="preserve"> ЦФР на основании реестра объемов и стоимости мощности, фактически поставленной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и реестров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 за расчетный период определяет размер доплат/возвратов по договорам КОМ, договорам КОМ НГО, договорам КОМ в целях компенсации потерь, договорам КОМ НГО в целях компенсации потерь.</w:t>
            </w:r>
          </w:p>
          <w:p w:rsidR="004E0C4F" w:rsidRDefault="004E0C4F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Garamond" w:eastAsia="Times New Roman" w:hAnsi="Garamond" w:cs="Times New Roman"/>
              </w:rPr>
            </w:pPr>
          </w:p>
        </w:tc>
      </w:tr>
      <w:tr w:rsidR="004E0C4F" w:rsidTr="00440F4E">
        <w:trPr>
          <w:trHeight w:val="515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15.13</w:t>
            </w:r>
          </w:p>
        </w:tc>
        <w:tc>
          <w:tcPr>
            <w:tcW w:w="6657" w:type="dxa"/>
          </w:tcPr>
          <w:p w:rsidR="004E0C4F" w:rsidRDefault="00B7672B">
            <w:pPr>
              <w:tabs>
                <w:tab w:val="left" w:pos="743"/>
              </w:tabs>
              <w:spacing w:before="120" w:after="120"/>
              <w:ind w:left="743"/>
              <w:jc w:val="both"/>
              <w:rPr>
                <w:rFonts w:ascii="Garamond" w:eastAsia="Times New Roman" w:hAnsi="Garamond" w:cs="Times New Roman"/>
                <w:b/>
              </w:rPr>
            </w:pPr>
            <w:bookmarkStart w:id="6" w:name="_Toc146827294"/>
            <w:r>
              <w:rPr>
                <w:rFonts w:ascii="Garamond" w:eastAsia="Times New Roman" w:hAnsi="Garamond" w:cs="Times New Roman"/>
                <w:b/>
              </w:rPr>
              <w:t>Порядок взаимодействия КО и ЦФР при проведении расчетов по обязательствам/требованиям по договорам АЭС/ГЭС</w:t>
            </w:r>
            <w:bookmarkEnd w:id="6"/>
            <w:r>
              <w:rPr>
                <w:rFonts w:ascii="Garamond" w:eastAsia="Times New Roman" w:hAnsi="Garamond" w:cs="Times New Roman"/>
                <w:b/>
              </w:rPr>
              <w:t xml:space="preserve"> 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709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ЦФР на основании Итогового реестра финансовых обязательств/требований по договорам АЭС/ГЭС и реестров авансовых обязательств/требований по договорам АЭС/ГЭС за расчетный период определяет размер доплат/возвратов по договорам АЭС/ГЭС. </w:t>
            </w:r>
          </w:p>
        </w:tc>
        <w:tc>
          <w:tcPr>
            <w:tcW w:w="7223" w:type="dxa"/>
          </w:tcPr>
          <w:p w:rsidR="004E0C4F" w:rsidRDefault="00B7672B">
            <w:pPr>
              <w:tabs>
                <w:tab w:val="left" w:pos="742"/>
              </w:tabs>
              <w:spacing w:before="120" w:after="120"/>
              <w:ind w:left="742"/>
              <w:jc w:val="both"/>
              <w:rPr>
                <w:rFonts w:ascii="Garamond" w:eastAsia="Times New Roman" w:hAnsi="Garamond" w:cs="Times New Roman"/>
                <w:b/>
              </w:rPr>
            </w:pPr>
            <w:r>
              <w:rPr>
                <w:rFonts w:ascii="Garamond" w:eastAsia="Times New Roman" w:hAnsi="Garamond" w:cs="Times New Roman"/>
                <w:b/>
              </w:rPr>
              <w:t xml:space="preserve">Порядок взаимодействия КО и ЦФР при проведении расчетов по обязательствам/требованиям по договорам АЭС/ГЭС 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709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709"/>
              <w:jc w:val="both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</w:t>
            </w:r>
            <w:r>
              <w:rPr>
                <w:rFonts w:ascii="Garamond" w:eastAsia="Times New Roman" w:hAnsi="Garamond" w:cs="Times New Roman"/>
                <w:highlight w:val="yellow"/>
              </w:rPr>
              <w:t>или в первый рабочий день, следующий за датой, если указанная дата приходится на нерабочий день</w:t>
            </w:r>
            <w:r>
              <w:rPr>
                <w:rFonts w:ascii="Garamond" w:eastAsia="Times New Roman" w:hAnsi="Garamond" w:cs="Times New Roman"/>
              </w:rPr>
              <w:t xml:space="preserve">, ЦФР на основании Итогового реестра финансовых обязательств/требований по договорам АЭС/ГЭС и реестров авансовых обязательств/требований по договорам АЭС/ГЭС за расчетный период определяет размер доплат/возвратов по договорам АЭС/ГЭС. </w:t>
            </w:r>
          </w:p>
        </w:tc>
      </w:tr>
      <w:tr w:rsidR="004E0C4F" w:rsidTr="00440F4E">
        <w:trPr>
          <w:trHeight w:val="515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20.11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bookmarkStart w:id="7" w:name="_Toc146827328"/>
            <w:r>
              <w:t>Порядок взаимодействия КО, ЦФР и СР при проведении расчетов по обязательствам/требованиям по ДПМ</w:t>
            </w:r>
            <w:bookmarkEnd w:id="7"/>
            <w:r>
              <w:t xml:space="preserve"> 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Pr="00B7672B" w:rsidRDefault="00B7672B" w:rsidP="00B7672B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Не позднее 17-го числа месяца, следующего за расчетным месяцем, ЦФР на основании реестра обязательств/требований по договорам о предоставлении мощности и реестров авансовых обязательств/требований по договорам о предоставлении мощности за расчетный период определяет размер доплат/возвратов по договорам о предоставлении мощности.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r>
              <w:t xml:space="preserve">Порядок взаимодействия КО, ЦФР и СР при проведении расчетов по обязательствам/требованиям по ДПМ 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…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612"/>
              <w:jc w:val="both"/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</w:t>
            </w:r>
            <w:r>
              <w:rPr>
                <w:rFonts w:ascii="Garamond" w:eastAsia="Times New Roman" w:hAnsi="Garamond" w:cs="Times New Roman"/>
                <w:highlight w:val="yellow"/>
              </w:rPr>
              <w:t>или в первый рабочий день, следующий за датой, если указанная дата приходится на нерабочий день,</w:t>
            </w:r>
            <w:r>
              <w:rPr>
                <w:rFonts w:ascii="Garamond" w:eastAsia="Times New Roman" w:hAnsi="Garamond" w:cs="Times New Roman"/>
              </w:rPr>
              <w:t xml:space="preserve"> ЦФР на основании реестра обязательств/требований по договорам о предоставлении мощности и реестров авансовых обязательств/требований по договорам о предоставлении мощности за расчетный период определяет размер доплат/возвратов по договорам о предоставлении мощности.</w:t>
            </w:r>
          </w:p>
        </w:tc>
      </w:tr>
      <w:tr w:rsidR="004E0C4F" w:rsidTr="00440F4E">
        <w:trPr>
          <w:trHeight w:val="515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26.12</w:t>
            </w:r>
          </w:p>
        </w:tc>
        <w:tc>
          <w:tcPr>
            <w:tcW w:w="6657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bookmarkStart w:id="8" w:name="_Toc354999570"/>
            <w:bookmarkStart w:id="9" w:name="_Toc146827364"/>
            <w:r>
              <w:t>Порядок взаимодействия КО и ЦФР при проведении расчетов по обязательствам/требованиям по ДПМ ВИЭ</w:t>
            </w:r>
            <w:bookmarkEnd w:id="8"/>
            <w:r>
              <w:t xml:space="preserve"> / ДПМ ТБО</w:t>
            </w:r>
            <w:bookmarkEnd w:id="9"/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Default="00B7672B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Не позднее 17-го числа месяца, следующего за расчетным месяцем, ЦФР на основании реестра обязательств/требований по ДПМ ВИЭ / ДПМ ТБО и реестров авансовых обязательств/требований по ДПМ ВИЭ / ДПМ ТБО за расчетный период определяет размер доплат/возвратов ДПМ ВИЭ / ДПМ ТБО.</w:t>
            </w:r>
          </w:p>
          <w:p w:rsidR="004E0C4F" w:rsidRDefault="004E0C4F">
            <w:pPr>
              <w:pStyle w:val="3"/>
            </w:pP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4E0C4F" w:rsidRDefault="00B7672B">
            <w:pPr>
              <w:pStyle w:val="3"/>
            </w:pPr>
            <w:r>
              <w:lastRenderedPageBreak/>
              <w:t>Порядок взаимодействия КО и ЦФР при проведении расчетов по обязательствам/требованиям по ДПМ ВИЭ / ДПМ ТБО</w:t>
            </w:r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Pr="00B7672B" w:rsidRDefault="00B7672B" w:rsidP="00B7672B">
            <w:pPr>
              <w:tabs>
                <w:tab w:val="left" w:pos="0"/>
              </w:tabs>
              <w:spacing w:before="120" w:after="120"/>
              <w:ind w:firstLine="612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Не позднее 17-го числа месяца, следующего за расчетным месяцем, </w:t>
            </w:r>
            <w:r>
              <w:rPr>
                <w:rFonts w:ascii="Garamond" w:eastAsia="Times New Roman" w:hAnsi="Garamond" w:cs="Times New Roman"/>
                <w:highlight w:val="yellow"/>
              </w:rPr>
              <w:t>или в первый рабочий день, следующий за датой, если указанная дата приходится на нерабочий день,</w:t>
            </w:r>
            <w:r>
              <w:rPr>
                <w:rFonts w:ascii="Garamond" w:eastAsia="Times New Roman" w:hAnsi="Garamond" w:cs="Times New Roman"/>
              </w:rPr>
              <w:t xml:space="preserve"> </w:t>
            </w:r>
            <w:bookmarkStart w:id="10" w:name="_GoBack"/>
            <w:bookmarkEnd w:id="10"/>
            <w:r>
              <w:rPr>
                <w:rFonts w:ascii="Garamond" w:eastAsia="Times New Roman" w:hAnsi="Garamond" w:cs="Times New Roman"/>
              </w:rPr>
              <w:t xml:space="preserve">ЦФР на основании реестра обязательств/требований по ДПМ ВИЭ / ДПМ ТБО и реестров авансовых </w:t>
            </w:r>
            <w:r>
              <w:rPr>
                <w:rFonts w:ascii="Garamond" w:eastAsia="Times New Roman" w:hAnsi="Garamond" w:cs="Times New Roman"/>
              </w:rPr>
              <w:lastRenderedPageBreak/>
              <w:t xml:space="preserve">обязательств/требований по ДПМ ВИЭ / ДПМ ТБО за расчетный период определяет размер доплат/возвратов </w:t>
            </w:r>
            <w:proofErr w:type="spellStart"/>
            <w:r>
              <w:rPr>
                <w:rFonts w:ascii="Garamond" w:eastAsia="Times New Roman" w:hAnsi="Garamond" w:cs="Times New Roman"/>
              </w:rPr>
              <w:t>ДПМ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ВИЭ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/ </w:t>
            </w:r>
            <w:proofErr w:type="spellStart"/>
            <w:r>
              <w:rPr>
                <w:rFonts w:ascii="Garamond" w:eastAsia="Times New Roman" w:hAnsi="Garamond" w:cs="Times New Roman"/>
              </w:rPr>
              <w:t>ДПМ</w:t>
            </w:r>
            <w:proofErr w:type="spellEnd"/>
            <w:r>
              <w:rPr>
                <w:rFonts w:ascii="Garamond" w:eastAsia="Times New Roman" w:hAnsi="Garamond" w:cs="Times New Roman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</w:rPr>
              <w:t>ТБО</w:t>
            </w:r>
            <w:proofErr w:type="spellEnd"/>
            <w:r>
              <w:rPr>
                <w:rFonts w:ascii="Garamond" w:eastAsia="Times New Roman" w:hAnsi="Garamond" w:cs="Times New Roman"/>
              </w:rPr>
              <w:t>.</w:t>
            </w:r>
          </w:p>
        </w:tc>
      </w:tr>
      <w:tr w:rsidR="004E0C4F" w:rsidTr="00440F4E">
        <w:trPr>
          <w:trHeight w:val="515"/>
        </w:trPr>
        <w:tc>
          <w:tcPr>
            <w:tcW w:w="998" w:type="dxa"/>
            <w:vAlign w:val="center"/>
          </w:tcPr>
          <w:p w:rsidR="004E0C4F" w:rsidRDefault="00B7672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28.1.6</w:t>
            </w:r>
          </w:p>
        </w:tc>
        <w:tc>
          <w:tcPr>
            <w:tcW w:w="6657" w:type="dxa"/>
          </w:tcPr>
          <w:p w:rsidR="004E0C4F" w:rsidRDefault="00B7672B">
            <w:pPr>
              <w:pStyle w:val="3"/>
            </w:pPr>
            <w:bookmarkStart w:id="11" w:name="_Toc146827384"/>
            <w:r>
              <w:t>Порядок взаимодействия КО и ЦФР при проведении расчетов по обязательствам/требованиям по договорам на модернизацию</w:t>
            </w:r>
            <w:bookmarkEnd w:id="11"/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Pr="00E976FD" w:rsidRDefault="00B7672B" w:rsidP="00E976FD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>Не позднее 17-го числа месяца, следующего за расчетным месяцем, ЦФР на основании реестра обязательств/требований по договорам на модернизацию и реестров авансовых обязательств/требований по договорам на модернизацию за расчетный период определяет размер доплат/возвратов по договорам на модернизацию.</w:t>
            </w:r>
          </w:p>
        </w:tc>
        <w:tc>
          <w:tcPr>
            <w:tcW w:w="7223" w:type="dxa"/>
          </w:tcPr>
          <w:p w:rsidR="004E0C4F" w:rsidRDefault="00B7672B">
            <w:pPr>
              <w:pStyle w:val="3"/>
            </w:pPr>
            <w:r>
              <w:t>Порядок взаимодействия КО и ЦФР при проведении расчетов по обязательствам/требованиям по договорам на модернизацию</w:t>
            </w:r>
          </w:p>
          <w:p w:rsidR="004E0C4F" w:rsidRDefault="00B7672B">
            <w:pPr>
              <w:pStyle w:val="3"/>
            </w:pPr>
            <w:r>
              <w:t>…</w:t>
            </w:r>
          </w:p>
          <w:p w:rsidR="004E0C4F" w:rsidRPr="00E976FD" w:rsidRDefault="00B7672B" w:rsidP="00E976FD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>
              <w:rPr>
                <w:rFonts w:ascii="Garamond" w:hAnsi="Garamond"/>
                <w:szCs w:val="22"/>
                <w:lang w:val="ru-RU"/>
              </w:rPr>
              <w:t xml:space="preserve">Не позднее 17-го числа месяца, следующего за расчетным месяцем, 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>или в первый рабочий день,</w:t>
            </w:r>
            <w:r>
              <w:rPr>
                <w:rFonts w:ascii="Garamond" w:hAnsi="Garamond"/>
                <w:highlight w:val="yellow"/>
                <w:lang w:val="ru-RU"/>
              </w:rPr>
              <w:t xml:space="preserve"> следующий за датой,</w:t>
            </w:r>
            <w:r>
              <w:rPr>
                <w:rFonts w:ascii="Garamond" w:hAnsi="Garamond"/>
                <w:szCs w:val="22"/>
                <w:highlight w:val="yellow"/>
                <w:lang w:val="ru-RU"/>
              </w:rPr>
              <w:t xml:space="preserve"> если указанная дата приходится на нерабочий день,</w:t>
            </w:r>
            <w:r>
              <w:rPr>
                <w:rFonts w:ascii="Garamond" w:hAnsi="Garamond"/>
                <w:szCs w:val="22"/>
                <w:lang w:val="ru-RU"/>
              </w:rPr>
              <w:t xml:space="preserve"> ЦФР на основании реестра обязательств/требований по договорам на модернизацию и реестров авансовых обязательств/требований по договорам на модернизацию за расчетный период определяет размер доплат/возвратов по договорам на модернизацию.</w:t>
            </w:r>
          </w:p>
        </w:tc>
      </w:tr>
    </w:tbl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</w:pPr>
    </w:p>
    <w:p w:rsidR="00B7672B" w:rsidRDefault="00B7672B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4E0C4F" w:rsidRDefault="00B7672B">
      <w:pPr>
        <w:widowControl w:val="0"/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Действующая редакция</w:t>
      </w:r>
    </w:p>
    <w:p w:rsidR="004E0C4F" w:rsidRPr="00E976FD" w:rsidRDefault="00B7672B">
      <w:pPr>
        <w:jc w:val="right"/>
        <w:rPr>
          <w:rFonts w:ascii="Garamond" w:hAnsi="Garamond"/>
          <w:b/>
          <w:iCs/>
        </w:rPr>
      </w:pPr>
      <w:r w:rsidRPr="00E976FD">
        <w:rPr>
          <w:rFonts w:ascii="Garamond" w:hAnsi="Garamond"/>
          <w:b/>
          <w:iCs/>
        </w:rPr>
        <w:t>Приложение 29а</w:t>
      </w:r>
    </w:p>
    <w:tbl>
      <w:tblPr>
        <w:tblW w:w="15034" w:type="dxa"/>
        <w:tblLook w:val="04A0" w:firstRow="1" w:lastRow="0" w:firstColumn="1" w:lastColumn="0" w:noHBand="0" w:noVBand="1"/>
      </w:tblPr>
      <w:tblGrid>
        <w:gridCol w:w="2318"/>
        <w:gridCol w:w="1793"/>
        <w:gridCol w:w="1701"/>
        <w:gridCol w:w="1600"/>
        <w:gridCol w:w="9"/>
        <w:gridCol w:w="1656"/>
        <w:gridCol w:w="22"/>
        <w:gridCol w:w="1308"/>
        <w:gridCol w:w="22"/>
        <w:gridCol w:w="1055"/>
        <w:gridCol w:w="22"/>
        <w:gridCol w:w="1270"/>
        <w:gridCol w:w="22"/>
        <w:gridCol w:w="36"/>
        <w:gridCol w:w="2178"/>
        <w:gridCol w:w="14"/>
        <w:gridCol w:w="8"/>
      </w:tblGrid>
      <w:tr w:rsidR="004E0C4F" w:rsidRPr="00E976FD" w:rsidTr="00440F4E">
        <w:trPr>
          <w:gridAfter w:val="2"/>
          <w:wAfter w:w="27" w:type="dxa"/>
          <w:trHeight w:val="272"/>
        </w:trPr>
        <w:tc>
          <w:tcPr>
            <w:tcW w:w="2318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u w:val="single"/>
              </w:rPr>
            </w:pPr>
            <w:r w:rsidRPr="00E976FD">
              <w:rPr>
                <w:rFonts w:ascii="Garamond" w:hAnsi="Garamond"/>
                <w:u w:val="single"/>
              </w:rPr>
              <w:t>АО «ЦФР»</w:t>
            </w: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u w:val="single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Руководителю</w:t>
            </w: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[Полное наименование участника]</w:t>
            </w: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4" w:type="dxa"/>
          <w:trHeight w:val="300"/>
        </w:trPr>
        <w:tc>
          <w:tcPr>
            <w:tcW w:w="9099" w:type="dxa"/>
            <w:gridSpan w:val="7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22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4" w:type="dxa"/>
          <w:trHeight w:val="300"/>
        </w:trPr>
        <w:tc>
          <w:tcPr>
            <w:tcW w:w="9099" w:type="dxa"/>
            <w:gridSpan w:val="7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Фактический СЧЕТ-ИЗВЕЩЕНИЕ </w:t>
            </w: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22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4" w:type="dxa"/>
          <w:trHeight w:val="300"/>
        </w:trPr>
        <w:tc>
          <w:tcPr>
            <w:tcW w:w="9099" w:type="dxa"/>
            <w:gridSpan w:val="7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  <w:highlight w:val="yellow"/>
              </w:rPr>
              <w:t>от [дата документа]</w:t>
            </w: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22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4" w:type="dxa"/>
          <w:trHeight w:val="300"/>
        </w:trPr>
        <w:tc>
          <w:tcPr>
            <w:tcW w:w="9099" w:type="dxa"/>
            <w:gridSpan w:val="7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за расчетный период </w:t>
            </w:r>
            <w:r w:rsidRPr="00E976FD">
              <w:rPr>
                <w:rFonts w:ascii="Garamond" w:hAnsi="Garamond"/>
                <w:highlight w:val="yellow"/>
              </w:rPr>
              <w:t>с ______________ по _______________</w:t>
            </w: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22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3" w:type="dxa"/>
          <w:trHeight w:val="315"/>
        </w:trPr>
        <w:tc>
          <w:tcPr>
            <w:tcW w:w="4111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Неценовая зона: _______</w:t>
            </w: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9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65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50" w:type="dxa"/>
            <w:gridSpan w:val="4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2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ПРОДАВЕЦ:</w:t>
            </w:r>
          </w:p>
        </w:tc>
        <w:tc>
          <w:tcPr>
            <w:tcW w:w="3494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[Краткое наименование участника]</w:t>
            </w: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6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[Код участника]</w:t>
            </w: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124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МОЩНОСТЬ </w:t>
            </w: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3" w:type="dxa"/>
          <w:trHeight w:val="300"/>
        </w:trPr>
        <w:tc>
          <w:tcPr>
            <w:tcW w:w="4111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требование:</w:t>
            </w: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9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65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50" w:type="dxa"/>
            <w:gridSpan w:val="4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60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МВт 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216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0" w:type="dxa"/>
          <w:trHeight w:val="144"/>
        </w:trPr>
        <w:tc>
          <w:tcPr>
            <w:tcW w:w="5812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требований за расчетный период:</w:t>
            </w:r>
          </w:p>
        </w:tc>
        <w:tc>
          <w:tcPr>
            <w:tcW w:w="16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665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48" w:type="dxa"/>
            <w:gridSpan w:val="4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609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Покупатель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покупателя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МВт 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Расчетная стоимость единицы товара, руб./МВт </w:t>
            </w:r>
          </w:p>
        </w:tc>
      </w:tr>
      <w:tr w:rsidR="004E0C4F" w:rsidRPr="00E976FD" w:rsidTr="00440F4E">
        <w:trPr>
          <w:gridAfter w:val="2"/>
          <w:wAfter w:w="27" w:type="dxa"/>
          <w:trHeight w:val="64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ЭЛЕКТРОЭНЕРГИЯ*</w:t>
            </w: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7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3" w:type="dxa"/>
          <w:trHeight w:val="300"/>
        </w:trPr>
        <w:tc>
          <w:tcPr>
            <w:tcW w:w="4111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требование:</w:t>
            </w: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9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65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50" w:type="dxa"/>
            <w:gridSpan w:val="4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00"/>
        </w:trPr>
        <w:tc>
          <w:tcPr>
            <w:tcW w:w="2318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60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</w:rPr>
              <w:t>кВт•ч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1"/>
          <w:wAfter w:w="10" w:type="dxa"/>
          <w:trHeight w:val="315"/>
        </w:trPr>
        <w:tc>
          <w:tcPr>
            <w:tcW w:w="5812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требований за расчетный период:</w:t>
            </w:r>
          </w:p>
        </w:tc>
        <w:tc>
          <w:tcPr>
            <w:tcW w:w="16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665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48" w:type="dxa"/>
            <w:gridSpan w:val="4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gridAfter w:val="2"/>
          <w:wAfter w:w="27" w:type="dxa"/>
          <w:trHeight w:val="928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Покупатель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покупателя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Расчетная стоимость единицы товара, руб./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2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440F4E">
        <w:trPr>
          <w:gridAfter w:val="2"/>
          <w:wAfter w:w="27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793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0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0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9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2236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440F4E">
        <w:trPr>
          <w:trHeight w:val="315"/>
        </w:trPr>
        <w:tc>
          <w:tcPr>
            <w:tcW w:w="12834" w:type="dxa"/>
            <w:gridSpan w:val="14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* Раздел ЭЛЕКТРОЭНЕРГИЯ указывается для ЕЗ по договорам купли-продажи электрической энергии для ЕЗ в неценовой зоне «Дальний Восток».</w:t>
            </w:r>
          </w:p>
        </w:tc>
        <w:tc>
          <w:tcPr>
            <w:tcW w:w="2200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</w:tbl>
    <w:p w:rsidR="004E0C4F" w:rsidRPr="00E976FD" w:rsidRDefault="004E0C4F">
      <w:pPr>
        <w:pStyle w:val="msolistparagraph0"/>
        <w:ind w:left="0"/>
        <w:outlineLvl w:val="0"/>
        <w:rPr>
          <w:rFonts w:ascii="Garamond" w:hAnsi="Garamond"/>
          <w:b/>
          <w:iCs/>
          <w:sz w:val="22"/>
          <w:szCs w:val="22"/>
          <w:highlight w:val="yellow"/>
          <w:lang w:eastAsia="en-US"/>
        </w:rPr>
      </w:pPr>
    </w:p>
    <w:p w:rsidR="004E0C4F" w:rsidRPr="00E976FD" w:rsidRDefault="004E0C4F">
      <w:pPr>
        <w:pStyle w:val="afe"/>
        <w:jc w:val="right"/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jc w:val="right"/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jc w:val="right"/>
        <w:rPr>
          <w:rFonts w:ascii="Garamond" w:hAnsi="Garamond"/>
          <w:sz w:val="22"/>
          <w:szCs w:val="22"/>
        </w:rPr>
      </w:pPr>
    </w:p>
    <w:p w:rsidR="004E0C4F" w:rsidRPr="00E976FD" w:rsidRDefault="00B7672B">
      <w:pPr>
        <w:pStyle w:val="afe"/>
        <w:tabs>
          <w:tab w:val="left" w:pos="447"/>
        </w:tabs>
        <w:rPr>
          <w:rFonts w:ascii="Garamond" w:hAnsi="Garamond"/>
          <w:sz w:val="22"/>
          <w:szCs w:val="22"/>
        </w:rPr>
      </w:pPr>
      <w:r w:rsidRPr="00E976FD">
        <w:rPr>
          <w:rFonts w:ascii="Garamond" w:hAnsi="Garamond"/>
          <w:sz w:val="22"/>
          <w:szCs w:val="22"/>
        </w:rPr>
        <w:tab/>
      </w:r>
    </w:p>
    <w:p w:rsidR="004E0C4F" w:rsidRPr="00E976FD" w:rsidRDefault="004E0C4F">
      <w:pPr>
        <w:pStyle w:val="afe"/>
        <w:tabs>
          <w:tab w:val="left" w:pos="447"/>
        </w:tabs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tabs>
          <w:tab w:val="left" w:pos="447"/>
        </w:tabs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tabs>
          <w:tab w:val="left" w:pos="447"/>
        </w:tabs>
        <w:rPr>
          <w:rFonts w:ascii="Garamond" w:hAnsi="Garamond"/>
          <w:sz w:val="22"/>
          <w:szCs w:val="22"/>
        </w:rPr>
      </w:pPr>
    </w:p>
    <w:p w:rsidR="00E976FD" w:rsidRDefault="00E976F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4E0C4F" w:rsidRPr="00E976FD" w:rsidRDefault="00B7672B">
      <w:pPr>
        <w:widowControl w:val="0"/>
        <w:spacing w:after="0"/>
        <w:rPr>
          <w:rFonts w:ascii="Garamond" w:hAnsi="Garamond"/>
          <w:b/>
        </w:rPr>
      </w:pPr>
      <w:r w:rsidRPr="00E976FD">
        <w:rPr>
          <w:rFonts w:ascii="Garamond" w:hAnsi="Garamond"/>
          <w:b/>
        </w:rPr>
        <w:lastRenderedPageBreak/>
        <w:t>Предлагаемая редакция</w:t>
      </w:r>
    </w:p>
    <w:p w:rsidR="004E0C4F" w:rsidRPr="00E976FD" w:rsidRDefault="00B7672B">
      <w:pPr>
        <w:jc w:val="right"/>
        <w:rPr>
          <w:rFonts w:ascii="Garamond" w:hAnsi="Garamond"/>
          <w:b/>
          <w:iCs/>
        </w:rPr>
      </w:pPr>
      <w:r w:rsidRPr="00E976FD">
        <w:rPr>
          <w:rFonts w:ascii="Garamond" w:hAnsi="Garamond"/>
          <w:b/>
          <w:iCs/>
        </w:rPr>
        <w:t>Приложение 29а</w:t>
      </w:r>
    </w:p>
    <w:tbl>
      <w:tblPr>
        <w:tblW w:w="15075" w:type="dxa"/>
        <w:tblLook w:val="04A0" w:firstRow="1" w:lastRow="0" w:firstColumn="1" w:lastColumn="0" w:noHBand="0" w:noVBand="1"/>
      </w:tblPr>
      <w:tblGrid>
        <w:gridCol w:w="2318"/>
        <w:gridCol w:w="1651"/>
        <w:gridCol w:w="1900"/>
        <w:gridCol w:w="13"/>
        <w:gridCol w:w="1767"/>
        <w:gridCol w:w="13"/>
        <w:gridCol w:w="1564"/>
        <w:gridCol w:w="1330"/>
        <w:gridCol w:w="1134"/>
        <w:gridCol w:w="1365"/>
        <w:gridCol w:w="37"/>
        <w:gridCol w:w="1934"/>
        <w:gridCol w:w="49"/>
      </w:tblGrid>
      <w:tr w:rsidR="004E0C4F" w:rsidRPr="00E976FD" w:rsidTr="00E976FD">
        <w:trPr>
          <w:gridAfter w:val="1"/>
          <w:wAfter w:w="49" w:type="dxa"/>
          <w:trHeight w:val="272"/>
        </w:trPr>
        <w:tc>
          <w:tcPr>
            <w:tcW w:w="2318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u w:val="single"/>
              </w:rPr>
            </w:pPr>
            <w:r w:rsidRPr="00E976FD">
              <w:rPr>
                <w:rFonts w:ascii="Garamond" w:hAnsi="Garamond"/>
                <w:u w:val="single"/>
              </w:rPr>
              <w:t>АО «ЦФР»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u w:val="single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Руководителю</w:t>
            </w: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3357" w:type="dxa"/>
            <w:gridSpan w:val="4"/>
            <w:vAlign w:val="center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[Полное наименование участника]</w:t>
            </w: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9226" w:type="dxa"/>
            <w:gridSpan w:val="7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9226" w:type="dxa"/>
            <w:gridSpan w:val="7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Фактический СЧЕТ-ИЗВЕЩЕНИЕ </w:t>
            </w: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9226" w:type="dxa"/>
            <w:gridSpan w:val="7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9226" w:type="dxa"/>
            <w:gridSpan w:val="7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за расчетный период </w:t>
            </w:r>
            <w:r w:rsidRPr="00E976FD">
              <w:rPr>
                <w:rFonts w:ascii="Garamond" w:hAnsi="Garamond"/>
                <w:highlight w:val="yellow"/>
              </w:rPr>
              <w:t>[месяц/год]</w:t>
            </w: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3969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Неценовая зона: _______</w:t>
            </w: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ПРОДАВЕЦ:</w:t>
            </w:r>
          </w:p>
        </w:tc>
        <w:tc>
          <w:tcPr>
            <w:tcW w:w="3564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[Краткое наименование участника]</w:t>
            </w: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6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[Код участника]</w:t>
            </w: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124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МОЩНОСТЬ 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3969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требование:</w:t>
            </w: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60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МВт 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216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144"/>
        </w:trPr>
        <w:tc>
          <w:tcPr>
            <w:tcW w:w="5882" w:type="dxa"/>
            <w:gridSpan w:val="4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требований за расчетный период:</w:t>
            </w: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6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107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Покупатель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покупателя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МВт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Расчетная стоимость единицы товара, руб./МВт </w:t>
            </w: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center"/>
          </w:tcPr>
          <w:p w:rsidR="00440F4E" w:rsidRDefault="00440F4E">
            <w:pPr>
              <w:spacing w:after="0"/>
              <w:rPr>
                <w:rFonts w:ascii="Garamond" w:hAnsi="Garamond"/>
              </w:rPr>
            </w:pPr>
          </w:p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lastRenderedPageBreak/>
              <w:t>ЭЛЕКТРОЭНЕРГИЯ*</w:t>
            </w: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70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3969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требование:</w:t>
            </w: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00"/>
        </w:trPr>
        <w:tc>
          <w:tcPr>
            <w:tcW w:w="2318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60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</w:rPr>
              <w:t>кВт•ч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5882" w:type="dxa"/>
            <w:gridSpan w:val="4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требований за расчетный период:</w:t>
            </w: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6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9" w:type="dxa"/>
          <w:trHeight w:val="613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Покупатель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покупателя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Расчетная стоимость единицы товара, руб./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gridAfter w:val="1"/>
          <w:wAfter w:w="49" w:type="dxa"/>
          <w:trHeight w:val="315"/>
        </w:trPr>
        <w:tc>
          <w:tcPr>
            <w:tcW w:w="2318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65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8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7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3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13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65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7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13092" w:type="dxa"/>
            <w:gridSpan w:val="11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* Раздел ЭЛЕКТРОЭНЕРГИЯ указывается для ЕЗ по договорам купли-продажи электрической энергии для ЕЗ в неценовой зоне «Дальний Восток».</w:t>
            </w:r>
          </w:p>
        </w:tc>
        <w:tc>
          <w:tcPr>
            <w:tcW w:w="1983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</w:tbl>
    <w:p w:rsidR="004E0C4F" w:rsidRPr="00E976FD" w:rsidRDefault="004E0C4F">
      <w:pPr>
        <w:pStyle w:val="afe"/>
        <w:tabs>
          <w:tab w:val="left" w:pos="447"/>
        </w:tabs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jc w:val="right"/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pStyle w:val="afe"/>
        <w:jc w:val="right"/>
        <w:rPr>
          <w:rFonts w:ascii="Garamond" w:hAnsi="Garamond"/>
          <w:sz w:val="22"/>
          <w:szCs w:val="22"/>
        </w:rPr>
      </w:pPr>
    </w:p>
    <w:p w:rsidR="004E0C4F" w:rsidRPr="00E976FD" w:rsidRDefault="004E0C4F">
      <w:pPr>
        <w:rPr>
          <w:rFonts w:ascii="Garamond" w:hAnsi="Garamond"/>
          <w:highlight w:val="yellow"/>
          <w:lang w:eastAsia="zh-CN"/>
        </w:rPr>
      </w:pPr>
    </w:p>
    <w:p w:rsidR="004E0C4F" w:rsidRPr="00E976FD" w:rsidRDefault="004E0C4F">
      <w:pPr>
        <w:rPr>
          <w:rFonts w:ascii="Garamond" w:hAnsi="Garamond"/>
          <w:highlight w:val="yellow"/>
          <w:lang w:eastAsia="zh-CN"/>
        </w:rPr>
      </w:pPr>
    </w:p>
    <w:p w:rsidR="004E0C4F" w:rsidRPr="00E976FD" w:rsidRDefault="004E0C4F">
      <w:pPr>
        <w:rPr>
          <w:rFonts w:ascii="Garamond" w:hAnsi="Garamond"/>
          <w:highlight w:val="yellow"/>
          <w:lang w:eastAsia="zh-CN"/>
        </w:rPr>
      </w:pPr>
    </w:p>
    <w:p w:rsidR="00E976FD" w:rsidRDefault="00E976FD">
      <w:pPr>
        <w:rPr>
          <w:rFonts w:ascii="Garamond" w:hAnsi="Garamond"/>
          <w:b/>
          <w:lang w:eastAsia="zh-CN"/>
        </w:rPr>
      </w:pPr>
      <w:r>
        <w:rPr>
          <w:rFonts w:ascii="Garamond" w:hAnsi="Garamond"/>
          <w:b/>
          <w:lang w:eastAsia="zh-CN"/>
        </w:rPr>
        <w:br w:type="page"/>
      </w:r>
    </w:p>
    <w:p w:rsidR="004E0C4F" w:rsidRPr="00E976FD" w:rsidRDefault="00B7672B">
      <w:pPr>
        <w:rPr>
          <w:rFonts w:ascii="Garamond" w:hAnsi="Garamond"/>
          <w:b/>
        </w:rPr>
      </w:pPr>
      <w:r w:rsidRPr="00E976FD">
        <w:rPr>
          <w:rFonts w:ascii="Garamond" w:hAnsi="Garamond"/>
          <w:b/>
          <w:lang w:eastAsia="zh-CN"/>
        </w:rPr>
        <w:lastRenderedPageBreak/>
        <w:t>Действующая редакция</w:t>
      </w:r>
    </w:p>
    <w:p w:rsidR="004E0C4F" w:rsidRPr="00E976FD" w:rsidRDefault="00B7672B">
      <w:pPr>
        <w:jc w:val="right"/>
        <w:rPr>
          <w:rFonts w:ascii="Garamond" w:hAnsi="Garamond"/>
          <w:b/>
        </w:rPr>
      </w:pPr>
      <w:r w:rsidRPr="00E976FD">
        <w:rPr>
          <w:rFonts w:ascii="Garamond" w:hAnsi="Garamond"/>
          <w:b/>
        </w:rPr>
        <w:t>Приложение 29б</w:t>
      </w:r>
    </w:p>
    <w:tbl>
      <w:tblPr>
        <w:tblW w:w="15212" w:type="dxa"/>
        <w:tblLook w:val="04A0" w:firstRow="1" w:lastRow="0" w:firstColumn="1" w:lastColumn="0" w:noHBand="0" w:noVBand="1"/>
      </w:tblPr>
      <w:tblGrid>
        <w:gridCol w:w="2400"/>
        <w:gridCol w:w="1711"/>
        <w:gridCol w:w="1614"/>
        <w:gridCol w:w="13"/>
        <w:gridCol w:w="1969"/>
        <w:gridCol w:w="13"/>
        <w:gridCol w:w="1517"/>
        <w:gridCol w:w="13"/>
        <w:gridCol w:w="1386"/>
        <w:gridCol w:w="13"/>
        <w:gridCol w:w="1263"/>
        <w:gridCol w:w="13"/>
        <w:gridCol w:w="1289"/>
        <w:gridCol w:w="13"/>
        <w:gridCol w:w="23"/>
        <w:gridCol w:w="1918"/>
        <w:gridCol w:w="44"/>
      </w:tblGrid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u w:val="single"/>
              </w:rPr>
            </w:pPr>
            <w:r w:rsidRPr="00E976FD">
              <w:rPr>
                <w:rFonts w:ascii="Garamond" w:hAnsi="Garamond"/>
                <w:u w:val="single"/>
              </w:rPr>
              <w:t>АО «ЦФР»</w:t>
            </w: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u w:val="single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Руководителю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3512" w:type="dxa"/>
            <w:gridSpan w:val="4"/>
            <w:vAlign w:val="center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[Полное наименование участника]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9250" w:type="dxa"/>
            <w:gridSpan w:val="8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9250" w:type="dxa"/>
            <w:gridSpan w:val="8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Фактический СЧЕТ-ТРЕБОВАНИЕ 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9250" w:type="dxa"/>
            <w:gridSpan w:val="8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  <w:highlight w:val="yellow"/>
              </w:rPr>
              <w:t>от [дата документа]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9250" w:type="dxa"/>
            <w:gridSpan w:val="8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за расчетный период </w:t>
            </w:r>
            <w:r w:rsidRPr="00E976FD">
              <w:rPr>
                <w:rFonts w:ascii="Garamond" w:hAnsi="Garamond"/>
                <w:highlight w:val="yellow"/>
              </w:rPr>
              <w:t>с ______________ по _______________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4111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Неценовая зона: _______</w:t>
            </w: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ПОКУПАТЕЛЬ:</w:t>
            </w:r>
          </w:p>
        </w:tc>
        <w:tc>
          <w:tcPr>
            <w:tcW w:w="3338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[Краткое наименование участника]</w:t>
            </w: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[Код участника]</w:t>
            </w: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7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МОЩНОСТЬ </w:t>
            </w: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4111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обязательство:</w:t>
            </w: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МВт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5738" w:type="dxa"/>
            <w:gridSpan w:val="4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обязательств за расчетный период:</w:t>
            </w: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6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Продавец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976FD">
              <w:rPr>
                <w:rFonts w:ascii="Garamond" w:hAnsi="Garamond"/>
                <w:b/>
                <w:bCs/>
              </w:rPr>
              <w:t>Код продавца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МВт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Расчетная стоимость единицы товара, руб./МВт </w:t>
            </w: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lastRenderedPageBreak/>
              <w:t>ЭЛЕКТРОЭНЕРГИЯ *</w:t>
            </w: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4111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обязательство:</w:t>
            </w: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00"/>
        </w:trPr>
        <w:tc>
          <w:tcPr>
            <w:tcW w:w="2400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</w:rPr>
              <w:t>кВт•ч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5738" w:type="dxa"/>
            <w:gridSpan w:val="4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обязательств за расчетный период:</w:t>
            </w: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1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51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Продавец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продавца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Расчетная стоимость единицы товара, руб./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gridAfter w:val="1"/>
          <w:wAfter w:w="44" w:type="dxa"/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gridAfter w:val="1"/>
          <w:wAfter w:w="44" w:type="dxa"/>
          <w:trHeight w:val="25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711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614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8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3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54" w:type="dxa"/>
            <w:gridSpan w:val="3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13250" w:type="dxa"/>
            <w:gridSpan w:val="15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* Раздел ЭЛЕКТРОЭНЕРГИЯ указывается для ЕЗ по договорам купли-продажи электрической энергии для ЕЗ в неценовой зоне «Дальний Восток».</w:t>
            </w:r>
          </w:p>
        </w:tc>
        <w:tc>
          <w:tcPr>
            <w:tcW w:w="196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</w:tbl>
    <w:p w:rsidR="004E0C4F" w:rsidRPr="00E976FD" w:rsidRDefault="004E0C4F">
      <w:pPr>
        <w:rPr>
          <w:rFonts w:ascii="Garamond" w:hAnsi="Garamond"/>
          <w:b/>
          <w:iCs/>
          <w:highlight w:val="yellow"/>
        </w:rPr>
      </w:pPr>
    </w:p>
    <w:p w:rsidR="004E0C4F" w:rsidRPr="00E976FD" w:rsidRDefault="004E0C4F">
      <w:pPr>
        <w:pStyle w:val="afe"/>
        <w:jc w:val="center"/>
        <w:rPr>
          <w:rFonts w:ascii="Garamond" w:hAnsi="Garamond"/>
          <w:b/>
          <w:sz w:val="22"/>
          <w:szCs w:val="22"/>
        </w:rPr>
      </w:pPr>
    </w:p>
    <w:p w:rsidR="004E0C4F" w:rsidRPr="00E976FD" w:rsidRDefault="004E0C4F">
      <w:pPr>
        <w:pStyle w:val="afe"/>
        <w:jc w:val="center"/>
        <w:rPr>
          <w:rFonts w:ascii="Garamond" w:hAnsi="Garamond"/>
          <w:b/>
          <w:sz w:val="22"/>
          <w:szCs w:val="22"/>
        </w:rPr>
      </w:pPr>
    </w:p>
    <w:p w:rsidR="004E0C4F" w:rsidRPr="00E976FD" w:rsidRDefault="004E0C4F">
      <w:pPr>
        <w:pStyle w:val="afe"/>
        <w:jc w:val="center"/>
        <w:rPr>
          <w:rFonts w:ascii="Garamond" w:hAnsi="Garamond"/>
          <w:b/>
          <w:sz w:val="22"/>
          <w:szCs w:val="22"/>
        </w:rPr>
      </w:pPr>
    </w:p>
    <w:p w:rsidR="004E0C4F" w:rsidRPr="00E976FD" w:rsidRDefault="004E0C4F">
      <w:pPr>
        <w:pStyle w:val="afe"/>
        <w:jc w:val="center"/>
        <w:rPr>
          <w:rFonts w:ascii="Garamond" w:hAnsi="Garamond"/>
          <w:b/>
          <w:sz w:val="22"/>
          <w:szCs w:val="22"/>
        </w:rPr>
      </w:pPr>
    </w:p>
    <w:p w:rsidR="004E0C4F" w:rsidRPr="00E976FD" w:rsidRDefault="004E0C4F">
      <w:pPr>
        <w:rPr>
          <w:rFonts w:ascii="Garamond" w:hAnsi="Garamond"/>
          <w:b/>
          <w:highlight w:val="yellow"/>
        </w:rPr>
      </w:pPr>
    </w:p>
    <w:p w:rsidR="004E0C4F" w:rsidRPr="00E976FD" w:rsidRDefault="004E0C4F">
      <w:pPr>
        <w:rPr>
          <w:rFonts w:ascii="Garamond" w:hAnsi="Garamond"/>
          <w:b/>
          <w:highlight w:val="yellow"/>
        </w:rPr>
      </w:pPr>
    </w:p>
    <w:p w:rsidR="00E976FD" w:rsidRDefault="00E976FD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4E0C4F" w:rsidRPr="00E976FD" w:rsidRDefault="00B7672B">
      <w:pPr>
        <w:rPr>
          <w:rFonts w:ascii="Garamond" w:hAnsi="Garamond"/>
          <w:b/>
        </w:rPr>
      </w:pPr>
      <w:r w:rsidRPr="00E976FD">
        <w:rPr>
          <w:rFonts w:ascii="Garamond" w:hAnsi="Garamond"/>
          <w:b/>
        </w:rPr>
        <w:lastRenderedPageBreak/>
        <w:t>Предлагаемая редакция</w:t>
      </w:r>
    </w:p>
    <w:p w:rsidR="004E0C4F" w:rsidRPr="00E976FD" w:rsidRDefault="00B7672B">
      <w:pPr>
        <w:jc w:val="right"/>
        <w:rPr>
          <w:rFonts w:ascii="Garamond" w:hAnsi="Garamond"/>
          <w:b/>
        </w:rPr>
      </w:pPr>
      <w:r w:rsidRPr="00E976FD">
        <w:rPr>
          <w:rFonts w:ascii="Garamond" w:hAnsi="Garamond"/>
          <w:b/>
        </w:rPr>
        <w:t>Приложение 29б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2400"/>
        <w:gridCol w:w="1940"/>
        <w:gridCol w:w="1472"/>
        <w:gridCol w:w="1840"/>
        <w:gridCol w:w="1579"/>
        <w:gridCol w:w="11"/>
        <w:gridCol w:w="1388"/>
        <w:gridCol w:w="11"/>
        <w:gridCol w:w="1265"/>
        <w:gridCol w:w="11"/>
        <w:gridCol w:w="1291"/>
        <w:gridCol w:w="11"/>
        <w:gridCol w:w="1949"/>
      </w:tblGrid>
      <w:tr w:rsidR="004E0C4F" w:rsidRPr="00E976FD" w:rsidTr="00E976FD">
        <w:trPr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u w:val="single"/>
              </w:rPr>
            </w:pPr>
            <w:r w:rsidRPr="00E976FD">
              <w:rPr>
                <w:rFonts w:ascii="Garamond" w:hAnsi="Garamond"/>
                <w:u w:val="single"/>
              </w:rPr>
              <w:t>АО «ЦФР»</w:t>
            </w: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u w:val="single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Руководителю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4E0C4F" w:rsidRPr="00E976FD" w:rsidRDefault="00B7672B">
            <w:pPr>
              <w:spacing w:after="0"/>
              <w:jc w:val="right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[Полное наименование участника]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9242" w:type="dxa"/>
            <w:gridSpan w:val="6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9242" w:type="dxa"/>
            <w:gridSpan w:val="6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Фактический СЧЕТ-ТРЕБОВАНИЕ 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9242" w:type="dxa"/>
            <w:gridSpan w:val="6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9242" w:type="dxa"/>
            <w:gridSpan w:val="6"/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за расчетный период </w:t>
            </w:r>
            <w:r w:rsidRPr="00E976FD">
              <w:rPr>
                <w:rFonts w:ascii="Garamond" w:hAnsi="Garamond"/>
                <w:highlight w:val="yellow"/>
              </w:rPr>
              <w:t>[месяц/год]</w:t>
            </w: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4340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Неценовая зона: _______</w:t>
            </w: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ПОКУПАТЕЛЬ:</w:t>
            </w:r>
          </w:p>
        </w:tc>
        <w:tc>
          <w:tcPr>
            <w:tcW w:w="3412" w:type="dxa"/>
            <w:gridSpan w:val="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[Краткое наименование участника]</w:t>
            </w: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[Код участника]</w:t>
            </w: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70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МОЩНОСТЬ </w:t>
            </w: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4340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обязательство:</w:t>
            </w: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2400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МВт 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5812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обязательств за расчетный период:</w:t>
            </w: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53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Продавец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  <w:lang w:val="en-US"/>
              </w:rPr>
            </w:pPr>
            <w:r w:rsidRPr="00E976FD">
              <w:rPr>
                <w:rFonts w:ascii="Garamond" w:hAnsi="Garamond"/>
                <w:b/>
                <w:bCs/>
              </w:rPr>
              <w:t>Код продавца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МВт 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Расчетная стоимость единицы товара, руб./МВт </w:t>
            </w: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center"/>
          </w:tcPr>
          <w:p w:rsidR="00440F4E" w:rsidRDefault="00440F4E">
            <w:pPr>
              <w:spacing w:after="0"/>
              <w:rPr>
                <w:rFonts w:ascii="Garamond" w:hAnsi="Garamond"/>
              </w:rPr>
            </w:pPr>
          </w:p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lastRenderedPageBreak/>
              <w:t>ЭЛЕКТРОЭНЕРГИЯ *</w:t>
            </w: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jc w:val="right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4340" w:type="dxa"/>
            <w:gridSpan w:val="2"/>
            <w:noWrap/>
            <w:vAlign w:val="center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Фактическое обязательство:</w:t>
            </w: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00"/>
        </w:trPr>
        <w:tc>
          <w:tcPr>
            <w:tcW w:w="2400" w:type="dxa"/>
            <w:noWrap/>
            <w:vAlign w:val="center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60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</w:rPr>
              <w:t>кВт•ч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Стоимость, руб.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НДС, руб.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Стоимость с НДС, руб.</w:t>
            </w: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 </w:t>
            </w: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5812" w:type="dxa"/>
            <w:gridSpan w:val="3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  <w:r w:rsidRPr="00E976FD">
              <w:rPr>
                <w:rFonts w:ascii="Garamond" w:hAnsi="Garamond"/>
                <w:b/>
                <w:bCs/>
                <w:u w:val="single"/>
              </w:rPr>
              <w:t>Распределение обязательств за расчетный период:</w:t>
            </w: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  <w:b/>
                <w:bCs/>
                <w:u w:val="single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175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Продавец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Код продавца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Номер договора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Дата договора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 xml:space="preserve">Объем, 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НДС, руб.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Стоимость с НДС, руб.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/>
                <w:b/>
                <w:bCs/>
              </w:rPr>
            </w:pPr>
            <w:r w:rsidRPr="00E976FD">
              <w:rPr>
                <w:rFonts w:ascii="Garamond" w:hAnsi="Garamond"/>
                <w:b/>
                <w:bCs/>
              </w:rPr>
              <w:t>Расчетная стоимость единицы товара, руб./</w:t>
            </w:r>
            <w:proofErr w:type="spellStart"/>
            <w:r w:rsidRPr="00E976FD">
              <w:rPr>
                <w:rFonts w:ascii="Garamond" w:hAnsi="Garamond"/>
                <w:b/>
                <w:bCs/>
              </w:rPr>
              <w:t>кВт•ч</w:t>
            </w:r>
            <w:proofErr w:type="spellEnd"/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 w:cs="Arial CYR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  <w:b/>
                <w:bCs/>
              </w:rPr>
            </w:pPr>
            <w:r w:rsidRPr="00E976FD">
              <w:rPr>
                <w:rFonts w:ascii="Garamond" w:hAnsi="Garamond" w:cs="Arial CYR"/>
                <w:b/>
                <w:bCs/>
              </w:rPr>
              <w:t>ИТОГО: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0C4F" w:rsidRPr="00E976FD" w:rsidRDefault="00B7672B">
            <w:pPr>
              <w:spacing w:after="0"/>
              <w:jc w:val="center"/>
              <w:rPr>
                <w:rFonts w:ascii="Garamond" w:hAnsi="Garamond" w:cs="Arial CYR"/>
              </w:rPr>
            </w:pPr>
            <w:r w:rsidRPr="00E976FD">
              <w:rPr>
                <w:rFonts w:ascii="Garamond" w:hAnsi="Garamond" w:cs="Arial CYR"/>
              </w:rPr>
              <w:t>-</w:t>
            </w:r>
          </w:p>
        </w:tc>
      </w:tr>
      <w:tr w:rsidR="004E0C4F" w:rsidRPr="00E976FD" w:rsidTr="00E976FD">
        <w:trPr>
          <w:trHeight w:val="31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jc w:val="center"/>
              <w:rPr>
                <w:rFonts w:ascii="Garamond" w:hAnsi="Garamond" w:cs="Arial CYR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255"/>
        </w:trPr>
        <w:tc>
          <w:tcPr>
            <w:tcW w:w="240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472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840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57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99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302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  <w:tc>
          <w:tcPr>
            <w:tcW w:w="1960" w:type="dxa"/>
            <w:gridSpan w:val="2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  <w:tr w:rsidR="004E0C4F" w:rsidRPr="00E976FD" w:rsidTr="00E976FD">
        <w:trPr>
          <w:trHeight w:val="315"/>
        </w:trPr>
        <w:tc>
          <w:tcPr>
            <w:tcW w:w="13219" w:type="dxa"/>
            <w:gridSpan w:val="12"/>
            <w:noWrap/>
            <w:vAlign w:val="bottom"/>
          </w:tcPr>
          <w:p w:rsidR="004E0C4F" w:rsidRPr="00E976FD" w:rsidRDefault="00B7672B">
            <w:pPr>
              <w:spacing w:after="0"/>
              <w:rPr>
                <w:rFonts w:ascii="Garamond" w:hAnsi="Garamond"/>
              </w:rPr>
            </w:pPr>
            <w:r w:rsidRPr="00E976FD">
              <w:rPr>
                <w:rFonts w:ascii="Garamond" w:hAnsi="Garamond"/>
              </w:rPr>
              <w:t>* Раздел ЭЛЕКТРОЭНЕРГИЯ указывается для ЕЗ по договорам купли-продажи электрической энергии для ЕЗ в неценовой зоне «Дальний Восток».</w:t>
            </w:r>
          </w:p>
        </w:tc>
        <w:tc>
          <w:tcPr>
            <w:tcW w:w="1949" w:type="dxa"/>
            <w:noWrap/>
            <w:vAlign w:val="bottom"/>
          </w:tcPr>
          <w:p w:rsidR="004E0C4F" w:rsidRPr="00E976FD" w:rsidRDefault="004E0C4F">
            <w:pPr>
              <w:spacing w:after="0"/>
              <w:rPr>
                <w:rFonts w:ascii="Garamond" w:hAnsi="Garamond"/>
              </w:rPr>
            </w:pPr>
          </w:p>
        </w:tc>
      </w:tr>
    </w:tbl>
    <w:p w:rsidR="004E0C4F" w:rsidRPr="00E976FD" w:rsidRDefault="004E0C4F">
      <w:pPr>
        <w:widowControl w:val="0"/>
        <w:spacing w:after="0"/>
        <w:rPr>
          <w:rFonts w:ascii="Garamond" w:hAnsi="Garamond"/>
        </w:rPr>
      </w:pPr>
    </w:p>
    <w:p w:rsidR="004E0C4F" w:rsidRDefault="004E0C4F">
      <w:pPr>
        <w:widowControl w:val="0"/>
        <w:spacing w:after="0"/>
      </w:pPr>
    </w:p>
    <w:p w:rsidR="004E0C4F" w:rsidRDefault="004E0C4F">
      <w:pPr>
        <w:widowControl w:val="0"/>
        <w:spacing w:after="0"/>
        <w:rPr>
          <w:highlight w:val="yellow"/>
        </w:rPr>
      </w:pPr>
    </w:p>
    <w:p w:rsidR="004E0C4F" w:rsidRDefault="004E0C4F">
      <w:pPr>
        <w:widowControl w:val="0"/>
        <w:spacing w:after="0"/>
        <w:rPr>
          <w:highlight w:val="yellow"/>
        </w:rPr>
      </w:pPr>
    </w:p>
    <w:p w:rsidR="004E0C4F" w:rsidRDefault="004E0C4F">
      <w:pPr>
        <w:widowControl w:val="0"/>
        <w:spacing w:after="0"/>
        <w:rPr>
          <w:highlight w:val="yellow"/>
        </w:rPr>
      </w:pPr>
    </w:p>
    <w:p w:rsidR="004E0C4F" w:rsidRDefault="004E0C4F">
      <w:pPr>
        <w:widowControl w:val="0"/>
        <w:spacing w:after="0"/>
        <w:rPr>
          <w:highlight w:val="yellow"/>
        </w:rPr>
      </w:pPr>
    </w:p>
    <w:p w:rsidR="004E0C4F" w:rsidRDefault="004E0C4F">
      <w:pPr>
        <w:widowControl w:val="0"/>
        <w:spacing w:after="0"/>
        <w:rPr>
          <w:highlight w:val="yellow"/>
        </w:rPr>
      </w:pPr>
    </w:p>
    <w:sectPr w:rsidR="004E0C4F" w:rsidSect="00440F4E">
      <w:footerReference w:type="default" r:id="rId8"/>
      <w:footnotePr>
        <w:numRestart w:val="eachSect"/>
      </w:footnotePr>
      <w:pgSz w:w="16838" w:h="11906" w:orient="landscape"/>
      <w:pgMar w:top="1134" w:right="820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6FD" w:rsidRDefault="00E976FD">
      <w:pPr>
        <w:spacing w:after="0" w:line="240" w:lineRule="auto"/>
      </w:pPr>
      <w:r>
        <w:separator/>
      </w:r>
    </w:p>
  </w:endnote>
  <w:endnote w:type="continuationSeparator" w:id="0">
    <w:p w:rsidR="00E976FD" w:rsidRDefault="00E9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74505"/>
      <w:docPartObj>
        <w:docPartGallery w:val="Page Numbers (Bottom of Page)"/>
        <w:docPartUnique/>
      </w:docPartObj>
    </w:sdtPr>
    <w:sdtEndPr/>
    <w:sdtContent>
      <w:p w:rsidR="00E976FD" w:rsidRDefault="00E976FD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6DC">
          <w:rPr>
            <w:noProof/>
          </w:rPr>
          <w:t>14</w:t>
        </w:r>
        <w:r>
          <w:fldChar w:fldCharType="end"/>
        </w:r>
      </w:p>
    </w:sdtContent>
  </w:sdt>
  <w:p w:rsidR="00E976FD" w:rsidRDefault="00E976F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6FD" w:rsidRDefault="00E976FD">
      <w:pPr>
        <w:spacing w:after="0" w:line="240" w:lineRule="auto"/>
      </w:pPr>
      <w:r>
        <w:separator/>
      </w:r>
    </w:p>
  </w:footnote>
  <w:footnote w:type="continuationSeparator" w:id="0">
    <w:p w:rsidR="00E976FD" w:rsidRDefault="00E97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3A4948"/>
    <w:multiLevelType w:val="hybridMultilevel"/>
    <w:tmpl w:val="2CBC9CB4"/>
    <w:lvl w:ilvl="0" w:tplc="4BF09996">
      <w:start w:val="1"/>
      <w:numFmt w:val="bullet"/>
      <w:lvlText w:val="−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10332D6D"/>
    <w:multiLevelType w:val="hybridMultilevel"/>
    <w:tmpl w:val="90EC3020"/>
    <w:lvl w:ilvl="0" w:tplc="FFFFFFFF">
      <w:start w:val="1"/>
      <w:numFmt w:val="bullet"/>
      <w:lvlText w:val="–"/>
      <w:lvlJc w:val="left"/>
      <w:pPr>
        <w:ind w:left="13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" w15:restartNumberingAfterBreak="0">
    <w:nsid w:val="16CD749F"/>
    <w:multiLevelType w:val="hybridMultilevel"/>
    <w:tmpl w:val="3B98C85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7100B9"/>
    <w:multiLevelType w:val="hybridMultilevel"/>
    <w:tmpl w:val="D264EA90"/>
    <w:lvl w:ilvl="0" w:tplc="01D23F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97C57"/>
    <w:multiLevelType w:val="multilevel"/>
    <w:tmpl w:val="8C32E520"/>
    <w:lvl w:ilvl="0">
      <w:start w:val="1"/>
      <w:numFmt w:val="none"/>
      <w:lvlText w:val="1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6.1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6.1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0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91B03"/>
    <w:multiLevelType w:val="hybridMultilevel"/>
    <w:tmpl w:val="DBF62E0E"/>
    <w:lvl w:ilvl="0" w:tplc="FFFFFFFF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4" w15:restartNumberingAfterBreak="0">
    <w:nsid w:val="58C551DC"/>
    <w:multiLevelType w:val="hybridMultilevel"/>
    <w:tmpl w:val="E81AC3C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5251C"/>
    <w:multiLevelType w:val="hybridMultilevel"/>
    <w:tmpl w:val="DCDE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5620C"/>
    <w:multiLevelType w:val="hybridMultilevel"/>
    <w:tmpl w:val="4E324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0497A"/>
    <w:multiLevelType w:val="hybridMultilevel"/>
    <w:tmpl w:val="406E1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AD3F1B"/>
    <w:multiLevelType w:val="hybridMultilevel"/>
    <w:tmpl w:val="67BE4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C74A76"/>
    <w:multiLevelType w:val="hybridMultilevel"/>
    <w:tmpl w:val="A7D078A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5"/>
  </w:num>
  <w:num w:numId="5">
    <w:abstractNumId w:val="6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0"/>
  </w:num>
  <w:num w:numId="10">
    <w:abstractNumId w:val="22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6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</w:num>
  <w:num w:numId="18">
    <w:abstractNumId w:val="17"/>
  </w:num>
  <w:num w:numId="19">
    <w:abstractNumId w:val="9"/>
  </w:num>
  <w:num w:numId="20">
    <w:abstractNumId w:val="1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4F"/>
    <w:rsid w:val="00440F4E"/>
    <w:rsid w:val="004E0C4F"/>
    <w:rsid w:val="00B7672B"/>
    <w:rsid w:val="00B846DC"/>
    <w:rsid w:val="00E9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tabs>
        <w:tab w:val="num" w:pos="176"/>
      </w:tabs>
      <w:spacing w:before="120" w:after="120" w:line="240" w:lineRule="auto"/>
      <w:ind w:left="34"/>
      <w:jc w:val="both"/>
      <w:outlineLvl w:val="2"/>
    </w:pPr>
    <w:rPr>
      <w:rFonts w:ascii="Garamond" w:eastAsia="Arial Unicode MS" w:hAnsi="Garamond" w:cs="Times New Roman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uiPriority w:val="34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Arial Unicode MS" w:hAnsi="Garamond" w:cs="Times New Roman"/>
      <w:b/>
      <w:lang w:eastAsia="ru-RU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4">
    <w:name w:val="Текст сноски Знак2"/>
    <w:locked/>
    <w:rPr>
      <w:rFonts w:ascii="Garamond" w:hAnsi="Garamond"/>
      <w:lang w:val="en-GB" w:eastAsia="en-US" w:bidi="ar-SA"/>
    </w:rPr>
  </w:style>
  <w:style w:type="paragraph" w:styleId="afe">
    <w:name w:val="Plain Text"/>
    <w:basedOn w:val="a"/>
    <w:link w:val="13"/>
    <w:uiPriority w:val="9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">
    <w:name w:val="Текст Знак"/>
    <w:basedOn w:val="a0"/>
    <w:uiPriority w:val="99"/>
    <w:semiHidden/>
    <w:rPr>
      <w:rFonts w:ascii="Consolas" w:hAnsi="Consolas" w:cs="Consolas"/>
      <w:sz w:val="21"/>
      <w:szCs w:val="21"/>
    </w:rPr>
  </w:style>
  <w:style w:type="character" w:customStyle="1" w:styleId="13">
    <w:name w:val="Текст Знак1"/>
    <w:link w:val="afe"/>
    <w:uiPriority w:val="99"/>
    <w:locked/>
    <w:rPr>
      <w:rFonts w:ascii="Courier New" w:eastAsia="SimSun" w:hAnsi="Courier New" w:cs="Courier New"/>
      <w:sz w:val="20"/>
      <w:szCs w:val="20"/>
      <w:lang w:eastAsia="zh-CN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</w:style>
  <w:style w:type="paragraph" w:customStyle="1" w:styleId="aff0">
    <w:name w:val="Обычный текст"/>
    <w:basedOn w:val="a"/>
    <w:link w:val="aff1"/>
    <w:uiPriority w:val="99"/>
    <w:pPr>
      <w:spacing w:after="0" w:line="240" w:lineRule="auto"/>
      <w:ind w:firstLine="425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ff1">
    <w:name w:val="Обычный текст Знак"/>
    <w:link w:val="aff0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13D17-5B66-4F4E-85A8-1B7704B4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3299</Words>
  <Characters>18806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7</cp:revision>
  <dcterms:created xsi:type="dcterms:W3CDTF">2023-12-08T11:59:00Z</dcterms:created>
  <dcterms:modified xsi:type="dcterms:W3CDTF">2023-12-18T16:14:00Z</dcterms:modified>
</cp:coreProperties>
</file>